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1F3A68"/>
          <w:sz w:val="48"/>
        </w:rPr>
        <w:t>1688.ie 定价页设计说明书</w:t>
      </w:r>
    </w:p>
    <w:p>
      <w:pPr>
        <w:spacing w:after="80" w:line="360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22"/>
        </w:rPr>
        <w:t>配套文件：pricing-demo.html</w:t>
      </w:r>
    </w:p>
    <w:p>
      <w:pPr>
        <w:spacing w:after="360" w:line="360" w:lineRule="auto"/>
        <w:jc w:val="center"/>
      </w:pPr>
      <w:r>
        <w:rPr>
          <w:rFonts w:ascii="Microsoft YaHei" w:hAnsi="Microsoft YaHei" w:eastAsia="Microsoft YaHei"/>
          <w:b w:val="0"/>
          <w:color w:val="6B7280"/>
          <w:sz w:val="20"/>
        </w:rPr>
        <w:t>文档版本 v1.0  ·  2026-04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color="1F3A68"/>
              <w:left w:val="single" w:sz="4" w:color="1F3A68"/>
              <w:bottom w:val="single" w:sz="4" w:color="1F3A68"/>
              <w:right w:val="single" w:sz="4" w:color="1F3A68"/>
            </w:tcBorders>
            <w:shd w:val="clear" w:color="auto" w:fill="1F3A68"/>
          </w:tcPr>
          <w:p>
            <w:pPr>
              <w:spacing w:before="80" w:after="8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2"/>
              </w:rPr>
              <w:t>用途：给前端 / 设计师 / 内容运营使用的页面设计规范与验收标准</w:t>
            </w:r>
          </w:p>
        </w:tc>
      </w:tr>
    </w:tbl>
    <w:p>
      <w:pPr>
        <w:spacing w:after="12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目录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一、设计目标与受众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二、页面结构总览（Sitemap / Sections）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三、设计语言（Design Tokens）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四、各区块详细规格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五、响应式断点与移动端规则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六、交互与动效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七、文案规则（价格、VAT、TOV）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八、技术实现说明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九、埋点与数据分析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十、无障碍与 SEO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十一、上线 Checklist 与验收标准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十二、未来迭代路线图</w:t>
      </w:r>
    </w:p>
    <w:p>
      <w:r>
        <w:br w:type="page"/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一、设计目标与受众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1.1 设计目标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主目标　</w:t>
      </w:r>
      <w:r>
        <w:rPr>
          <w:rFonts w:ascii="Microsoft YaHei" w:hAnsi="Microsoft YaHei" w:eastAsia="Microsoft YaHei"/>
          <w:sz w:val="21"/>
        </w:rPr>
        <w:t>让客户 30 秒内看懂 6 档的差别，并锁定其中一档。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次目标　</w:t>
      </w:r>
      <w:r>
        <w:rPr>
          <w:rFonts w:ascii="Microsoft YaHei" w:hAnsi="Microsoft YaHei" w:eastAsia="Microsoft YaHei"/>
          <w:sz w:val="21"/>
        </w:rPr>
        <w:t>让中小华人客户（STARTER/ESSENTIAL）直接自助下单；让中大型客户（GROWTH/BUSINESS）留咨询表；让 ENTERPRISE/BESPOKE 客户主动电话/微信联系。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品牌任务　</w:t>
      </w:r>
      <w:r>
        <w:rPr>
          <w:rFonts w:ascii="Microsoft YaHei" w:hAnsi="Microsoft YaHei" w:eastAsia="Microsoft YaHei"/>
          <w:sz w:val="21"/>
        </w:rPr>
        <w:t>同时传递"本地合规（CRO/VAT/GDPR）+ 中文服务"的双重信任信号。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1.2 核心受众与决策路径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人群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画像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进入页面时的问题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期望离开时得到的答案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华人小商家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中文、餐厅/美甲/理疗/外贸、员工&lt;10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最便宜多少能上线？每月还要再交多少？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STARTER €499 + €39/月即可；附 TOV 可能抵一半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华人中大客户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中文/双语、连锁、员工 10–50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能一起管员工+库存+财务吗？多少钱？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 €14,999 + €1,499/月 一站式；先电话沟通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本地白人 SMB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英文、专业服务/工贸、开始转型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和 Wix / Odoo 比你们便宜吗？有没有GDPR？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ESSENTIAL €999 + €49/月，本地交付+中文工厂议价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本地中型企业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英文、制造/零售、员工 50+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能定制吗？数据能迁回来吗？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ENTERPRISE €39,999+ 起，支持私有化与 API 接入</w:t>
            </w:r>
          </w:p>
        </w:tc>
      </w:tr>
    </w:tbl>
    <w:p/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二、页面结构总览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页面自上而下共 9 个区块，全部集中在 1688.ie/pricing 单页，首屏≤800px，总高度约 4200–4800px（桌面），便于 SEO 抓取且只需 1–2 次鼠标滚轮即可看完核心 4 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区块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高度（桌面）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主要内容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①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Sticky Nav 顶栏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56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Logo + 导航 + 主 CTA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随时可点【免费咨询】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②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Hero 主视觉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~360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大标题 + "透明定价 · 本地服务 · 按需升级" + "价格均为ex VAT"提示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立即定位页面主题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③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TOV €2,500 横幅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~88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LEO 本地企业局补助提示 + 了解详情锚点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放大价格吸引力（对华人客户感知极强）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④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张主价格卡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~520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STARTER / ESSENTIAL / GROWTH / BUSINESS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核心转化区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⑤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 张企业级横幅卡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~280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ENTERPRISE / BESPOKE（深色渐变）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突出档次差异，避免与主卡竞争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⑥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完整功能对比矩阵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~950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 大类 30+ 行功能 × 6 档勾选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供深度比较者使用，也利于 SEO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⑦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FAQ 手风琴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~520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 条常见问题（其中 1 条锚点 #tov）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消除决策疑虑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⑧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Footer CTA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~240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邮件 / WhatsApp / 预约视频 3 按钮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补位转化</w:t>
            </w:r>
          </w:p>
        </w:tc>
      </w:tr>
      <w:tr>
        <w:tc>
          <w:tcPr>
            <w:tcW w:type="dxa" w:w="72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⑨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站点 Footer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~180 px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公司名 / CRO / VAT / 地址 / 版权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合规 + 信任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B85A1A"/>
                <w:sz w:val="22"/>
              </w:rPr>
              <w:t>为什么是"4 主卡 + 2 企业横幅"而不是 6 张等宽卡？</w:t>
            </w:r>
          </w:p>
          <w:p>
            <w:pPr>
              <w:spacing w:after="0" w:line="336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6 张等宽卡 ≈ 每张 190px，数字和副标题会挤到换行；而 4+2 的布局让主力转化档（ESSENTIAL/GROWTH）有 280px 左右的宽度，数字大、可读性好；企业档做成横幅卡，视觉语言自动告诉用户"这档不是自助下单的，请联系我们"。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三、设计语言（Design Tokens）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3.1 色彩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HEX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无障碍对比度（与白底）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--navy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#1F3A68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主色：Hero、Logo、标题、主 CTA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10.8 : 1 ✓ AAA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--navy-dark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#162A4D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 CTA hover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13.5 : 1 ✓ AAA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--blue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#2E75B6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链接、下划线、重点文字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4.6 : 1 ✓ AA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--blue-light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#E8F1FA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功能矩阵分类行背景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--orange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#F0B37E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品牌点缀、TOV 横幅、Logo 小圆点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1.8 : 1（不用于正文）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--orange-soft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#FFF4E6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TOV 横幅背景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--green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#2E8B57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功能勾选 ✓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4.5 : 1 ✓ AA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--text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#1F2937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正文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 : 1 ✓ AAA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--muted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#6B7280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副标题、脚注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5.7 : 1 ✓ AA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--line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#E5E7EB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分割线、卡片描边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--bg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#FBFCFE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页面全局背景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--bg-alt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#F3F6FB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矩阵斑马条</w:t>
            </w:r>
          </w:p>
        </w:tc>
        <w:tc>
          <w:tcPr>
            <w:tcW w:type="dxa" w:w="273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3.2 字体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系统默认字体栈 —— 不引入任何 webfont，确保中国大陆访问和首屏性能（FCP&lt;1.2s）：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color w:val="2E75B6"/>
          <w:sz w:val="19"/>
        </w:rPr>
        <w:t>font-family: -apple-system, BlinkMacSystemFont, "PingFang SC", "Microsoft YaHei", "Segoe UI", Roboto, Helvetica, Arial, sans-serif;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字号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字重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行高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Hero H1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 / 32 / 26 px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700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1.15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 26px；中英文混排时加负间距 -0.5px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Section 标题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28 px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700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1.2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navy 色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卡片档位名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 px（大写）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700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字间距 +1px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卡片价格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36 / 30 px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700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ESSENTIAL 加高亮 36px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卡片月费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 px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500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1.4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蓝色 #2E75B6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功能列表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13–14 px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400/500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1.6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勾 ✓ 为 green、叉 − 为 muted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正文段落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 px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400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1.6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移动端可降至 14.5px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脚注 / 合规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12–13 px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400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1.5</w:t>
            </w:r>
          </w:p>
        </w:tc>
        <w:tc>
          <w:tcPr>
            <w:tcW w:type="dxa" w:w="36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muted 色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3.3 间距与容器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间距标尺　</w:t>
      </w:r>
      <w:r>
        <w:rPr>
          <w:rFonts w:ascii="Microsoft YaHei" w:hAnsi="Microsoft YaHei" w:eastAsia="Microsoft YaHei"/>
          <w:sz w:val="21"/>
        </w:rPr>
        <w:t>4 / 8 / 12 / 16 / 20 / 28 / 40 / 60 / 80 px（8 倍数为主）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内容容器　</w:t>
      </w:r>
      <w:r>
        <w:rPr>
          <w:rFonts w:ascii="Microsoft YaHei" w:hAnsi="Microsoft YaHei" w:eastAsia="Microsoft YaHei"/>
          <w:sz w:val="21"/>
        </w:rPr>
        <w:t>max-width: 1200px，左右 padding: 24px（移动端 16px）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圆角　</w:t>
      </w:r>
      <w:r>
        <w:rPr>
          <w:rFonts w:ascii="Microsoft YaHei" w:hAnsi="Microsoft YaHei" w:eastAsia="Microsoft YaHei"/>
          <w:sz w:val="21"/>
        </w:rPr>
        <w:t>卡片圆角 12px，横幅 8px，按钮 6px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阴影　</w:t>
      </w:r>
      <w:r>
        <w:rPr>
          <w:rFonts w:ascii="Microsoft YaHei" w:hAnsi="Microsoft YaHei" w:eastAsia="Microsoft YaHei"/>
          <w:sz w:val="21"/>
        </w:rPr>
        <w:t>卡片 box-shadow: 0 2px 12px rgba(31,58,104,0.08)，hover 加深</w:t>
      </w:r>
    </w:p>
    <w:p>
      <w:r>
        <w:br w:type="page"/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四、各区块详细规格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4.1 Sticky Nav 顶栏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高度 56px，背景 rgba(255,255,255,0.95) + backdrop-filter: blur(8px)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滚动时仍然固定；移动端 &lt;640px 保留 Logo + 主 CTA，其他链接折入汉堡菜单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Logo = 文字 "1688.ie" + 10px 橙色小圆点，字号 20px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主 CTA = "免费咨询" / "Get a Quote"，点击锚到 #cta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4.2 Hero 主视觉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渐变背景：linear-gradient(135deg, #1F3A68 0%, #29528F 100%)；不放配图，纯文字更快加载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H1：透明定价 · 本地服务 · 按需升级（40/26px）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Sub：从 €499 起建站，含 CRO 合规与 GDPR 隐私声明；所有价格均以 ex VAT 呈现。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一个 Pill 组件：💡 所有价格均 不含 23% VAT（B2B 通行做法）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4.3 TOV 补助横幅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背景 #FFF4E6，左侧 4px 橙色条；内容一行：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💰 Trading Online Voucher（本地企业局）最高补贴 €2,500（50/50 配套），STARTER 与 ESSENTIAL 档均可申请 → 了解详情（锚点 #tov）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移动端可以两行排，但图标与"了解详情"必须保持在可点击的区域（≥44×44px）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4.4 4 张主价格卡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档位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一次性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订阅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卡片标题颜色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突出方式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STARTER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€499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€39/月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#1F3A68（navy）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ESSENTIAL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€999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€49/月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navy + 橙色角标"最受欢迎"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阴影加深，上移 -8px；描边 2px #F0B37E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GROWTH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€4,999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€299/月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navy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  <w:tr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€14,999</w:t>
            </w:r>
          </w:p>
        </w:tc>
        <w:tc>
          <w:tcPr>
            <w:tcW w:type="dxa" w:w="14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€1,499/月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navy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</w:tbl>
    <w:p>
      <w:pPr>
        <w:spacing w:after="120" w:line="360" w:lineRule="auto"/>
      </w:pPr>
      <w:r>
        <w:rPr>
          <w:rFonts w:ascii="Microsoft YaHei" w:hAnsi="Microsoft YaHei" w:eastAsia="Microsoft YaHei"/>
          <w:b w:val="0"/>
          <w:sz w:val="20"/>
        </w:rPr>
        <w:t>每张卡内部固定 6 行：①档位名 ②一次性价 ③月费 ④一句话定位 ⑤5 行核心功能（√ 勾） ⑥主 CTA + 次 CTA（查看全部功能）。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4.5 企业级横幅行（ENTERPRISE &amp; BESPOKE）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两张横向 50/50 横幅，深色渐变背景（navy → #29528F）+ 白色文字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ENTERPRISE €39,999 起 / €2,999/月 起：适合 50+ 员工的连锁与制造企业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BESPOKE €69,999 起 / 按需：完全定制，含私有化部署、API 集成、专属项目经理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CTA 文案："预约企业级咨询" / "安排 30 分钟通话"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4.6 完整功能对比矩阵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行数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示例功能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官网与本地合规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6 行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响应式网站 / 中英文双语 / CRO VAT 合规脚 / GDPR Cookie banner / 邮箱 @1688.ie / 自定义域名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本地特色主要在此类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电商与支付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6 行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商品上架 / Stripe-Revolut-PayPal / 自动运费计算 / 折扣券 / 库存对接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GROWTH 起支持进阶能力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运营系统 SaaS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8 行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CRM / 预约排班 / 工单派工 / 员工打卡 / 采购进销存 / 财务与发票 / 销售漏斗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 完整开通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营销工具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6 行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邮件 EDM / 短信 / 社交调度 / 问卷 NPS / AI 智能外呼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GROWTH 起开启，BUSINESS 全开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技术与服务</w:t>
            </w:r>
          </w:p>
        </w:tc>
        <w:tc>
          <w:tcPr>
            <w:tcW w:type="dxa" w:w="115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约 5 行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独立技术顾问 / SLA 响应 / 数据迁移 / 中文电话支持 / 私有化部署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ENTERPRISE 起提供 SLA</w:t>
            </w:r>
          </w:p>
        </w:tc>
      </w:tr>
    </w:tbl>
    <w:p>
      <w:pPr>
        <w:spacing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矩阵显示方式：分类行深蓝背景、白字（类别名）；每行功能名左对齐，6 档用勾/叉/短文字（如"本地化"/"可选"/"付费开通"）。移动端 &lt;640px 矩阵变为"手风琴分类"——默认折叠，点击分类展开。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4.7 FAQ 手风琴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使用原生 &lt;details&gt;&lt;summary&gt;，默认全部折叠；点击展开的一条不关闭其他条目（允许多开）。6 条必有：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这些价格是否含 VAT？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可以使用 TOV 补助吗？（锚点 #tov）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我是华人小企业，我要怎么选？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一次性费用之外，我还要交什么？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合同期多长？可以随时降档或取消吗？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数据归谁所有？我随时可以导出吗？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4.8 Footer CTA 与站点 Footer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Footer CTA：橙色描边按钮 + 三种联系方式（邮件 / WhatsApp / 预约视频）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站点 Footer：公司名 Ying Long Tech Ltd（示例）/ CRO 7654321 / VAT IE1234567T / 办公地址 / Copyright 2026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Footer 颜色：深蓝 #1F3A68 背景 + 白色文字，与 Hero 首尾呼应</w:t>
      </w:r>
    </w:p>
    <w:p>
      <w:r>
        <w:br w:type="page"/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五、响应式断点与移动端规则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断点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视口</w:t>
            </w:r>
          </w:p>
        </w:tc>
        <w:tc>
          <w:tcPr>
            <w:tcW w:type="dxa" w:w="51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核心变化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≥1200px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桌面宽屏</w:t>
            </w:r>
          </w:p>
        </w:tc>
        <w:tc>
          <w:tcPr>
            <w:tcW w:type="dxa" w:w="51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容器 1200px 居中；4 主卡一排；矩阵完整显示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≥1024 且 &lt;1200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小桌面/横向平板</w:t>
            </w:r>
          </w:p>
        </w:tc>
        <w:tc>
          <w:tcPr>
            <w:tcW w:type="dxa" w:w="51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容器 width:100%-48px；4 主卡一排（gap 减小到 16px）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≥640 且 &lt;1024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竖向平板 / 横向手机</w:t>
            </w:r>
          </w:p>
        </w:tc>
        <w:tc>
          <w:tcPr>
            <w:tcW w:type="dxa" w:w="51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 主卡变 2×2；企业横幅仍并排；矩阵保持，但字号降到 12.5px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&lt;640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</w:t>
            </w:r>
          </w:p>
        </w:tc>
        <w:tc>
          <w:tcPr>
            <w:tcW w:type="dxa" w:w="51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所有卡片堆叠为 1 列；Hero H1 降至 26px；矩阵变手风琴（按分类折叠）；顶栏汉堡菜单；Footer CTA 按钮一行一个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5.1 移动端必须满足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所有可点击元素 ≥44 × 44px（苹果 HIG 标准）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主 CTA 在首屏可见（Hero 内或 Sticky Nav 内，两者至少有一个）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字号最小 12px（合规/脚注除外）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功能矩阵滚动时表头 sticky（iOS 需要配合 position: sticky + overflow 注意事项）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首屏资源（CSS + 字体 + 首图）总计 ≤120KB gzipped</w:t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六、交互与动效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元素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触发</w:t>
            </w:r>
          </w:p>
        </w:tc>
        <w:tc>
          <w:tcPr>
            <w:tcW w:type="dxa" w:w="60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动效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主卡片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hover / 聚焦</w:t>
            </w:r>
          </w:p>
        </w:tc>
        <w:tc>
          <w:tcPr>
            <w:tcW w:type="dxa" w:w="60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transform: translateY(-4px)；阴影加深；200ms ease-out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ESSENTIAL "最受欢迎"角标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常驻</w:t>
            </w:r>
          </w:p>
        </w:tc>
        <w:tc>
          <w:tcPr>
            <w:tcW w:type="dxa" w:w="60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呼吸式脉冲 2s，透明度 0.8 ↔ 1（prefers-reduced-motion 下关闭）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FAQ 条目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</w:t>
            </w:r>
          </w:p>
        </w:tc>
        <w:tc>
          <w:tcPr>
            <w:tcW w:type="dxa" w:w="60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details 原生动画；自定义 max-height transition 300ms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TOV "了解详情"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点击</w:t>
            </w:r>
          </w:p>
        </w:tc>
        <w:tc>
          <w:tcPr>
            <w:tcW w:type="dxa" w:w="60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锚点平滑滚动到 FAQ 第二条并高亮 1s（background: #FFF4E6 → transparent）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Sticky Nav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滚动 &gt;80px</w:t>
            </w:r>
          </w:p>
        </w:tc>
        <w:tc>
          <w:tcPr>
            <w:tcW w:type="dxa" w:w="60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背景从透明过渡到白；添加 1px 底部阴影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 CTA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hover</w:t>
            </w:r>
          </w:p>
        </w:tc>
        <w:tc>
          <w:tcPr>
            <w:tcW w:type="dxa" w:w="60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背景变深 10%；下移 1px</w:t>
            </w:r>
          </w:p>
        </w:tc>
      </w:tr>
      <w:tr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功能矩阵行</w:t>
            </w:r>
          </w:p>
        </w:tc>
        <w:tc>
          <w:tcPr>
            <w:tcW w:type="dxa" w:w="172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hover</w:t>
            </w:r>
          </w:p>
        </w:tc>
        <w:tc>
          <w:tcPr>
            <w:tcW w:type="dxa" w:w="604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整行变 #F3F6FB 斑马条加深</w:t>
            </w:r>
          </w:p>
        </w:tc>
      </w:tr>
    </w:tbl>
    <w:p>
      <w:pPr>
        <w:spacing w:after="120" w:line="360" w:lineRule="auto"/>
      </w:pPr>
      <w:r>
        <w:rPr>
          <w:rFonts w:ascii="Microsoft YaHei" w:hAnsi="Microsoft YaHei" w:eastAsia="Microsoft YaHei"/>
          <w:b w:val="0"/>
          <w:sz w:val="20"/>
        </w:rPr>
        <w:t>所有动画默认 200–300ms ease-out；尊重 prefers-reduced-motion: reduce，此时全部动画/过渡改为 0ms。</w:t>
      </w:r>
    </w:p>
    <w:p>
      <w:r>
        <w:br w:type="page"/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七、文案规则（价格 / VAT / TOV）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7.1 价格呈现的四条铁律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①　</w:t>
      </w:r>
      <w:r>
        <w:rPr>
          <w:rFonts w:ascii="Microsoft YaHei" w:hAnsi="Microsoft YaHei" w:eastAsia="Microsoft YaHei"/>
          <w:sz w:val="21"/>
        </w:rPr>
        <w:t>所有档位的一次性价与月费都显示为 ex VAT（不含 23% VAT）。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②　</w:t>
      </w:r>
      <w:r>
        <w:rPr>
          <w:rFonts w:ascii="Microsoft YaHei" w:hAnsi="Microsoft YaHei" w:eastAsia="Microsoft YaHei"/>
          <w:sz w:val="21"/>
        </w:rPr>
        <w:t>每个档位卡的底部必须有一行小字："价格为 ex VAT，需另加 23% VAT"。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③　</w:t>
      </w:r>
      <w:r>
        <w:rPr>
          <w:rFonts w:ascii="Microsoft YaHei" w:hAnsi="Microsoft YaHei" w:eastAsia="Microsoft YaHei"/>
          <w:sz w:val="21"/>
        </w:rPr>
        <w:t>"起" 字要用在 €4,999 / €14,999 / €39,999 / €69,999 四档（视情况）；€499/€999 不加"起"以体现明确入门价。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④　</w:t>
      </w:r>
      <w:r>
        <w:rPr>
          <w:rFonts w:ascii="Microsoft YaHei" w:hAnsi="Microsoft YaHei" w:eastAsia="Microsoft YaHei"/>
          <w:sz w:val="21"/>
        </w:rPr>
        <w:t>货币符号 € 紧贴数字（€499），数字≥1000 加千分位逗号（€14,999）。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7.2 TOV 文案标准化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F0B37E"/>
              <w:left w:val="single" w:sz="8" w:color="F0B37E"/>
              <w:bottom w:val="single" w:sz="8" w:color="F0B37E"/>
              <w:right w:val="single" w:sz="8" w:color="F0B37E"/>
            </w:tcBorders>
            <w:shd w:val="clear" w:color="auto" w:fill="FFF4E6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B85A1A"/>
                <w:sz w:val="22"/>
              </w:rPr>
              <w:t>TOV 官方表述（必须用这版）：</w:t>
            </w:r>
          </w:p>
          <w:p>
            <w:pPr>
              <w:spacing w:after="0" w:line="336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Trading Online Voucher (TOV) 是爱尔兰 Local Enterprise Office (LEO) 提供的电商补贴，最高补助 €2,500（50/50 配套），用于小微企业建立或升级在线业务。本页 STARTER / ESSENTIAL 档均可用于申请，我们可提供完整申请材料。</w:t>
            </w:r>
          </w:p>
        </w:tc>
      </w:tr>
    </w:tbl>
    <w:p>
      <w:pPr>
        <w:spacing w:after="80"/>
      </w:pP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7.3 档位命名与副标题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档位代号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中文副标题（≤14字）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英文副标题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一句话定位（≤22字）</w:t>
            </w:r>
          </w:p>
        </w:tc>
      </w:tr>
      <w:tr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STARTER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个体户轻量上线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 Online Fast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适合个体户与小店 5 页内上线</w:t>
            </w:r>
          </w:p>
        </w:tc>
      </w:tr>
      <w:tr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ESSENTIAL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小店全套 + 基础电商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Small Store + Shop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含轻电商、邮件营销、在线支付</w:t>
            </w:r>
          </w:p>
        </w:tc>
      </w:tr>
      <w:tr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GROWTH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成长期 CRM + 营销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Grow with CRM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 CRM、预约/工单、营销工具全套</w:t>
            </w:r>
          </w:p>
        </w:tc>
      </w:tr>
      <w:tr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BUSINESS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企业级一站运营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 Your Business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全功能：HR/财务/采购/销售一站</w:t>
            </w:r>
          </w:p>
        </w:tc>
      </w:tr>
      <w:tr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ENTERPRISE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大型连锁级私有化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Enterprise Scale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私有化/SLA/API 集成/专属PM</w:t>
            </w:r>
          </w:p>
        </w:tc>
      </w:tr>
      <w:tr>
        <w:tc>
          <w:tcPr>
            <w:tcW w:type="dxa" w:w="158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BESPOKE</w:t>
            </w:r>
          </w:p>
        </w:tc>
        <w:tc>
          <w:tcPr>
            <w:tcW w:type="dxa" w:w="230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完全定制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Bespoke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从 0 开始完全按需设计开发</w:t>
            </w:r>
          </w:p>
        </w:tc>
      </w:tr>
    </w:tbl>
    <w:p>
      <w:r>
        <w:br w:type="page"/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八、技术实现说明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8.1 技术栈与交付物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当前 Demo　</w:t>
      </w:r>
      <w:r>
        <w:rPr>
          <w:rFonts w:ascii="Microsoft YaHei" w:hAnsi="Microsoft YaHei" w:eastAsia="Microsoft YaHei"/>
          <w:sz w:val="21"/>
        </w:rPr>
        <w:t>单文件 HTML（pricing-demo.html，≈35KB，含内联 CSS），可直接放 public/ 或 /pricing 路由下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正式版　</w:t>
      </w:r>
      <w:r>
        <w:rPr>
          <w:rFonts w:ascii="Microsoft YaHei" w:hAnsi="Microsoft YaHei" w:eastAsia="Microsoft YaHei"/>
          <w:sz w:val="21"/>
        </w:rPr>
        <w:t>建议拆成：pricing.html（结构）+ tokens.css（变量）+ pricing.css（样式）+ pricing.js（FAQ/sticky 行为）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框架建议　</w:t>
      </w:r>
      <w:r>
        <w:rPr>
          <w:rFonts w:ascii="Microsoft YaHei" w:hAnsi="Microsoft YaHei" w:eastAsia="Microsoft YaHei"/>
          <w:sz w:val="21"/>
        </w:rPr>
        <w:t>不依赖任何 JS 框架；可选引入 Alpine.js（~15KB gzipped）增强交互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关键技术点　</w:t>
      </w:r>
      <w:r>
        <w:rPr>
          <w:rFonts w:ascii="Microsoft YaHei" w:hAnsi="Microsoft YaHei" w:eastAsia="Microsoft YaHei"/>
          <w:sz w:val="21"/>
        </w:rPr>
        <w:t>FAQ 用 &lt;details&gt;；Sticky Nav 用 position:sticky；手风琴用 Grid + JS 计算 max-height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8.2 性能预算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测试工具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LCP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≤ 1.5s（4G）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Lighthouse / WebPageTest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FCP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≤ 1.0s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CLS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≤ 0.05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同上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TBT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≤ 150ms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Lighthouse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首屏 HTML size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≤ 60KB gzipped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WebPageTest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 总量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≤ 30KB gzipped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Coverage 面板</w:t>
            </w:r>
          </w:p>
        </w:tc>
      </w:tr>
      <w:tr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字体请求</w:t>
            </w:r>
          </w:p>
        </w:tc>
        <w:tc>
          <w:tcPr>
            <w:tcW w:type="dxa" w:w="31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 个 webfont</w:t>
            </w:r>
          </w:p>
        </w:tc>
        <w:tc>
          <w:tcPr>
            <w:tcW w:type="dxa" w:w="374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Network 面板</w:t>
            </w:r>
          </w:p>
        </w:tc>
      </w:tr>
    </w:tbl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8.3 浏览器支持矩阵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Chrome / Edge 最近 2 个大版本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Safari 最近 2 个大版本（iOS 16+）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Firefox 最近 2 个大版本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华人客户大陆访问：微信内置浏览器（X5）、QQ 浏览器、360 极速、Edge CN 版——需要手动测试一次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IE 11：不支持</w:t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九、埋点与数据分析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sz w:val="21"/>
        </w:rPr>
        <w:t>推荐使用 GA4 + Umami 双轨：GA4 用于转化漏斗，Umami 用于隐私友好的页面/点击追踪。以下事件命名须统一。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事件名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触发时机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上报参数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pricing_page_view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页面加载完成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referrer, device, locale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pricing_card_hover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主卡 hover &gt; 2s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tier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pricing_cta_click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任意 CTA 被点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tier, cta_type(primary/secondary), position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pricing_matrix_expand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移动端分类展开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category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pricing_faq_expand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FAQ 展开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question_id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pricing_tov_click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TOV 横幅"了解详情"被点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pricing_whatsapp_click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WhatsApp 按钮被点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position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pricing_calendar_click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预约视频按钮被点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position</w:t>
            </w:r>
          </w:p>
        </w:tc>
      </w:tr>
      <w:tr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pricing_scroll_75</w:t>
            </w:r>
          </w:p>
        </w:tc>
        <w:tc>
          <w:tcPr>
            <w:tcW w:type="dxa" w:w="345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滚动到页面 75%</w:t>
            </w:r>
          </w:p>
        </w:tc>
        <w:tc>
          <w:tcPr>
            <w:tcW w:type="dxa" w:w="302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—</w:t>
            </w:r>
          </w:p>
        </w:tc>
      </w:tr>
    </w:tbl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十、无障碍与 SEO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10.1 无障碍 (WCAG 2.1 AA)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所有颜色对比度 ≥ 4.5:1（正文）与 3:1（大号文字）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主 CTA 按钮必须有 :focus-visible 样式（2px 橙色描边）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所有图标（TOV 💰、打勾 ✓）必须带 aria-hidden + 语义文案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功能矩阵使用 &lt;table&gt; + &lt;th scope="col/row"&gt;，让屏幕阅读器可以逐行读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尊重 prefers-reduced-motion 与 prefers-color-scheme（未来 dark mode）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10.2 SEO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Title　</w:t>
      </w:r>
      <w:r>
        <w:rPr>
          <w:rFonts w:ascii="Microsoft YaHei" w:hAnsi="Microsoft YaHei" w:eastAsia="Microsoft YaHei"/>
          <w:sz w:val="21"/>
        </w:rPr>
        <w:t>&lt;title&gt;：定价方案 | 1688.ie 爱尔兰华人建站 SaaS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Desc　</w:t>
      </w:r>
      <w:r>
        <w:rPr>
          <w:rFonts w:ascii="Microsoft YaHei" w:hAnsi="Microsoft YaHei" w:eastAsia="Microsoft YaHei"/>
          <w:sz w:val="21"/>
        </w:rPr>
        <w:t>&lt;meta description&gt;：从 €499 起建站，6 档清晰定价，含 CRO/VAT 合规与 GDPR，最高 €2,500 TOV 补助。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结构化数据　</w:t>
      </w:r>
      <w:r>
        <w:rPr>
          <w:rFonts w:ascii="Microsoft YaHei" w:hAnsi="Microsoft YaHei" w:eastAsia="Microsoft YaHei"/>
          <w:sz w:val="21"/>
        </w:rPr>
        <w:t>JSON-LD schema.org/Product × 6 + Offer × 6（每档一个）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b/>
          <w:color w:val="1F3A68"/>
          <w:sz w:val="21"/>
        </w:rPr>
        <w:t xml:space="preserve">URL &amp; i18n　</w:t>
      </w:r>
      <w:r>
        <w:rPr>
          <w:rFonts w:ascii="Microsoft YaHei" w:hAnsi="Microsoft YaHei" w:eastAsia="Microsoft YaHei"/>
          <w:sz w:val="21"/>
        </w:rPr>
        <w:t>canonical 指向 https://1688.ie/pricing；提供 /zh/pricing 与 /en/pricing 两个语言版本 + hreflang</w:t>
      </w:r>
    </w:p>
    <w:p>
      <w:r>
        <w:br w:type="page"/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十一、上线 Checklist 与验收标准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11.1 内容验收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6 档的价格、月费、定位文案与《1688ie-定价研究报告》一致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所有价格附 ex VAT 标识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TOV 横幅可点击，跳到 FAQ 并高亮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功能矩阵 30+ 行全部填写，无"TBD"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FAQ 6 条文案 review by 市场负责人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Footer 含 CRO、VAT、公司注册地址（GDPR 要求）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11.2 设计验收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桌面 1920 / 1440 / 1280 三个宽度下布局不破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iPhone 14 / iPad / Galaxy S23 三种真机 OK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Lighthouse Performance ≥ 90；Accessibility ≥ 95；SEO ≥ 95；Best Practices ≥ 90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所有字体不出现 "FOIT"（文字不可见）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打印样式（@media print）可用：隐藏 Nav/FAQ，保留矩阵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11.3 合规与法务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/privacy 与 /terms 页面已上线并在 Footer 链接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Cookie banner（GDPR）首访弹出，同意前不加载 GA4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使用的所有图标/图片可商用且已声明许可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1F3A68"/>
          <w:sz w:val="28"/>
        </w:rPr>
        <w:t>11.4 埋点验收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GA4 中能看到 pricing_page_view、pricing_cta_click 事件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GA4 转化目标已设置：cta_click(primary) → 归因为"主要转化"</w:t>
      </w:r>
    </w:p>
    <w:p>
      <w:pPr>
        <w:pStyle w:val="ListBullet"/>
        <w:spacing w:after="60" w:line="336" w:lineRule="auto"/>
      </w:pPr>
      <w:r>
        <w:rPr>
          <w:rFonts w:ascii="Microsoft YaHei" w:hAnsi="Microsoft YaHei" w:eastAsia="Microsoft YaHei"/>
          <w:sz w:val="21"/>
        </w:rPr>
        <w:t>[ ] UTM 参数在 CTA 锚到表单时保留</w:t>
      </w:r>
    </w:p>
    <w:p>
      <w:pPr>
        <w:pBdr>
          <w:bottom w:val="single" w:sz="6" w:color="2E75B6" w:space="4"/>
        </w:pBdr>
        <w:spacing w:before="360" w:after="200"/>
      </w:pPr>
      <w:r>
        <w:rPr>
          <w:rFonts w:ascii="Microsoft YaHei" w:hAnsi="Microsoft YaHei" w:eastAsia="Microsoft YaHei"/>
          <w:b/>
          <w:color w:val="1F3A68"/>
          <w:sz w:val="36"/>
        </w:rPr>
        <w:t>十二、未来迭代路线图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关键动作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1F3A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预期效果</w:t>
            </w:r>
          </w:p>
        </w:tc>
      </w:tr>
      <w:tr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v1.1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上线后 2 周内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补充英文版 /en/pricing；添加 3 条客户 Logo 信任条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双语覆盖；首次白人客户询盘</w:t>
            </w:r>
          </w:p>
        </w:tc>
      </w:tr>
      <w:tr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v1.2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上线后 1 个月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基于 GA4 数据淘汰转化最差的一项功能描述；加 AB test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CTA 点击率 +15%</w:t>
            </w:r>
          </w:p>
        </w:tc>
      </w:tr>
      <w:tr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v1.3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上线后 2 个月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加"价格估算器"浮层（选需求 → 推荐档位 + 预估）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6FB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辅助决策，降低跳出</w:t>
            </w:r>
          </w:p>
        </w:tc>
      </w:tr>
      <w:tr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v2.0</w:t>
            </w:r>
          </w:p>
        </w:tc>
        <w:tc>
          <w:tcPr>
            <w:tcW w:type="dxa" w:w="187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上线后 3–4 个月</w:t>
            </w:r>
          </w:p>
        </w:tc>
        <w:tc>
          <w:tcPr>
            <w:tcW w:type="dxa" w:w="403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 Local 白人独立站点 en.1688.ie（预计改用英文品牌名）</w:t>
            </w:r>
          </w:p>
        </w:tc>
        <w:tc>
          <w:tcPr>
            <w:tcW w:type="dxa" w:w="2592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正式开启本地客户获取</w:t>
            </w:r>
          </w:p>
        </w:tc>
      </w:tr>
    </w:tbl>
    <w:p>
      <w:pPr>
        <w:spacing w:after="120" w:line="360" w:lineRule="auto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  <w:shd w:val="clear" w:color="auto" w:fill="E8F1FA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F3A68"/>
                <w:sz w:val="22"/>
              </w:rPr>
              <w:t>版本记录</w:t>
            </w:r>
          </w:p>
          <w:p>
            <w:pPr>
              <w:spacing w:after="0" w:line="336" w:lineRule="auto"/>
            </w:pPr>
            <w:r>
              <w:rPr>
                <w:rFonts w:ascii="Microsoft YaHei" w:hAnsi="Microsoft YaHei" w:eastAsia="Microsoft YaHei"/>
                <w:color w:val="1F2937"/>
                <w:sz w:val="20"/>
              </w:rPr>
              <w:t>v1.0 · 2026-04-19 · 首版发布，配套 pricing-demo.html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