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A Bíblia diante das práticas espíritas</w:t>
      </w:r>
    </w:p>
    <w:p>
      <w:pPr>
        <w:spacing w:after="140"/>
        <w:jc w:val="center"/>
      </w:pPr>
      <w:r>
        <w:rPr>
          <w:rFonts w:ascii="Aptos" w:hAnsi="Aptos"/>
          <w:b/>
          <w:color w:val="404040"/>
          <w:sz w:val="21"/>
        </w:rPr>
        <w:t>Discurso n.º 095  •  30 minutos</w:t>
      </w:r>
    </w:p>
    <w:p>
      <w:pPr>
        <w:pStyle w:val="Heading2"/>
      </w:pPr>
      <w:r>
        <w:t>Objetivo</w:t>
      </w:r>
    </w:p>
    <w:p>
      <w:r>
        <w:t>Explicar com equilíbrio por que a Bíblia condena o espiritismo e mostrar como a verdade e a amizade com Jeová dão proteção.</w:t>
      </w:r>
    </w:p>
    <w:p>
      <w:pPr>
        <w:pStyle w:val="Heading2"/>
      </w:pPr>
      <w:r>
        <w:t>Orientação ao orador</w:t>
      </w:r>
    </w:p>
    <w:p>
      <w:r>
        <w:t>Não descreva práticas ocultistas em detalhes nem desperte curiosidade. Fale de modo calmo, sem sensacionalismo, destacando a superioridade de Jeová e medidas práticas de proteção.</w:t>
      </w:r>
      <w:r>
        <w:t xml:space="preserve"> Mantenha contato visual e use estas notas como apoio, não como texto para leitura. Ao ler os textos-chave, dê tempo para a assistência acompanhar na Bíblia.</w:t>
      </w:r>
    </w:p>
    <w:p>
      <w:pPr/>
      <w:r>
        <w:rPr>
          <w:color w:val="C00000"/>
        </w:rPr>
        <w:t>Ilustração — Um manual só protege o equipamento quando é consultado antes do uso e seguido com atenção. Guardá-lo numa estante ou elogiar sua qualidade não evita danos. De modo parecido, a orientação bíblica nos beneficia quando passa da leitura para as decisões.</w:t>
      </w:r>
    </w:p>
    <w:tbl>
      <w:tblPr>
        <w:tblW w:type="auto" w:w="0"/>
        <w:jc w:val="center"/>
        <w:tblLayout w:type="autofit"/>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1970"/>
        <w:gridCol w:w="1970"/>
        <w:gridCol w:w="1970"/>
        <w:gridCol w:w="1970"/>
        <w:gridCol w:w="1970"/>
      </w:tblGrid>
      <w:tr>
        <w:tc>
          <w:tcPr>
            <w:tcW w:type="dxa" w:w="1970"/>
            <w:vAlign w:val="center"/>
            <w:tcMar>
              <w:top w:w="90" w:type="dxa"/>
              <w:start w:w="80" w:type="dxa"/>
              <w:bottom w:w="90" w:type="dxa"/>
              <w:end w:w="80" w:type="dxa"/>
            </w:tcMar>
          </w:tcPr>
          <w:p>
            <w:pPr>
              <w:keepLines/>
              <w:spacing w:after="0"/>
              <w:jc w:val="center"/>
            </w:pPr>
            <w:r>
              <w:rPr>
                <w:rFonts w:ascii="Aptos" w:hAnsi="Aptos"/>
                <w:b/>
                <w:sz w:val="18"/>
              </w:rPr>
              <w:t>Por que examinar o tema</w:t>
              <w:br/>
              <w:t>3 min</w:t>
            </w:r>
          </w:p>
        </w:tc>
        <w:tc>
          <w:tcPr>
            <w:tcW w:type="dxa" w:w="1970"/>
            <w:vAlign w:val="center"/>
            <w:tcMar>
              <w:top w:w="90" w:type="dxa"/>
              <w:start w:w="80" w:type="dxa"/>
              <w:bottom w:w="90" w:type="dxa"/>
              <w:end w:w="80" w:type="dxa"/>
            </w:tcMar>
          </w:tcPr>
          <w:p>
            <w:pPr>
              <w:keepLines/>
              <w:spacing w:after="0"/>
              <w:jc w:val="center"/>
            </w:pPr>
            <w:r>
              <w:rPr>
                <w:rFonts w:ascii="Aptos" w:hAnsi="Aptos"/>
                <w:b/>
                <w:sz w:val="18"/>
              </w:rPr>
              <w:t>Quem está por trás</w:t>
              <w:br/>
              <w:t>7 min</w:t>
            </w:r>
          </w:p>
        </w:tc>
        <w:tc>
          <w:tcPr>
            <w:tcW w:type="dxa" w:w="1970"/>
            <w:vAlign w:val="center"/>
            <w:tcMar>
              <w:top w:w="90" w:type="dxa"/>
              <w:start w:w="80" w:type="dxa"/>
              <w:bottom w:w="90" w:type="dxa"/>
              <w:end w:w="80" w:type="dxa"/>
            </w:tcMar>
          </w:tcPr>
          <w:p>
            <w:pPr>
              <w:keepLines/>
              <w:spacing w:after="0"/>
              <w:jc w:val="center"/>
            </w:pPr>
            <w:r>
              <w:rPr>
                <w:rFonts w:ascii="Aptos" w:hAnsi="Aptos"/>
                <w:b/>
                <w:sz w:val="18"/>
              </w:rPr>
              <w:t>O que acontece na morte</w:t>
              <w:br/>
              <w:t>6 min</w:t>
            </w:r>
          </w:p>
        </w:tc>
        <w:tc>
          <w:tcPr>
            <w:tcW w:type="dxa" w:w="1970"/>
            <w:vAlign w:val="center"/>
            <w:tcMar>
              <w:top w:w="90" w:type="dxa"/>
              <w:start w:w="80" w:type="dxa"/>
              <w:bottom w:w="90" w:type="dxa"/>
              <w:end w:w="80" w:type="dxa"/>
            </w:tcMar>
          </w:tcPr>
          <w:p>
            <w:pPr>
              <w:keepLines/>
              <w:spacing w:after="0"/>
              <w:jc w:val="center"/>
            </w:pPr>
            <w:r>
              <w:rPr>
                <w:rFonts w:ascii="Aptos" w:hAnsi="Aptos"/>
                <w:b/>
                <w:sz w:val="18"/>
              </w:rPr>
              <w:t>Como evitar influência</w:t>
              <w:br/>
              <w:t>10 min</w:t>
            </w:r>
          </w:p>
        </w:tc>
        <w:tc>
          <w:tcPr>
            <w:tcW w:type="dxa" w:w="1970"/>
            <w:vAlign w:val="center"/>
            <w:tcMar>
              <w:top w:w="90" w:type="dxa"/>
              <w:start w:w="80" w:type="dxa"/>
              <w:bottom w:w="90" w:type="dxa"/>
              <w:end w:w="80" w:type="dxa"/>
            </w:tcMar>
          </w:tcPr>
          <w:p>
            <w:pPr>
              <w:keepLines/>
              <w:spacing w:after="0"/>
              <w:jc w:val="center"/>
            </w:pPr>
            <w:r>
              <w:rPr>
                <w:rFonts w:ascii="Aptos" w:hAnsi="Aptos"/>
                <w:b/>
                <w:sz w:val="18"/>
              </w:rPr>
              <w:t>A verdade liberta</w:t>
              <w:br/>
              <w:t>4 min</w:t>
            </w:r>
          </w:p>
        </w:tc>
      </w:tr>
    </w:tbl>
    <w:p>
      <w:pPr>
        <w:pStyle w:val="Heading1"/>
      </w:pPr>
      <w:r>
        <w:t>Por que examinar o tema 3 minutos</w:t>
      </w:r>
    </w:p>
    <w:p>
      <w:pPr>
        <w:pStyle w:val="Indicação"/>
        <w:keepNext w:val="0"/>
      </w:pPr>
      <w:r>
        <w:t>[0:00–1:30] Muitas pessoas procuram respostas sobre o futuro ou sobre quem morreu. Outras encaram práticas espíritas como diversão inofensiva. Mas uma porta com aparência atraente ainda pode levar a um lugar perigoso. Como saber?</w:t>
      </w:r>
    </w:p>
    <w:p>
      <w:pPr>
        <w:pStyle w:val="Indicação"/>
        <w:keepNext w:val="0"/>
      </w:pPr>
      <w:r>
        <w:t>[Leia Isaías 8:19, 20.] O povo de Deus deveria consultar a ele e sua instrução, não médiuns nem os mortos. A Bíblia oferece uma explicação clara, sem alimentar medo ou curiosidade.</w:t>
      </w:r>
    </w:p>
    <w:p>
      <w:pPr>
        <w:pStyle w:val="Indicação"/>
        <w:keepNext w:val="0"/>
      </w:pPr>
      <w:r>
        <w:t>[1:30–3:00] Vamos responder: Quem promove o espiritismo? Os mortos podem falar? E como podemos nos proteger? A resposta central é tranquilizadora: Jeová é infinitamente mais poderoso e cuida de quem se aproxima dele.</w:t>
      </w:r>
    </w:p>
    <w:p>
      <w:pPr>
        <w:pStyle w:val="Heading1"/>
      </w:pPr>
      <w:r>
        <w:t>Quem está por trás do espiritismo 7 minutos</w:t>
      </w:r>
    </w:p>
    <w:p>
      <w:pPr>
        <w:pStyle w:val="Indicação"/>
        <w:keepNext w:val="0"/>
      </w:pPr>
      <w:r>
        <w:t>[3:00–5:30] A Bíblia mostra que existem criaturas espirituais fiéis, os anjos. Mas alguns se rebelaram e se tornaram demônios sob a liderança de Satanás. Apocalipse 12:9 chama Satanás de enganador de toda a terra habitada.</w:t>
      </w:r>
    </w:p>
    <w:p>
      <w:pPr>
        <w:pStyle w:val="Indicação"/>
        <w:keepNext w:val="0"/>
      </w:pPr>
      <w:r>
        <w:t>[5:30–7:30] Jesus disse em João 8:44 que o Diabo é “o pai da mentira”. Uma de suas primeiras mentiras foi dizer a Eva que ela não morreria. A ideia de que uma parte consciente da pessoa continua viva depois da morte mantém essa mentira.</w:t>
      </w:r>
    </w:p>
    <w:p>
      <w:pPr>
        <w:pStyle w:val="Indicação"/>
        <w:keepNext w:val="0"/>
      </w:pPr>
      <w:r>
        <w:t>[7:30–10:00] Os demônios tentam desviar a adoração de Jeová. Podem explorar medo, desejo de poder ou saudade de alguém. Por isso, não devemos tratar adivinhação, magia ou comunicação com espíritos como brincadeira. Ao mesmo tempo, não precisamos atribuir automaticamente toda experiência assustadora ao sobrenatural. O critério seguro é a Palavra de Deus.</w:t>
      </w:r>
    </w:p>
    <w:p>
      <w:pPr>
        <w:pStyle w:val="Heading1"/>
      </w:pPr>
      <w:r>
        <w:t>Os mortos não podem comunicar-se 6 minutos</w:t>
      </w:r>
    </w:p>
    <w:p>
      <w:pPr>
        <w:pStyle w:val="Indicação"/>
        <w:keepNext w:val="0"/>
      </w:pPr>
      <w:r>
        <w:t>[10:00–12:30] [Leia Eclesiastes 9:5, 10.] Os mortos “não sabem absolutamente nada” e não há atividade na Sepultura. A morte é ausência de consciência, não passagem para outra vida invisível.</w:t>
      </w:r>
    </w:p>
    <w:p>
      <w:pPr>
        <w:pStyle w:val="Indicação"/>
        <w:keepNext w:val="0"/>
      </w:pPr>
      <w:r>
        <w:t>[12:30–14:00] Isso significa que uma voz ou informação atribuída a um falecido não vem dele. Pode haver fraude, imaginação ou influência demoníaca. Em qualquer caso, buscar esse contato é contrário à vontade de Deus.</w:t>
      </w:r>
    </w:p>
    <w:p>
      <w:pPr>
        <w:pStyle w:val="Indicação"/>
        <w:keepNext w:val="0"/>
      </w:pPr>
      <w:r>
        <w:t>[14:00–16:00] Essa verdade também consola. Nossos entes queridos não estão sofrendo nem vagando. Estão na memória de Jeová, aguardando a ressurreição. A esperança bíblica não é comunicação com os mortos; é vê-los voltar à vida por ação de Deus.</w:t>
      </w:r>
    </w:p>
    <w:p>
      <w:pPr>
        <w:pStyle w:val="Heading1"/>
      </w:pPr>
      <w:r>
        <w:t>Como evitar a influência espírita 10 minutos</w:t>
      </w:r>
    </w:p>
    <w:p>
      <w:pPr>
        <w:pStyle w:val="Indicação"/>
        <w:keepNext w:val="0"/>
      </w:pPr>
      <w:r>
        <w:t>[16:00–18:30] [Leia Deuteronômio 18:10-12.] Jeová condenou adivinhação, magia e consulta aos mortos. A lista cobre qualquer tentativa de obter poder ou informação por meios ocultos, mesmo que receba nome moderno ou cultural.</w:t>
      </w:r>
    </w:p>
    <w:p>
      <w:pPr>
        <w:pStyle w:val="Indicação"/>
        <w:keepNext w:val="0"/>
      </w:pPr>
      <w:r>
        <w:t>[18:30–20:30] Examine objetos, aplicativos, jogos, filmes e músicas que normalizem o ocultismo. A pergunta não é apenas “Isto me assusta?”, mas “Isto torna atraente o que Jeová condena?” Rejeitar esse conteúdo protege a mente.</w:t>
      </w:r>
    </w:p>
    <w:p>
      <w:pPr>
        <w:pStyle w:val="Indicação"/>
        <w:keepNext w:val="0"/>
      </w:pPr>
      <w:r>
        <w:t>[20:30–22:00] Se alguém possui objetos diretamente ligados a práticas espíritas, deve livrar-se deles, não vendê-los nem dá-los a outro. Os cristãos de Éfeso destruíram livros de magia, mostrando ruptura completa.</w:t>
      </w:r>
    </w:p>
    <w:p>
      <w:pPr>
        <w:pStyle w:val="Indicação"/>
        <w:keepNext w:val="0"/>
      </w:pPr>
      <w:r>
        <w:t>[22:00–24:00] [Leia Tiago 4:7, 8.] Há duas ações: resistir ao Diabo e aproximar-se de Deus. Resistimos recusando práticas ocultas. Aproximamo-nos por oração, estudo da Bíblia, reuniões e uso do nome de Jeová.</w:t>
      </w:r>
    </w:p>
    <w:p>
      <w:pPr>
        <w:pStyle w:val="Indicação"/>
        <w:keepNext w:val="0"/>
      </w:pPr>
      <w:r>
        <w:t>[24:00–26:00] Quem já se envolveu não precisa pensar que não há saída. Pode pedir ajuda a Jeová e conversar com anciãos maduros. Se ansiedade, vozes ou outros sintomas persistirem, buscar avaliação médica apropriada não demonstra falta de fé. O objetivo é receber ajuda segura e manter-se perto de Jeová.</w:t>
      </w:r>
    </w:p>
    <w:p>
      <w:pPr>
        <w:pStyle w:val="Heading1"/>
      </w:pPr>
      <w:r>
        <w:t>A verdade liberta do medo 4 minutos</w:t>
      </w:r>
    </w:p>
    <w:p>
      <w:pPr>
        <w:pStyle w:val="Indicação"/>
        <w:keepNext w:val="0"/>
      </w:pPr>
      <w:r>
        <w:t>[26:00–28:00] João 8:32 diz que a verdade liberta. Sabemos quem são os mortos, reconhecemos as mentiras de Satanás e temos um caminho claro de proteção. Não precisamos viver examinando cada ruído ou coincidência com medo.</w:t>
      </w:r>
    </w:p>
    <w:p>
      <w:pPr>
        <w:pStyle w:val="Indicação"/>
        <w:keepNext w:val="0"/>
      </w:pPr>
      <w:r>
        <w:t>[28:00–30:00] Apocalipse 20:1-3 promete que Satanás será restringido. Retome a imagem da porta: a Bíblia não apenas avisa “não entre”; ela nos conduz por um caminho iluminado até Jeová. Rejeite toda prática espírita, encha a mente com a verdade e confie que o Deus Todo-Poderoso protege seus amigos leais.</w:t>
      </w:r>
    </w:p>
    <w:p>
      <w:pPr>
        <w:pStyle w:val="Heading1"/>
      </w:pPr>
      <w:r>
        <w:t>Mapa de apresentação</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62"/>
        <w:gridCol w:w="2462"/>
        <w:gridCol w:w="2462"/>
        <w:gridCol w:w="2462"/>
      </w:tblGrid>
      <w:tr>
        <w:tc>
          <w:tcPr>
            <w:tcW w:type="dxa" w:w="1440"/>
            <w:shd w:fill="1F4E78"/>
            <w:tcMar>
              <w:top w:w="100" w:type="dxa"/>
              <w:start w:w="120" w:type="dxa"/>
              <w:bottom w:w="100" w:type="dxa"/>
              <w:end w:w="120" w:type="dxa"/>
            </w:tcMar>
            <w:vAlign w:val="center"/>
          </w:tcPr>
          <w:p>
            <w:pPr>
              <w:keepLines/>
              <w:spacing w:after="0"/>
              <w:jc w:val="center"/>
            </w:pPr>
            <w:r>
              <w:rPr>
                <w:b/>
                <w:color w:val="FFFFFF"/>
                <w:sz w:val="18"/>
              </w:rPr>
              <w:t>Tempo</w:t>
            </w:r>
          </w:p>
        </w:tc>
        <w:tc>
          <w:tcPr>
            <w:tcW w:type="dxa" w:w="2088"/>
            <w:shd w:fill="1F4E78"/>
            <w:tcMar>
              <w:top w:w="100" w:type="dxa"/>
              <w:start w:w="120" w:type="dxa"/>
              <w:bottom w:w="100" w:type="dxa"/>
              <w:end w:w="120" w:type="dxa"/>
            </w:tcMar>
            <w:vAlign w:val="center"/>
          </w:tcPr>
          <w:p>
            <w:pPr>
              <w:keepLines/>
              <w:spacing w:after="0"/>
              <w:jc w:val="center"/>
            </w:pPr>
            <w:r>
              <w:rPr>
                <w:b/>
                <w:color w:val="FFFFFF"/>
                <w:sz w:val="18"/>
              </w:rPr>
              <w:t>Seção</w:t>
            </w:r>
          </w:p>
        </w:tc>
        <w:tc>
          <w:tcPr>
            <w:tcW w:type="dxa" w:w="4536"/>
            <w:shd w:fill="1F4E78"/>
            <w:tcMar>
              <w:top w:w="100" w:type="dxa"/>
              <w:start w:w="120" w:type="dxa"/>
              <w:bottom w:w="100" w:type="dxa"/>
              <w:end w:w="120" w:type="dxa"/>
            </w:tcMar>
            <w:vAlign w:val="center"/>
          </w:tcPr>
          <w:p>
            <w:pPr>
              <w:keepLines/>
              <w:spacing w:after="0"/>
              <w:jc w:val="center"/>
            </w:pPr>
            <w:r>
              <w:rPr>
                <w:b/>
                <w:color w:val="FFFFFF"/>
                <w:sz w:val="18"/>
              </w:rPr>
              <w:t>Ideia central</w:t>
            </w:r>
          </w:p>
        </w:tc>
        <w:tc>
          <w:tcPr>
            <w:tcW w:type="dxa" w:w="1944"/>
            <w:shd w:fill="1F4E78"/>
            <w:tcMar>
              <w:top w:w="100" w:type="dxa"/>
              <w:start w:w="120" w:type="dxa"/>
              <w:bottom w:w="100" w:type="dxa"/>
              <w:end w:w="120" w:type="dxa"/>
            </w:tcMar>
            <w:vAlign w:val="center"/>
          </w:tcPr>
          <w:p>
            <w:pPr>
              <w:keepLines/>
              <w:spacing w:after="0"/>
              <w:jc w:val="center"/>
            </w:pPr>
            <w:r>
              <w:rPr>
                <w:b/>
                <w:color w:val="FFFFFF"/>
                <w:sz w:val="18"/>
              </w:rPr>
              <w:t>Leituras</w:t>
            </w:r>
          </w:p>
        </w:tc>
      </w:tr>
      <w:tr>
        <w:tc>
          <w:tcPr>
            <w:tcW w:type="dxa" w:w="1440"/>
            <w:vAlign w:val="center"/>
            <w:tcMar>
              <w:top w:w="100" w:type="dxa"/>
              <w:start w:w="120" w:type="dxa"/>
              <w:bottom w:w="100" w:type="dxa"/>
              <w:end w:w="120" w:type="dxa"/>
            </w:tcMar>
          </w:tcPr>
          <w:p>
            <w:pPr>
              <w:keepLines/>
              <w:spacing w:after="0"/>
              <w:jc w:val="center"/>
            </w:pPr>
            <w:r>
              <w:rPr>
                <w:rFonts w:ascii="Aptos" w:hAnsi="Aptos"/>
                <w:sz w:val="18"/>
              </w:rPr>
              <w:t>0:00–3:00</w:t>
            </w:r>
          </w:p>
        </w:tc>
        <w:tc>
          <w:tcPr>
            <w:tcW w:type="dxa" w:w="2088"/>
            <w:vAlign w:val="center"/>
            <w:tcMar>
              <w:top w:w="100" w:type="dxa"/>
              <w:start w:w="120" w:type="dxa"/>
              <w:bottom w:w="100" w:type="dxa"/>
              <w:end w:w="120" w:type="dxa"/>
            </w:tcMar>
          </w:tcPr>
          <w:p>
            <w:pPr>
              <w:keepLines/>
              <w:spacing w:after="0"/>
              <w:jc w:val="left"/>
            </w:pPr>
            <w:r>
              <w:rPr>
                <w:rFonts w:ascii="Aptos" w:hAnsi="Aptos"/>
                <w:sz w:val="18"/>
              </w:rPr>
              <w:t>Por que examinar o tema</w:t>
            </w:r>
          </w:p>
        </w:tc>
        <w:tc>
          <w:tcPr>
            <w:tcW w:type="dxa" w:w="4536"/>
            <w:vAlign w:val="center"/>
            <w:tcMar>
              <w:top w:w="100" w:type="dxa"/>
              <w:start w:w="120" w:type="dxa"/>
              <w:bottom w:w="100" w:type="dxa"/>
              <w:end w:w="120" w:type="dxa"/>
            </w:tcMar>
          </w:tcPr>
          <w:p>
            <w:pPr>
              <w:keepLines/>
              <w:spacing w:after="0"/>
              <w:jc w:val="left"/>
            </w:pPr>
            <w:r>
              <w:rPr>
                <w:rFonts w:ascii="Aptos" w:hAnsi="Aptos"/>
                <w:sz w:val="18"/>
              </w:rPr>
              <w:t>Curiosidade espiritual precisa ser orientada pela Bíblia.</w:t>
            </w:r>
          </w:p>
        </w:tc>
        <w:tc>
          <w:tcPr>
            <w:tcW w:type="dxa" w:w="1944"/>
            <w:vAlign w:val="center"/>
            <w:tcMar>
              <w:top w:w="100" w:type="dxa"/>
              <w:start w:w="120" w:type="dxa"/>
              <w:bottom w:w="100" w:type="dxa"/>
              <w:end w:w="120" w:type="dxa"/>
            </w:tcMar>
          </w:tcPr>
          <w:p>
            <w:pPr>
              <w:keepLines/>
              <w:spacing w:after="0"/>
              <w:jc w:val="center"/>
            </w:pPr>
            <w:r>
              <w:rPr>
                <w:rFonts w:ascii="Aptos" w:hAnsi="Aptos"/>
                <w:sz w:val="18"/>
              </w:rPr>
              <w:t>Isaías 8:19, 20</w:t>
            </w:r>
          </w:p>
        </w:tc>
      </w:tr>
      <w:tr>
        <w:tc>
          <w:tcPr>
            <w:tcW w:type="dxa" w:w="1440"/>
            <w:vAlign w:val="center"/>
            <w:tcMar>
              <w:top w:w="100" w:type="dxa"/>
              <w:start w:w="120" w:type="dxa"/>
              <w:bottom w:w="100" w:type="dxa"/>
              <w:end w:w="120" w:type="dxa"/>
            </w:tcMar>
            <w:shd w:fill="EAF2F8"/>
          </w:tcPr>
          <w:p>
            <w:pPr>
              <w:keepLines/>
              <w:spacing w:after="0"/>
              <w:jc w:val="center"/>
            </w:pPr>
            <w:r>
              <w:rPr>
                <w:rFonts w:ascii="Aptos" w:hAnsi="Aptos"/>
                <w:sz w:val="18"/>
              </w:rPr>
              <w:t>3:00–10:00</w:t>
            </w:r>
          </w:p>
        </w:tc>
        <w:tc>
          <w:tcPr>
            <w:tcW w:type="dxa" w:w="2088"/>
            <w:vAlign w:val="center"/>
            <w:tcMar>
              <w:top w:w="100" w:type="dxa"/>
              <w:start w:w="120" w:type="dxa"/>
              <w:bottom w:w="100" w:type="dxa"/>
              <w:end w:w="120" w:type="dxa"/>
            </w:tcMar>
            <w:shd w:fill="EAF2F8"/>
          </w:tcPr>
          <w:p>
            <w:pPr>
              <w:keepLines/>
              <w:spacing w:after="0"/>
              <w:jc w:val="left"/>
            </w:pPr>
            <w:r>
              <w:rPr>
                <w:rFonts w:ascii="Aptos" w:hAnsi="Aptos"/>
                <w:sz w:val="18"/>
              </w:rPr>
              <w:t>Quem está por trás</w:t>
            </w:r>
          </w:p>
        </w:tc>
        <w:tc>
          <w:tcPr>
            <w:tcW w:type="dxa" w:w="4536"/>
            <w:vAlign w:val="center"/>
            <w:tcMar>
              <w:top w:w="100" w:type="dxa"/>
              <w:start w:w="120" w:type="dxa"/>
              <w:bottom w:w="100" w:type="dxa"/>
              <w:end w:w="120" w:type="dxa"/>
            </w:tcMar>
            <w:shd w:fill="EAF2F8"/>
          </w:tcPr>
          <w:p>
            <w:pPr>
              <w:keepLines/>
              <w:spacing w:after="0"/>
              <w:jc w:val="left"/>
            </w:pPr>
            <w:r>
              <w:rPr>
                <w:rFonts w:ascii="Aptos" w:hAnsi="Aptos"/>
                <w:sz w:val="18"/>
              </w:rPr>
              <w:t>Satanás e os demônios promovem engano e mentira.</w:t>
            </w:r>
          </w:p>
        </w:tc>
        <w:tc>
          <w:tcPr>
            <w:tcW w:type="dxa" w:w="1944"/>
            <w:vAlign w:val="center"/>
            <w:tcMar>
              <w:top w:w="100" w:type="dxa"/>
              <w:start w:w="120" w:type="dxa"/>
              <w:bottom w:w="100" w:type="dxa"/>
              <w:end w:w="120" w:type="dxa"/>
            </w:tcMar>
            <w:shd w:fill="EAF2F8"/>
          </w:tcPr>
          <w:p>
            <w:pPr>
              <w:keepLines/>
              <w:spacing w:after="0"/>
              <w:jc w:val="center"/>
            </w:pPr>
            <w:r>
              <w:rPr>
                <w:rFonts w:ascii="Aptos" w:hAnsi="Aptos"/>
                <w:sz w:val="18"/>
              </w:rPr>
              <w:t>João 8:44; Apocalipse 12:9</w:t>
            </w:r>
          </w:p>
        </w:tc>
      </w:tr>
      <w:tr>
        <w:tc>
          <w:tcPr>
            <w:tcW w:type="dxa" w:w="1440"/>
            <w:vAlign w:val="center"/>
            <w:tcMar>
              <w:top w:w="100" w:type="dxa"/>
              <w:start w:w="120" w:type="dxa"/>
              <w:bottom w:w="100" w:type="dxa"/>
              <w:end w:w="120" w:type="dxa"/>
            </w:tcMar>
          </w:tcPr>
          <w:p>
            <w:pPr>
              <w:keepLines/>
              <w:spacing w:after="0"/>
              <w:jc w:val="center"/>
            </w:pPr>
            <w:r>
              <w:rPr>
                <w:rFonts w:ascii="Aptos" w:hAnsi="Aptos"/>
                <w:sz w:val="18"/>
              </w:rPr>
              <w:t>10:00–16:00</w:t>
            </w:r>
          </w:p>
        </w:tc>
        <w:tc>
          <w:tcPr>
            <w:tcW w:type="dxa" w:w="2088"/>
            <w:vAlign w:val="center"/>
            <w:tcMar>
              <w:top w:w="100" w:type="dxa"/>
              <w:start w:w="120" w:type="dxa"/>
              <w:bottom w:w="100" w:type="dxa"/>
              <w:end w:w="120" w:type="dxa"/>
            </w:tcMar>
          </w:tcPr>
          <w:p>
            <w:pPr>
              <w:keepLines/>
              <w:spacing w:after="0"/>
              <w:jc w:val="left"/>
            </w:pPr>
            <w:r>
              <w:rPr>
                <w:rFonts w:ascii="Aptos" w:hAnsi="Aptos"/>
                <w:sz w:val="18"/>
              </w:rPr>
              <w:t>O que acontece na morte</w:t>
            </w:r>
          </w:p>
        </w:tc>
        <w:tc>
          <w:tcPr>
            <w:tcW w:type="dxa" w:w="4536"/>
            <w:vAlign w:val="center"/>
            <w:tcMar>
              <w:top w:w="100" w:type="dxa"/>
              <w:start w:w="120" w:type="dxa"/>
              <w:bottom w:w="100" w:type="dxa"/>
              <w:end w:w="120" w:type="dxa"/>
            </w:tcMar>
          </w:tcPr>
          <w:p>
            <w:pPr>
              <w:keepLines/>
              <w:spacing w:after="0"/>
              <w:jc w:val="left"/>
            </w:pPr>
            <w:r>
              <w:rPr>
                <w:rFonts w:ascii="Aptos" w:hAnsi="Aptos"/>
                <w:sz w:val="18"/>
              </w:rPr>
              <w:t>Os mortos estão inconscientes e não podem comunicar-se.</w:t>
            </w:r>
          </w:p>
        </w:tc>
        <w:tc>
          <w:tcPr>
            <w:tcW w:type="dxa" w:w="1944"/>
            <w:vAlign w:val="center"/>
            <w:tcMar>
              <w:top w:w="100" w:type="dxa"/>
              <w:start w:w="120" w:type="dxa"/>
              <w:bottom w:w="100" w:type="dxa"/>
              <w:end w:w="120" w:type="dxa"/>
            </w:tcMar>
          </w:tcPr>
          <w:p>
            <w:pPr>
              <w:keepLines/>
              <w:spacing w:after="0"/>
              <w:jc w:val="center"/>
            </w:pPr>
            <w:r>
              <w:rPr>
                <w:rFonts w:ascii="Aptos" w:hAnsi="Aptos"/>
                <w:sz w:val="18"/>
              </w:rPr>
              <w:t>Eclesiastes 9:5, 10</w:t>
            </w:r>
          </w:p>
        </w:tc>
      </w:tr>
      <w:tr>
        <w:tc>
          <w:tcPr>
            <w:tcW w:type="dxa" w:w="1440"/>
            <w:vAlign w:val="center"/>
            <w:tcMar>
              <w:top w:w="100" w:type="dxa"/>
              <w:start w:w="120" w:type="dxa"/>
              <w:bottom w:w="100" w:type="dxa"/>
              <w:end w:w="120" w:type="dxa"/>
            </w:tcMar>
            <w:shd w:fill="EAF2F8"/>
          </w:tcPr>
          <w:p>
            <w:pPr>
              <w:keepLines/>
              <w:spacing w:after="0"/>
              <w:jc w:val="center"/>
            </w:pPr>
            <w:r>
              <w:rPr>
                <w:rFonts w:ascii="Aptos" w:hAnsi="Aptos"/>
                <w:sz w:val="18"/>
              </w:rPr>
              <w:t>16:00–26:00</w:t>
            </w:r>
          </w:p>
        </w:tc>
        <w:tc>
          <w:tcPr>
            <w:tcW w:type="dxa" w:w="2088"/>
            <w:vAlign w:val="center"/>
            <w:tcMar>
              <w:top w:w="100" w:type="dxa"/>
              <w:start w:w="120" w:type="dxa"/>
              <w:bottom w:w="100" w:type="dxa"/>
              <w:end w:w="120" w:type="dxa"/>
            </w:tcMar>
            <w:shd w:fill="EAF2F8"/>
          </w:tcPr>
          <w:p>
            <w:pPr>
              <w:keepLines/>
              <w:spacing w:after="0"/>
              <w:jc w:val="left"/>
            </w:pPr>
            <w:r>
              <w:rPr>
                <w:rFonts w:ascii="Aptos" w:hAnsi="Aptos"/>
                <w:sz w:val="18"/>
              </w:rPr>
              <w:t>Como evitar influência</w:t>
            </w:r>
          </w:p>
        </w:tc>
        <w:tc>
          <w:tcPr>
            <w:tcW w:type="dxa" w:w="4536"/>
            <w:vAlign w:val="center"/>
            <w:tcMar>
              <w:top w:w="100" w:type="dxa"/>
              <w:start w:w="120" w:type="dxa"/>
              <w:bottom w:w="100" w:type="dxa"/>
              <w:end w:w="120" w:type="dxa"/>
            </w:tcMar>
            <w:shd w:fill="EAF2F8"/>
          </w:tcPr>
          <w:p>
            <w:pPr>
              <w:keepLines/>
              <w:spacing w:after="0"/>
              <w:jc w:val="left"/>
            </w:pPr>
            <w:r>
              <w:rPr>
                <w:rFonts w:ascii="Aptos" w:hAnsi="Aptos"/>
                <w:sz w:val="18"/>
              </w:rPr>
              <w:t>Rejeite práticas, objetos e entretenimento ocultista; aproxime-se de Jeová.</w:t>
            </w:r>
          </w:p>
        </w:tc>
        <w:tc>
          <w:tcPr>
            <w:tcW w:type="dxa" w:w="1944"/>
            <w:vAlign w:val="center"/>
            <w:tcMar>
              <w:top w:w="100" w:type="dxa"/>
              <w:start w:w="120" w:type="dxa"/>
              <w:bottom w:w="100" w:type="dxa"/>
              <w:end w:w="120" w:type="dxa"/>
            </w:tcMar>
            <w:shd w:fill="EAF2F8"/>
          </w:tcPr>
          <w:p>
            <w:pPr>
              <w:keepLines/>
              <w:spacing w:after="0"/>
              <w:jc w:val="center"/>
            </w:pPr>
            <w:r>
              <w:rPr>
                <w:rFonts w:ascii="Aptos" w:hAnsi="Aptos"/>
                <w:sz w:val="18"/>
              </w:rPr>
              <w:t>Deuteronômio 18:10-12; Tiago 4:7, 8</w:t>
            </w:r>
          </w:p>
        </w:tc>
      </w:tr>
      <w:tr>
        <w:tc>
          <w:tcPr>
            <w:tcW w:type="dxa" w:w="1440"/>
            <w:vAlign w:val="center"/>
            <w:tcMar>
              <w:top w:w="100" w:type="dxa"/>
              <w:start w:w="120" w:type="dxa"/>
              <w:bottom w:w="100" w:type="dxa"/>
              <w:end w:w="120" w:type="dxa"/>
            </w:tcMar>
          </w:tcPr>
          <w:p>
            <w:pPr>
              <w:keepLines/>
              <w:spacing w:after="0"/>
              <w:jc w:val="center"/>
            </w:pPr>
            <w:r>
              <w:rPr>
                <w:rFonts w:ascii="Aptos" w:hAnsi="Aptos"/>
                <w:sz w:val="18"/>
              </w:rPr>
              <w:t>26:00–30:00</w:t>
            </w:r>
          </w:p>
        </w:tc>
        <w:tc>
          <w:tcPr>
            <w:tcW w:type="dxa" w:w="2088"/>
            <w:vAlign w:val="center"/>
            <w:tcMar>
              <w:top w:w="100" w:type="dxa"/>
              <w:start w:w="120" w:type="dxa"/>
              <w:bottom w:w="100" w:type="dxa"/>
              <w:end w:w="120" w:type="dxa"/>
            </w:tcMar>
          </w:tcPr>
          <w:p>
            <w:pPr>
              <w:keepLines/>
              <w:spacing w:after="0"/>
              <w:jc w:val="left"/>
            </w:pPr>
            <w:r>
              <w:rPr>
                <w:rFonts w:ascii="Aptos" w:hAnsi="Aptos"/>
                <w:sz w:val="18"/>
              </w:rPr>
              <w:t>A verdade liberta</w:t>
            </w:r>
          </w:p>
        </w:tc>
        <w:tc>
          <w:tcPr>
            <w:tcW w:type="dxa" w:w="4536"/>
            <w:vAlign w:val="center"/>
            <w:tcMar>
              <w:top w:w="100" w:type="dxa"/>
              <w:start w:w="120" w:type="dxa"/>
              <w:bottom w:w="100" w:type="dxa"/>
              <w:end w:w="120" w:type="dxa"/>
            </w:tcMar>
          </w:tcPr>
          <w:p>
            <w:pPr>
              <w:keepLines/>
              <w:spacing w:after="0"/>
              <w:jc w:val="left"/>
            </w:pPr>
            <w:r>
              <w:rPr>
                <w:rFonts w:ascii="Aptos" w:hAnsi="Aptos"/>
                <w:sz w:val="18"/>
              </w:rPr>
              <w:t>Jeová é superior e em breve eliminará toda influência demoníaca.</w:t>
            </w:r>
          </w:p>
        </w:tc>
        <w:tc>
          <w:tcPr>
            <w:tcW w:type="dxa" w:w="1944"/>
            <w:vAlign w:val="center"/>
            <w:tcMar>
              <w:top w:w="100" w:type="dxa"/>
              <w:start w:w="120" w:type="dxa"/>
              <w:bottom w:w="100" w:type="dxa"/>
              <w:end w:w="120" w:type="dxa"/>
            </w:tcMar>
          </w:tcPr>
          <w:p>
            <w:pPr>
              <w:keepLines/>
              <w:spacing w:after="0"/>
              <w:jc w:val="center"/>
            </w:pPr>
            <w:r>
              <w:rPr>
                <w:rFonts w:ascii="Aptos" w:hAnsi="Aptos"/>
                <w:sz w:val="18"/>
              </w:rPr>
              <w:t>João 8:32; Apocalipse 20:1-3</w:t>
            </w:r>
          </w:p>
        </w:tc>
      </w:tr>
    </w:tbl>
    <w:p>
      <w:pPr>
        <w:pStyle w:val="Heading1"/>
      </w:pPr>
      <w:r>
        <w:t>Referências do esboço</w:t>
      </w:r>
    </w:p>
    <w:p>
      <w:pPr>
        <w:widowControl/>
      </w:pPr>
      <w:r>
        <w:t>Bíblia: Deuteronômio 18:10-12; Isaías 8:19, 20; Eclesiastes 9:5, 10; João 8:32, 44; Atos 19:18, 19; Tiago 4:7, 8; Apocalipse 12:9; 20:1-3. Fontes oficiais consultadas: jw.org e wol.jw.org. Textos conforme a Tradução do Novo Mundo.</w:t>
      </w:r>
    </w:p>
    <w:sectPr w:rsidR="00FC693F" w:rsidRPr="0006063C" w:rsidSect="00034616">
      <w:footerReference w:type="default" r:id="rId9"/>
      <w:pgSz w:w="12240" w:h="15840"/>
      <w:pgMar w:top="1022" w:right="1138" w:bottom="965" w:left="125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color w:val="666666"/>
        <w:sz w:val="16"/>
      </w:rPr>
      <w:t xml:space="preserve">Discurso 095  •  A Bíblia diante das práticas espíritas  •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eastAsia="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eastAsia="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jc w:val="center"/>
    </w:pPr>
    <w:rPr>
      <w:rFonts w:asciiTheme="majorHAnsi" w:eastAsiaTheme="majorEastAsia" w:hAnsiTheme="majorHAnsi" w:cstheme="majorBidi" w:ascii="Aptos Display" w:hAnsi="Aptos Display" w:eastAsia="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dicação">
    <w:name w:val="Indicação"/>
    <w:pPr>
      <w:keepNext/>
      <w:spacing w:before="60" w:after="80"/>
    </w:pPr>
    <w:rPr>
      <w:rFonts w:ascii="Aptos" w:hAnsi="Aptos" w:eastAsia="Aptos"/>
      <w:i/>
      <w:color w:val="59595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Bíblia diante das práticas espíritas</dc:title>
  <dc:subject>Discurso bíblico n.º 095 de 30 minutos</dc:subject>
  <dc:creator/>
  <cp:keywords>discurso bíblico, Tradução do Novo Mundo, jw.org, wol.jw.org</cp:keywords>
  <dc:description>generated by python-docx</dc:description>
  <cp:lastModifiedBy/>
  <cp:revision>1</cp:revision>
  <dcterms:created xsi:type="dcterms:W3CDTF">2013-12-23T23:15:00Z</dcterms:created>
  <dcterms:modified xsi:type="dcterms:W3CDTF">2013-12-23T23:15:00Z</dcterms:modified>
  <cp:category/>
</cp:coreProperties>
</file>