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D1B2A"/>
          <w:sz w:val="56"/>
          <w:szCs w:val="56"/>
        </w:rPr>
        <w:t xml:space="preserve">SOVEREIGN Platform</w:t>
      </w:r>
    </w:p>
    <w:p>
      <w:pPr>
        <w:spacing w:after="0" w:before="80"/>
      </w:pPr>
      <w:r>
        <w:rPr>
          <w:rFonts w:ascii="Arial" w:cs="Arial" w:eastAsia="Arial" w:hAnsi="Arial"/>
          <w:color w:val="1B6CA8"/>
          <w:sz w:val="32"/>
          <w:szCs w:val="32"/>
        </w:rPr>
        <w:t xml:space="preserve">Integration Brief v1.3</w:t>
      </w:r>
    </w:p>
    <w:p>
      <w:pPr>
        <w:pBdr>
          <w:bottom w:val="single" w:color="1B6CA8" w:sz="6" w:space="1"/>
        </w:pBdr>
        <w:spacing w:after="120" w:before="120"/>
      </w:pPr>
    </w:p>
    <w:p>
      <w:pPr>
        <w:spacing w:after="100" w:before="60"/>
      </w:pPr>
      <w:r>
        <w:rPr>
          <w:rFonts w:ascii="Calibri" w:cs="Calibri" w:eastAsia="Calibri" w:hAnsi="Calibri"/>
          <w:b/>
          <w:bCs/>
          <w:color w:val="1C2B3A"/>
          <w:sz w:val="22"/>
          <w:szCs w:val="22"/>
        </w:rPr>
        <w:t xml:space="preserve">Document Type: </w:t>
      </w:r>
      <w:r>
        <w:rPr>
          <w:rFonts w:ascii="Calibri" w:cs="Calibri" w:eastAsia="Calibri" w:hAnsi="Calibri"/>
          <w:color w:val="1C2B3A"/>
          <w:sz w:val="22"/>
          <w:szCs w:val="22"/>
        </w:rPr>
        <w:t xml:space="preserve">Master Platform Governance Document — loads in every session</w:t>
      </w:r>
    </w:p>
    <w:p>
      <w:pPr>
        <w:spacing w:after="100" w:before="60"/>
      </w:pPr>
      <w:r>
        <w:rPr>
          <w:rFonts w:ascii="Calibri" w:cs="Calibri" w:eastAsia="Calibri" w:hAnsi="Calibri"/>
          <w:b/>
          <w:bCs/>
          <w:color w:val="1C2B3A"/>
          <w:sz w:val="22"/>
          <w:szCs w:val="22"/>
        </w:rPr>
        <w:t xml:space="preserve">Version: </w:t>
      </w:r>
      <w:r>
        <w:rPr>
          <w:rFonts w:ascii="Calibri" w:cs="Calibri" w:eastAsia="Calibri" w:hAnsi="Calibri"/>
          <w:color w:val="1C2B3A"/>
          <w:sz w:val="22"/>
          <w:szCs w:val="22"/>
        </w:rPr>
        <w:t xml:space="preserve">1.3 — May 2026 (Session 0 Baseline)</w:t>
      </w:r>
    </w:p>
    <w:p>
      <w:pPr>
        <w:spacing w:after="100" w:before="60"/>
      </w:pPr>
      <w:r>
        <w:rPr>
          <w:rFonts w:ascii="Calibri" w:cs="Calibri" w:eastAsia="Calibri" w:hAnsi="Calibri"/>
          <w:b/>
          <w:bCs/>
          <w:color w:val="1C2B3A"/>
          <w:sz w:val="22"/>
          <w:szCs w:val="22"/>
        </w:rPr>
        <w:t xml:space="preserve">Supersedes: </w:t>
      </w:r>
      <w:r>
        <w:rPr>
          <w:rFonts w:ascii="Calibri" w:cs="Calibri" w:eastAsia="Calibri" w:hAnsi="Calibri"/>
          <w:color w:val="1C2B3A"/>
          <w:sz w:val="22"/>
          <w:szCs w:val="22"/>
        </w:rPr>
        <w:t xml:space="preserve">Integration Brief v1.2</w:t>
      </w:r>
    </w:p>
    <w:p>
      <w:pPr>
        <w:spacing w:after="100" w:before="60"/>
      </w:pPr>
      <w:r>
        <w:rPr>
          <w:rFonts w:ascii="Calibri" w:cs="Calibri" w:eastAsia="Calibri" w:hAnsi="Calibri"/>
          <w:b/>
          <w:bCs/>
          <w:color w:val="1C2B3A"/>
          <w:sz w:val="22"/>
          <w:szCs w:val="22"/>
        </w:rPr>
        <w:t xml:space="preserve">Build Plan: </w:t>
      </w:r>
      <w:r>
        <w:rPr>
          <w:rFonts w:ascii="Calibri" w:cs="Calibri" w:eastAsia="Calibri" w:hAnsi="Calibri"/>
          <w:color w:val="1C2B3A"/>
          <w:sz w:val="22"/>
          <w:szCs w:val="22"/>
        </w:rPr>
        <w:t xml:space="preserve">SOVEREIGN Platform Build Plan v2.0</w:t>
      </w:r>
    </w:p>
    <w:p>
      <w:pPr>
        <w:spacing w:after="100" w:before="60"/>
      </w:pPr>
      <w:r>
        <w:rPr>
          <w:rFonts w:ascii="Calibri" w:cs="Calibri" w:eastAsia="Calibri" w:hAnsi="Calibri"/>
          <w:b/>
          <w:bCs/>
          <w:color w:val="1C2B3A"/>
          <w:sz w:val="22"/>
          <w:szCs w:val="22"/>
        </w:rPr>
        <w:t xml:space="preserve">Authority: </w:t>
      </w:r>
      <w:r>
        <w:rPr>
          <w:rFonts w:ascii="Calibri" w:cs="Calibri" w:eastAsia="Calibri" w:hAnsi="Calibri"/>
          <w:color w:val="1C2B3A"/>
          <w:sz w:val="22"/>
          <w:szCs w:val="22"/>
        </w:rPr>
        <w:t xml:space="preserve">Project Principal · SOVEREIGN Platform Governance Authority</w:t>
      </w:r>
    </w:p>
    <w:p>
      <w:pPr>
        <w:spacing w:after="100" w:before="60"/>
      </w:pPr>
      <w:r>
        <w:rPr>
          <w:rFonts w:ascii="Calibri" w:cs="Calibri" w:eastAsia="Calibri" w:hAnsi="Calibri"/>
          <w:b/>
          <w:bCs/>
          <w:color w:val="1C2B3A"/>
          <w:sz w:val="22"/>
          <w:szCs w:val="22"/>
        </w:rPr>
        <w:t xml:space="preserve">Classification: </w:t>
      </w:r>
      <w:r>
        <w:rPr>
          <w:rFonts w:ascii="Calibri" w:cs="Calibri" w:eastAsia="Calibri" w:hAnsi="Calibri"/>
          <w:color w:val="1C2B3A"/>
          <w:sz w:val="22"/>
          <w:szCs w:val="22"/>
        </w:rPr>
        <w:t xml:space="preserve">Pre-Decisional · Internal Working Document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6CA8"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PURPOSE</w:t>
            </w:r>
          </w:p>
        </w:tc>
        <w:tc>
          <w:tcPr>
            <w:tcW w:type="dxa" w:w="9080"/>
            <w:tcBorders>
              <w:top w:val="single" w:color="DDDDDD" w:sz="4"/>
              <w:left w:val="none" w:color="FFFFFF" w:sz="0"/>
              <w:bottom w:val="single" w:color="DDDDDD" w:sz="4"/>
              <w:right w:val="single" w:color="DDDDDD" w:sz="4"/>
            </w:tcBorders>
            <w:shd w:fill="EBF2F9"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This document travels with every SOVEREIGN development session. Load it alongside the system prompt, the product-specific insert, and the prior session handoff before any build work begins. It is the single authoritative source for platform identity, pipeline architecture, governance role assignments, standing development constraints, and stage gate status.</w:t>
            </w:r>
          </w:p>
        </w:tc>
      </w:tr>
    </w:tbl>
    <w:p>
      <w:r>
        <w:br w:type="page"/>
      </w:r>
    </w:p>
    <w:p>
      <w:pPr>
        <w:pStyle w:val="Heading1"/>
        <w:spacing w:after="120" w:before="400"/>
      </w:pPr>
      <w:r>
        <w:rPr>
          <w:rFonts w:ascii="Arial" w:cs="Arial" w:eastAsia="Arial" w:hAnsi="Arial"/>
          <w:b/>
          <w:bCs/>
          <w:color w:val="0D1B2A"/>
          <w:sz w:val="32"/>
          <w:szCs w:val="32"/>
        </w:rPr>
        <w:t xml:space="preserve">1.  Platform Identity</w:t>
      </w:r>
    </w:p>
    <w:p>
      <w:pPr>
        <w:spacing w:after="100" w:before="60"/>
      </w:pPr>
      <w:r>
        <w:rPr>
          <w:rFonts w:ascii="Calibri" w:cs="Calibri" w:eastAsia="Calibri" w:hAnsi="Calibri"/>
          <w:b/>
          <w:bCs/>
          <w:color w:val="1C2B3A"/>
          <w:sz w:val="22"/>
          <w:szCs w:val="22"/>
        </w:rPr>
        <w:t xml:space="preserve">Platform name: </w:t>
      </w:r>
      <w:r>
        <w:rPr>
          <w:rFonts w:ascii="Calibri" w:cs="Calibri" w:eastAsia="Calibri" w:hAnsi="Calibri"/>
          <w:color w:val="1C2B3A"/>
          <w:sz w:val="22"/>
          <w:szCs w:val="22"/>
        </w:rPr>
        <w:t xml:space="preserve">SOVEREIGN Platform</w:t>
      </w:r>
      <w:r>
        <w:rPr>
          <w:rFonts w:ascii="Calibri" w:cs="Calibri" w:eastAsia="Calibri" w:hAnsi="Calibri"/>
          <w:color w:val="1C2B3A"/>
          <w:sz w:val="22"/>
          <w:szCs w:val="22"/>
        </w:rPr>
        <w:t xml:space="preserve">
</w:t>
      </w:r>
      <w:r>
        <w:rPr>
          <w:rFonts w:ascii="Calibri" w:cs="Calibri" w:eastAsia="Calibri" w:hAnsi="Calibri"/>
          <w:b/>
          <w:bCs/>
          <w:color w:val="1C2B3A"/>
          <w:sz w:val="22"/>
          <w:szCs w:val="22"/>
        </w:rPr>
        <w:t xml:space="preserve">Full name: </w:t>
      </w:r>
      <w:r>
        <w:rPr>
          <w:rFonts w:ascii="Calibri" w:cs="Calibri" w:eastAsia="Calibri" w:hAnsi="Calibri"/>
          <w:color w:val="1C2B3A"/>
          <w:sz w:val="22"/>
          <w:szCs w:val="22"/>
        </w:rPr>
        <w:t xml:space="preserve">Governed Agentic Runtime with Integrated Security, Intelligence, and Oversight Networks</w:t>
      </w:r>
      <w:r>
        <w:rPr>
          <w:rFonts w:ascii="Calibri" w:cs="Calibri" w:eastAsia="Calibri" w:hAnsi="Calibri"/>
          <w:color w:val="1C2B3A"/>
          <w:sz w:val="22"/>
          <w:szCs w:val="22"/>
        </w:rPr>
        <w:t xml:space="preserve">
</w:t>
      </w:r>
      <w:r>
        <w:rPr>
          <w:rFonts w:ascii="Calibri" w:cs="Calibri" w:eastAsia="Calibri" w:hAnsi="Calibri"/>
          <w:b/>
          <w:bCs/>
          <w:color w:val="1C2B3A"/>
          <w:sz w:val="22"/>
          <w:szCs w:val="22"/>
        </w:rPr>
        <w:t xml:space="preserve">Project plan: </w:t>
      </w:r>
      <w:r>
        <w:rPr>
          <w:rFonts w:ascii="Calibri" w:cs="Calibri" w:eastAsia="Calibri" w:hAnsi="Calibri"/>
          <w:color w:val="1C2B3A"/>
          <w:sz w:val="22"/>
          <w:szCs w:val="22"/>
        </w:rPr>
        <w:t xml:space="preserve">SOVEREIGN Platform Build Plan v2.0</w:t>
      </w:r>
      <w:r>
        <w:rPr>
          <w:rFonts w:ascii="Calibri" w:cs="Calibri" w:eastAsia="Calibri" w:hAnsi="Calibri"/>
          <w:color w:val="1C2B3A"/>
          <w:sz w:val="22"/>
          <w:szCs w:val="22"/>
        </w:rPr>
        <w:t xml:space="preserve">
</w:t>
      </w:r>
      <w:r>
        <w:rPr>
          <w:rFonts w:ascii="Calibri" w:cs="Calibri" w:eastAsia="Calibri" w:hAnsi="Calibri"/>
          <w:b/>
          <w:bCs/>
          <w:color w:val="1C2B3A"/>
          <w:sz w:val="22"/>
          <w:szCs w:val="22"/>
        </w:rPr>
        <w:t xml:space="preserve">This document: </w:t>
      </w:r>
      <w:r>
        <w:rPr>
          <w:rFonts w:ascii="Calibri" w:cs="Calibri" w:eastAsia="Calibri" w:hAnsi="Calibri"/>
          <w:color w:val="1C2B3A"/>
          <w:sz w:val="22"/>
          <w:szCs w:val="22"/>
        </w:rPr>
        <w:t xml:space="preserve">SOVEREIGN Platform Integration Brief v1.3</w:t>
      </w:r>
    </w:p>
    <w:p>
      <w:pPr>
        <w:spacing w:after="80" w:before="80"/>
      </w:pPr>
    </w:p>
    <w:p>
      <w:pPr>
        <w:spacing w:after="100" w:before="60"/>
      </w:pPr>
      <w:r>
        <w:rPr>
          <w:rFonts w:ascii="Calibri" w:cs="Calibri" w:eastAsia="Calibri" w:hAnsi="Calibri"/>
          <w:color w:val="1C2B3A"/>
          <w:sz w:val="22"/>
          <w:szCs w:val="22"/>
        </w:rPr>
        <w:t xml:space="preserve">SOVEREIGN is a unified, AI-enabled back-office operations platform for federal agencies and corporate enterprises. Six integrated products share a common security framework, a unified data model, and a single governance standard — so work flows from intake through compliance without manual handoffs or reformatting.</w:t>
      </w:r>
    </w:p>
    <w:p>
      <w:pPr>
        <w:spacing w:after="80" w:before="80"/>
      </w:pPr>
    </w:p>
    <w:p>
      <w:pPr>
        <w:spacing w:after="100" w:before="60"/>
      </w:pPr>
      <w:r>
        <w:rPr>
          <w:rFonts w:ascii="Calibri" w:cs="Calibri" w:eastAsia="Calibri" w:hAnsi="Calibri"/>
          <w:b/>
          <w:bCs/>
          <w:color w:val="1C2B3A"/>
          <w:sz w:val="22"/>
          <w:szCs w:val="22"/>
        </w:rPr>
        <w:t xml:space="preserve">Three non-negotiable design outcomes. </w:t>
      </w:r>
      <w:r>
        <w:rPr>
          <w:rFonts w:ascii="Calibri" w:cs="Calibri" w:eastAsia="Calibri" w:hAnsi="Calibri"/>
          <w:color w:val="1C2B3A"/>
          <w:sz w:val="22"/>
          <w:szCs w:val="22"/>
        </w:rPr>
        <w:t xml:space="preserve">Every build decision must serve all three:</w:t>
      </w:r>
    </w:p>
    <w:p>
      <w:pPr>
        <w:pStyle w:val="ListParagraph"/>
        <w:numPr>
          <w:ilvl w:val="0"/>
          <w:numId w:val="2"/>
        </w:numPr>
        <w:spacing w:after="40" w:before="40"/>
      </w:pPr>
      <w:r>
        <w:rPr>
          <w:rFonts w:ascii="Calibri" w:cs="Calibri" w:eastAsia="Calibri" w:hAnsi="Calibri"/>
          <w:b/>
          <w:bCs/>
          <w:color w:val="1C2B3A"/>
          <w:sz w:val="22"/>
          <w:szCs w:val="22"/>
        </w:rPr>
        <w:t xml:space="preserve">Integration reliability — </w:t>
      </w:r>
      <w:r>
        <w:rPr>
          <w:rFonts w:ascii="Calibri" w:cs="Calibri" w:eastAsia="Calibri" w:hAnsi="Calibri"/>
          <w:color w:val="1C2B3A"/>
          <w:sz w:val="22"/>
          <w:szCs w:val="22"/>
        </w:rPr>
        <w:t xml:space="preserve">every product's outputs are the next stage's inputs without reformatting</w:t>
      </w:r>
    </w:p>
    <w:p>
      <w:pPr>
        <w:pStyle w:val="ListParagraph"/>
        <w:numPr>
          <w:ilvl w:val="0"/>
          <w:numId w:val="2"/>
        </w:numPr>
        <w:spacing w:after="40" w:before="40"/>
      </w:pPr>
      <w:r>
        <w:rPr>
          <w:rFonts w:ascii="Calibri" w:cs="Calibri" w:eastAsia="Calibri" w:hAnsi="Calibri"/>
          <w:b/>
          <w:bCs/>
          <w:color w:val="1C2B3A"/>
          <w:sz w:val="22"/>
          <w:szCs w:val="22"/>
        </w:rPr>
        <w:t xml:space="preserve">Operational efficiency — </w:t>
      </w:r>
      <w:r>
        <w:rPr>
          <w:rFonts w:ascii="Calibri" w:cs="Calibri" w:eastAsia="Calibri" w:hAnsi="Calibri"/>
          <w:color w:val="1C2B3A"/>
          <w:sz w:val="22"/>
          <w:szCs w:val="22"/>
        </w:rPr>
        <w:t xml:space="preserve">no product replicates infrastructure the platform provides</w:t>
      </w:r>
    </w:p>
    <w:p>
      <w:pPr>
        <w:pStyle w:val="ListParagraph"/>
        <w:numPr>
          <w:ilvl w:val="0"/>
          <w:numId w:val="2"/>
        </w:numPr>
        <w:spacing w:after="40" w:before="40"/>
      </w:pPr>
      <w:r>
        <w:rPr>
          <w:rFonts w:ascii="Calibri" w:cs="Calibri" w:eastAsia="Calibri" w:hAnsi="Calibri"/>
          <w:b/>
          <w:bCs/>
          <w:color w:val="1C2B3A"/>
          <w:sz w:val="22"/>
          <w:szCs w:val="22"/>
        </w:rPr>
        <w:t xml:space="preserve">End-to-end security observability — </w:t>
      </w:r>
      <w:r>
        <w:rPr>
          <w:rFonts w:ascii="Calibri" w:cs="Calibri" w:eastAsia="Calibri" w:hAnsi="Calibri"/>
          <w:color w:val="1C2B3A"/>
          <w:sz w:val="22"/>
          <w:szCs w:val="22"/>
        </w:rPr>
        <w:t xml:space="preserve">the shared Security Framework monitors the entire pipeline</w:t>
      </w:r>
    </w:p>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2.  The Six Products and the Pipeline</w:t>
      </w:r>
    </w:p>
    <w:p>
      <w:pPr>
        <w:spacing w:after="100" w:before="60"/>
      </w:pPr>
      <w:r>
        <w:rPr>
          <w:rFonts w:ascii="Calibri" w:cs="Calibri" w:eastAsia="Calibri" w:hAnsi="Calibri"/>
          <w:color w:val="1C2B3A"/>
          <w:sz w:val="22"/>
          <w:szCs w:val="22"/>
        </w:rPr>
        <w:t xml:space="preserve">The six products form a governed pipeline. Every product's outputs are the next stage's inputs. Pipeline breaks require rewrites. Design every component with its pipeline position in mind.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c>
          <w:tcPr>
            <w:tcW w:type="dxa" w:w="12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Stage</w:t>
            </w:r>
          </w:p>
        </w:tc>
        <w:tc>
          <w:tcPr>
            <w:tcW w:type="dxa" w:w="18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Product</w:t>
            </w:r>
          </w:p>
        </w:tc>
        <w:tc>
          <w:tcPr>
            <w:tcW w:type="dxa" w:w="33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Purpose</w:t>
            </w:r>
          </w:p>
        </w:tc>
        <w:tc>
          <w:tcPr>
            <w:tcW w:type="dxa" w:w="30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Stack</w:t>
            </w:r>
          </w:p>
        </w:tc>
      </w:tr>
      <w:tr>
        <w:tc>
          <w:tcPr>
            <w:tcW w:type="dxa" w:w="1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FLOWPATH</w:t>
            </w:r>
          </w:p>
        </w:tc>
        <w:tc>
          <w:tcPr>
            <w:tcW w:type="dxa" w:w="3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Workflow mapping and elicitation. Produces Validated Workflow Records (VVRs) — the origin point of the pipeline.</w:t>
            </w:r>
          </w:p>
        </w:tc>
        <w:tc>
          <w:tcPr>
            <w:tcW w:type="dxa" w:w="30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Single-file React JSX (prototype); React SPA GovCloud (production)</w:t>
            </w:r>
          </w:p>
        </w:tc>
      </w:tr>
      <w:tr>
        <w:tc>
          <w:tcPr>
            <w:tcW w:type="dxa" w:w="1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3</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CPMI</w:t>
            </w:r>
          </w:p>
        </w:tc>
        <w:tc>
          <w:tcPr>
            <w:tcW w:type="dxa" w:w="3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AI governance engine. Issues CPMI-VRS certificates to all six products. Enhanced monitoring tier (0.7x anomaly threshold).</w:t>
            </w:r>
          </w:p>
        </w:tc>
        <w:tc>
          <w:tcPr>
            <w:tcW w:type="dxa" w:w="30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Anthropic claude-sonnet-4 + Notion MCP</w:t>
            </w:r>
          </w:p>
        </w:tc>
      </w:tr>
      <w:tr>
        <w:tc>
          <w:tcPr>
            <w:tcW w:type="dxa" w:w="1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4</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AgentOS</w:t>
            </w:r>
          </w:p>
        </w:tc>
        <w:tc>
          <w:tcPr>
            <w:tcW w:type="dxa" w:w="3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MLOps backbone and agent orchestration. Platform layer — not user-facing. Hosts Security Framework and CPMI-VRS as native modules.</w:t>
            </w:r>
          </w:p>
        </w:tc>
        <w:tc>
          <w:tcPr>
            <w:tcW w:type="dxa" w:w="30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Python 3.10+, scikit-learn, MLflow, macOS</w:t>
            </w:r>
          </w:p>
        </w:tc>
      </w:tr>
      <w:tr>
        <w:tc>
          <w:tcPr>
            <w:tcW w:type="dxa" w:w="1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NEXUS</w:t>
            </w:r>
          </w:p>
        </w:tc>
        <w:tc>
          <w:tcPr>
            <w:tcW w:type="dxa" w:w="3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Enterprise task and correspondence management for federal agencies and corporate organizations. Program or enterprise-scale.</w:t>
            </w:r>
          </w:p>
        </w:tc>
        <w:tc>
          <w:tcPr>
            <w:tcW w:type="dxa" w:w="30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Node.js 20 / Express, React 18 / Vite, PostgreSQL 15 + pgvector, AWS GovCloud</w:t>
            </w:r>
          </w:p>
        </w:tc>
      </w:tr>
      <w:tr>
        <w:tc>
          <w:tcPr>
            <w:tcW w:type="dxa" w:w="1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APEX</w:t>
            </w:r>
          </w:p>
        </w:tc>
        <w:tc>
          <w:tcPr>
            <w:tcW w:type="dxa" w:w="3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Program Analytics and Reporting Platform for federal and corporate program portfolios.</w:t>
            </w:r>
          </w:p>
        </w:tc>
        <w:tc>
          <w:tcPr>
            <w:tcW w:type="dxa" w:w="30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Single-file HTML / sql.js v4 (prototype); PostgreSQL (production)</w:t>
            </w:r>
          </w:p>
        </w:tc>
      </w:tr>
      <w:tr>
        <w:tc>
          <w:tcPr>
            <w:tcW w:type="dxa" w:w="1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7</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ARIA Suite</w:t>
            </w:r>
          </w:p>
        </w:tc>
        <w:tc>
          <w:tcPr>
            <w:tcW w:type="dxa" w:w="3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Authorization, travel, and timecard and labor charging compliance. Three modules: ARC, TRACER, CLEAR. AI deliberately excluded from all decision paths.</w:t>
            </w:r>
          </w:p>
        </w:tc>
        <w:tc>
          <w:tcPr>
            <w:tcW w:type="dxa" w:w="30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Single-file React JSX; Python/FastAPI + PostgreSQL (production)</w:t>
            </w:r>
          </w:p>
        </w:tc>
      </w:tr>
    </w:tbl>
    <w:p>
      <w:pPr>
        <w:spacing w:after="80" w:before="80"/>
      </w:pPr>
    </w:p>
    <w:p>
      <w:pPr>
        <w:pStyle w:val="Heading2"/>
        <w:spacing w:after="80" w:before="280"/>
      </w:pPr>
      <w:r>
        <w:rPr>
          <w:rFonts w:ascii="Arial" w:cs="Arial" w:eastAsia="Arial" w:hAnsi="Arial"/>
          <w:b/>
          <w:bCs/>
          <w:color w:val="1B6CA8"/>
          <w:sz w:val="26"/>
          <w:szCs w:val="26"/>
        </w:rPr>
        <w:t xml:space="preserve">2.1  The Intelligence Layer — Seventh Product (Future Build — Never Lose This)</w:t>
      </w:r>
    </w:p>
    <w:p>
      <w:pPr>
        <w:spacing w:after="100" w:before="60"/>
      </w:pPr>
      <w:r>
        <w:rPr>
          <w:rFonts w:ascii="Calibri" w:cs="Calibri" w:eastAsia="Calibri" w:hAnsi="Calibri"/>
          <w:color w:val="1C2B3A"/>
          <w:sz w:val="22"/>
          <w:szCs w:val="22"/>
        </w:rPr>
        <w:t xml:space="preserve">The Intelligence Layer is documented and every current product builds toward it. Five components: Task Decomposition Engine, Judgment Detection, Automatability Scorer, Risk and Failure Modeler, Compliance Mapper. All six current products expose the exact fields the IL will consume. No current product requires a rewrite when the IL is built.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B07010"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FROZEN FIELDS</w:t>
            </w:r>
          </w:p>
        </w:tc>
        <w:tc>
          <w:tcPr>
            <w:tcW w:type="dxa" w:w="9080"/>
            <w:tcBorders>
              <w:top w:val="single" w:color="DDDDDD" w:sz="4"/>
              <w:left w:val="none" w:color="FFFFFF" w:sz="0"/>
              <w:bottom w:val="single" w:color="DDDDDD" w:sz="4"/>
              <w:right w:val="single" w:color="DDDDDD" w:sz="4"/>
            </w:tcBorders>
            <w:shd w:fill="FEF3DC"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These field names are frozen across all products. Never rename. Never restructure. They are a contract between current products and the future Intelligence Layer: workflow_step_id · decision_type · deployment_feedback · classification_level · VVR export schema {step_id, description, inputs, outputs, decision_required, human_role}</w:t>
            </w:r>
          </w:p>
        </w:tc>
      </w:tr>
    </w:tbl>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3.  Approved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6CA8"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APPROVED</w:t>
            </w:r>
          </w:p>
        </w:tc>
        <w:tc>
          <w:tcPr>
            <w:tcW w:type="dxa" w:w="9080"/>
            <w:tcBorders>
              <w:top w:val="single" w:color="DDDDDD" w:sz="4"/>
              <w:left w:val="none" w:color="FFFFFF" w:sz="0"/>
              <w:bottom w:val="single" w:color="DDDDDD" w:sz="4"/>
              <w:right w:val="single" w:color="DDDDDD" w:sz="4"/>
            </w:tcBorders>
            <w:shd w:fill="EBF2F9"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Option C — Unified Shell with Module Applications. This is a permanent governance record. It is not re-opened.</w:t>
            </w:r>
          </w:p>
        </w:tc>
      </w:tr>
    </w:tbl>
    <w:p>
      <w:pPr>
        <w:spacing w:after="80" w:before="80"/>
      </w:pPr>
    </w:p>
    <w:p>
      <w:pPr>
        <w:spacing w:after="100" w:before="60"/>
      </w:pPr>
      <w:r>
        <w:rPr>
          <w:rFonts w:ascii="Calibri" w:cs="Calibri" w:eastAsia="Calibri" w:hAnsi="Calibri"/>
          <w:color w:val="1C2B3A"/>
          <w:sz w:val="22"/>
          <w:szCs w:val="22"/>
        </w:rPr>
        <w:t xml:space="preserve">One platform. Six product modules. One shell. Unified user experience, independent deployment cadences, single ATO boundary.</w:t>
      </w:r>
    </w:p>
    <w:p>
      <w:pPr>
        <w:spacing w:after="80" w:before="80"/>
      </w:pPr>
    </w:p>
    <w:p>
      <w:pPr>
        <w:pStyle w:val="Heading3"/>
        <w:spacing w:after="60" w:before="200"/>
      </w:pPr>
      <w:r>
        <w:rPr>
          <w:rFonts w:ascii="Arial" w:cs="Arial" w:eastAsia="Arial" w:hAnsi="Arial"/>
          <w:b/>
          <w:bCs/>
          <w:color w:val="0D1B2A"/>
          <w:sz w:val="22"/>
          <w:szCs w:val="22"/>
        </w:rPr>
        <w:t xml:space="preserve">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Directory</w:t>
            </w:r>
          </w:p>
        </w:tc>
        <w:tc>
          <w:tcPr>
            <w:tcW w:type="dxa" w:w="65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Purpose</w:t>
            </w:r>
          </w:p>
        </w:tc>
      </w:tr>
      <w:tr>
        <w:tc>
          <w:tcPr>
            <w:tcW w:type="dxa" w:w="2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sovereign-shell/</w:t>
            </w:r>
          </w:p>
        </w:tc>
        <w:tc>
          <w:tcPr>
            <w:tcW w:type="dxa" w:w="65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HOST APPLICATION — Auth, navigation, Logger client, CPMI-VRS dashboard, module router. Shell contract is a governance document.</w:t>
            </w:r>
          </w:p>
        </w:tc>
      </w:tr>
      <w:tr>
        <w:tc>
          <w:tcPr>
            <w:tcW w:type="dxa" w:w="2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sovereign-security/</w:t>
            </w:r>
          </w:p>
        </w:tc>
        <w:tc>
          <w:tcPr>
            <w:tcW w:type="dxa" w:w="65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SHARED PACKAGE — Security Framework (Python): Logger, Honeytoken, Anomaly Detector, Alert Dispatcher</w:t>
            </w:r>
          </w:p>
        </w:tc>
      </w:tr>
      <w:tr>
        <w:tc>
          <w:tcPr>
            <w:tcW w:type="dxa" w:w="2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sovereign-data/</w:t>
            </w:r>
          </w:p>
        </w:tc>
        <w:tc>
          <w:tcPr>
            <w:tcW w:type="dxa" w:w="65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SHARED PACKAGE — Canonical entity TypeScript types. These types are law. Never redefine.</w:t>
            </w:r>
          </w:p>
        </w:tc>
      </w:tr>
      <w:tr>
        <w:tc>
          <w:tcPr>
            <w:tcW w:type="dxa" w:w="2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sovereign-api-client/</w:t>
            </w:r>
          </w:p>
        </w:tc>
        <w:tc>
          <w:tcPr>
            <w:tcW w:type="dxa" w:w="65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SHARED PACKAGE — All LLM calls go through this client. No product calls Anthropic API directly. Three-tier fallback platform standard.</w:t>
            </w:r>
          </w:p>
        </w:tc>
      </w:tr>
      <w:tr>
        <w:tc>
          <w:tcPr>
            <w:tcW w:type="dxa" w:w="2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module-flowpath/ through module-aria/</w:t>
            </w:r>
          </w:p>
        </w:tc>
        <w:tc>
          <w:tcPr>
            <w:tcW w:type="dxa" w:w="65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SIX PRODUCT MODULES — Each has its own route, state, backend API, and deployment pipeline. Each inherits auth, Logger, and data types from the shell.</w:t>
            </w:r>
          </w:p>
        </w:tc>
      </w:tr>
    </w:tbl>
    <w:p>
      <w:pPr>
        <w:spacing w:after="80" w:before="80"/>
      </w:pPr>
    </w:p>
    <w:p>
      <w:pPr>
        <w:spacing w:after="100" w:before="60"/>
      </w:pPr>
      <w:r>
        <w:rPr>
          <w:rFonts w:ascii="Calibri" w:cs="Calibri" w:eastAsia="Calibri" w:hAnsi="Calibri"/>
          <w:b/>
          <w:bCs/>
          <w:color w:val="1C2B3A"/>
          <w:sz w:val="22"/>
          <w:szCs w:val="22"/>
        </w:rPr>
        <w:t xml:space="preserve">ATO boundary: </w:t>
      </w:r>
      <w:r>
        <w:rPr>
          <w:rFonts w:ascii="Calibri" w:cs="Calibri" w:eastAsia="Calibri" w:hAnsi="Calibri"/>
          <w:color w:val="1C2B3A"/>
          <w:sz w:val="22"/>
          <w:szCs w:val="22"/>
        </w:rPr>
        <w:t xml:space="preserve">The shell — all modules operate within the shell's ATO authority. One System Security Plan, one penetration test, one AO review.</w:t>
      </w:r>
    </w:p>
    <w:p>
      <w:pPr>
        <w:spacing w:after="100" w:before="60"/>
      </w:pPr>
      <w:r>
        <w:rPr>
          <w:rFonts w:ascii="Calibri" w:cs="Calibri" w:eastAsia="Calibri" w:hAnsi="Calibri"/>
          <w:b/>
          <w:bCs/>
          <w:color w:val="1C2B3A"/>
          <w:sz w:val="22"/>
          <w:szCs w:val="22"/>
        </w:rPr>
        <w:t xml:space="preserve">Critical first requirement: </w:t>
      </w:r>
      <w:r>
        <w:rPr>
          <w:rFonts w:ascii="Calibri" w:cs="Calibri" w:eastAsia="Calibri" w:hAnsi="Calibri"/>
          <w:color w:val="1C2B3A"/>
          <w:sz w:val="22"/>
          <w:szCs w:val="22"/>
        </w:rPr>
        <w:t xml:space="preserve">Shell architecture specification (shell-contract.ts) must be approved by the Project Principal before any module development begins. The shell contract is a governance document.</w:t>
      </w:r>
    </w:p>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4.  Three Shared Infrastructure Layers</w:t>
      </w:r>
    </w:p>
    <w:p>
      <w:pPr>
        <w:spacing w:after="100" w:before="60"/>
      </w:pPr>
      <w:r>
        <w:rPr>
          <w:rFonts w:ascii="Calibri" w:cs="Calibri" w:eastAsia="Calibri" w:hAnsi="Calibri"/>
          <w:color w:val="1C2B3A"/>
          <w:sz w:val="22"/>
          <w:szCs w:val="22"/>
        </w:rPr>
        <w:t xml:space="preserve">Every product connects to these three layers rather than replicating them. Building any of these capabilities inside a product is a violation of the standing development constraint.</w:t>
      </w:r>
    </w:p>
    <w:p>
      <w:pPr>
        <w:spacing w:after="80" w:before="80"/>
      </w:pPr>
    </w:p>
    <w:p>
      <w:pPr>
        <w:pStyle w:val="Heading2"/>
        <w:spacing w:after="80" w:before="280"/>
      </w:pPr>
      <w:r>
        <w:rPr>
          <w:rFonts w:ascii="Arial" w:cs="Arial" w:eastAsia="Arial" w:hAnsi="Arial"/>
          <w:b/>
          <w:bCs/>
          <w:color w:val="1B6CA8"/>
          <w:sz w:val="26"/>
          <w:szCs w:val="26"/>
        </w:rPr>
        <w:t xml:space="preserve">4.1  SOVEREIGN Security Observability Framework (SOF)</w:t>
      </w:r>
    </w:p>
    <w:p>
      <w:pPr>
        <w:spacing w:after="100" w:before="60"/>
      </w:pPr>
      <w:r>
        <w:rPr>
          <w:rFonts w:ascii="Calibri" w:cs="Calibri" w:eastAsia="Calibri" w:hAnsi="Calibri"/>
          <w:color w:val="1C2B3A"/>
          <w:sz w:val="22"/>
          <w:szCs w:val="22"/>
        </w:rPr>
        <w:t xml:space="preserve">Standalone Python library (sovereign-security/). Four components: Logger (SHA-256 hash chaining, append-only JSONL, workflow_step_id on every entry), Honeytoken Manager (UUID4 tokens, silent webhook alerts on any access), Anomaly Detector (IsolationForest per product; CPMI at 0.7x threshold), Alert Dispatcher (P1 immediate: HONEYTOKEN_ACCESS, APPROVAL_GATE_BYPASS; P2 five-minute batch: all others).</w:t>
      </w:r>
    </w:p>
    <w:p>
      <w:pPr>
        <w:spacing w:after="80" w:before="80"/>
      </w:pPr>
    </w:p>
    <w:p>
      <w:pPr>
        <w:spacing w:after="100" w:before="60"/>
      </w:pPr>
      <w:r>
        <w:rPr>
          <w:rFonts w:ascii="Calibri" w:cs="Calibri" w:eastAsia="Calibri" w:hAnsi="Calibri"/>
          <w:b/>
          <w:bCs/>
          <w:color w:val="1C2B3A"/>
          <w:sz w:val="22"/>
          <w:szCs w:val="22"/>
        </w:rPr>
        <w:t xml:space="preserve">CPMI enhanced monitoring tier: </w:t>
      </w:r>
      <w:r>
        <w:rPr>
          <w:rFonts w:ascii="Calibri" w:cs="Calibri" w:eastAsia="Calibri" w:hAnsi="Calibri"/>
          <w:color w:val="1C2B3A"/>
          <w:sz w:val="22"/>
          <w:szCs w:val="22"/>
        </w:rPr>
        <w:t xml:space="preserve">CPMI operates under a 0.7x anomaly threshold — 30% tighter than all other products. This is architectural, not configurable. CPMI's governance outputs flow to all six products simultaneously, making its integrity a platform-wide dependency.</w:t>
      </w:r>
    </w:p>
    <w:p>
      <w:pPr>
        <w:pStyle w:val="Heading2"/>
        <w:spacing w:after="80" w:before="280"/>
      </w:pPr>
      <w:r>
        <w:rPr>
          <w:rFonts w:ascii="Arial" w:cs="Arial" w:eastAsia="Arial" w:hAnsi="Arial"/>
          <w:b/>
          <w:bCs/>
          <w:color w:val="1B6CA8"/>
          <w:sz w:val="26"/>
          <w:szCs w:val="26"/>
        </w:rPr>
        <w:t xml:space="preserve">4.2  CPMI-VRS AI Governance Standard</w:t>
      </w:r>
    </w:p>
    <w:p>
      <w:pPr>
        <w:spacing w:after="100" w:before="60"/>
      </w:pPr>
      <w:r>
        <w:rPr>
          <w:rFonts w:ascii="Calibri" w:cs="Calibri" w:eastAsia="Calibri" w:hAnsi="Calibri"/>
          <w:color w:val="1C2B3A"/>
          <w:sz w:val="22"/>
          <w:szCs w:val="22"/>
        </w:rPr>
        <w:t xml:space="preserve">Portfolio-wide AI governance aligned to NIST AI RMF and OMB AI guidance. Four certification gates every product must pass: Gate 1 (Disclosure), Gate 2 (Audit Trail), Gate 3 (Human Oversight), Gate 4 (Certification). ARIA Suite receives AI-absence attestations — not AI-presence disclosures. AI-absence attestations are stronger governance evidence than AI-present certifications.</w:t>
      </w:r>
    </w:p>
    <w:p>
      <w:pPr>
        <w:pStyle w:val="Heading2"/>
        <w:spacing w:after="80" w:before="280"/>
      </w:pPr>
      <w:r>
        <w:rPr>
          <w:rFonts w:ascii="Arial" w:cs="Arial" w:eastAsia="Arial" w:hAnsi="Arial"/>
          <w:b/>
          <w:bCs/>
          <w:color w:val="1B6CA8"/>
          <w:sz w:val="26"/>
          <w:szCs w:val="26"/>
        </w:rPr>
        <w:t xml:space="preserve">4.3  AgentOS</w:t>
      </w:r>
    </w:p>
    <w:p>
      <w:pPr>
        <w:spacing w:after="100" w:before="60"/>
      </w:pPr>
      <w:r>
        <w:rPr>
          <w:rFonts w:ascii="Calibri" w:cs="Calibri" w:eastAsia="Calibri" w:hAnsi="Calibri"/>
          <w:color w:val="1C2B3A"/>
          <w:sz w:val="22"/>
          <w:szCs w:val="22"/>
        </w:rPr>
        <w:t xml:space="preserve">MLOps backbone and agent orchestration environment. Hosts Security Framework and CPMI-VRS as native modules. All products eventually deploy on or report to AgentOS. Not user-facing. First SOVEREIGN pipeline: Program Office Suite.</w:t>
      </w:r>
    </w:p>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5.  Governance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6CA8"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PERMANENT RECORD</w:t>
            </w:r>
          </w:p>
        </w:tc>
        <w:tc>
          <w:tcPr>
            <w:tcW w:type="dxa" w:w="9080"/>
            <w:tcBorders>
              <w:top w:val="single" w:color="DDDDDD" w:sz="4"/>
              <w:left w:val="none" w:color="FFFFFF" w:sz="0"/>
              <w:bottom w:val="single" w:color="DDDDDD" w:sz="4"/>
              <w:right w:val="single" w:color="DDDDDD" w:sz="4"/>
            </w:tcBorders>
            <w:shd w:fill="EBF2F9"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These assignments were made in Session 0A and are permanent governance records. They cannot be changed without a documented governance decision.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Role</w:t>
            </w:r>
          </w:p>
        </w:tc>
        <w:tc>
          <w:tcPr>
            <w:tcW w:type="dxa" w:w="24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Assigned To</w:t>
            </w:r>
          </w:p>
        </w:tc>
        <w:tc>
          <w:tcPr>
            <w:tcW w:type="dxa" w:w="37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Scope</w:t>
            </w:r>
          </w:p>
        </w:tc>
      </w:tr>
      <w:tr>
        <w:tc>
          <w:tcPr>
            <w:tcW w:type="dxa" w:w="3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CPMI Product Owner</w:t>
            </w:r>
          </w:p>
        </w:tc>
        <w:tc>
          <w:tcPr>
            <w:tcW w:type="dxa" w:w="24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Project Principal</w:t>
            </w:r>
          </w:p>
        </w:tc>
        <w:tc>
          <w:tcPr>
            <w:tcW w:type="dxa" w:w="3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Cross-portfolio authority over all six products. Stage 3 may proceed.</w:t>
            </w:r>
          </w:p>
        </w:tc>
      </w:tr>
      <w:tr>
        <w:tc>
          <w:tcPr>
            <w:tcW w:type="dxa" w:w="3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ARIA Suite Product Owner</w:t>
            </w:r>
          </w:p>
        </w:tc>
        <w:tc>
          <w:tcPr>
            <w:tcW w:type="dxa" w:w="24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Project Principal</w:t>
            </w:r>
          </w:p>
        </w:tc>
        <w:tc>
          <w:tcPr>
            <w:tcW w:type="dxa" w:w="3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Accountable for ARC, TRACER, and CLEAR as a single governed suite. ARIA Suite development may continue.</w:t>
            </w:r>
          </w:p>
        </w:tc>
      </w:tr>
      <w:tr>
        <w:tc>
          <w:tcPr>
            <w:tcW w:type="dxa" w:w="3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Data Owner — all six products</w:t>
            </w:r>
          </w:p>
        </w:tc>
        <w:tc>
          <w:tcPr>
            <w:tcW w:type="dxa" w:w="24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Project Principal</w:t>
            </w:r>
          </w:p>
        </w:tc>
        <w:tc>
          <w:tcPr>
            <w:tcW w:type="dxa" w:w="3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Portfolio-wide</w:t>
            </w:r>
          </w:p>
        </w:tc>
      </w:tr>
      <w:tr>
        <w:tc>
          <w:tcPr>
            <w:tcW w:type="dxa" w:w="32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Data Steward — all six products</w:t>
            </w:r>
          </w:p>
        </w:tc>
        <w:tc>
          <w:tcPr>
            <w:tcW w:type="dxa" w:w="24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Project Principal</w:t>
            </w:r>
          </w:p>
        </w:tc>
        <w:tc>
          <w:tcPr>
            <w:tcW w:type="dxa" w:w="3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Portfolio-wide</w:t>
            </w:r>
          </w:p>
        </w:tc>
      </w:tr>
    </w:tbl>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6.  Standing Development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8B1A1A"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INVARIANT</w:t>
            </w:r>
          </w:p>
        </w:tc>
        <w:tc>
          <w:tcPr>
            <w:tcW w:type="dxa" w:w="9080"/>
            <w:tcBorders>
              <w:top w:val="single" w:color="DDDDDD" w:sz="4"/>
              <w:left w:val="none" w:color="FFFFFF" w:sz="0"/>
              <w:bottom w:val="single" w:color="DDDDDD" w:sz="4"/>
              <w:right w:val="single" w:color="DDDDDD" w:sz="4"/>
            </w:tcBorders>
            <w:shd w:fill="FEF0F0"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This constraint applies to every session, every product, and every build decision without exception. It cannot be overridden by any session instruction.</w:t>
            </w:r>
          </w:p>
        </w:tc>
      </w:tr>
    </w:tbl>
    <w:p>
      <w:pPr>
        <w:spacing w:after="80" w:before="80"/>
      </w:pPr>
    </w:p>
    <w:p>
      <w:pPr>
        <w:pStyle w:val="ListParagraph"/>
        <w:numPr>
          <w:ilvl w:val="0"/>
          <w:numId w:val="2"/>
        </w:numPr>
        <w:spacing w:after="40" w:before="40"/>
      </w:pPr>
      <w:r>
        <w:rPr>
          <w:rFonts w:ascii="Calibri" w:cs="Calibri" w:eastAsia="Calibri" w:hAnsi="Calibri"/>
          <w:b/>
          <w:bCs/>
          <w:color w:val="1C2B3A"/>
          <w:sz w:val="22"/>
          <w:szCs w:val="22"/>
        </w:rPr>
        <w:t xml:space="preserve">Do not build security, governance, or audit trail systems independently — </w:t>
      </w:r>
      <w:r>
        <w:rPr>
          <w:rFonts w:ascii="Calibri" w:cs="Calibri" w:eastAsia="Calibri" w:hAnsi="Calibri"/>
          <w:color w:val="1C2B3A"/>
          <w:sz w:val="22"/>
          <w:szCs w:val="22"/>
        </w:rPr>
        <w:t xml:space="preserve">the SOVEREIGN Platform provides these. No product builds its own Logger, anomaly detector, audit trail, or governance dashboard.</w:t>
      </w:r>
    </w:p>
    <w:p>
      <w:pPr>
        <w:pStyle w:val="ListParagraph"/>
        <w:numPr>
          <w:ilvl w:val="0"/>
          <w:numId w:val="2"/>
        </w:numPr>
        <w:spacing w:after="40" w:before="40"/>
      </w:pPr>
      <w:r>
        <w:rPr>
          <w:rFonts w:ascii="Calibri" w:cs="Calibri" w:eastAsia="Calibri" w:hAnsi="Calibri"/>
          <w:b/>
          <w:bCs/>
          <w:color w:val="1C2B3A"/>
          <w:sz w:val="22"/>
          <w:szCs w:val="22"/>
        </w:rPr>
        <w:t xml:space="preserve">Do not define shared data entities differently from the SOVEREIGN data dictionary — </w:t>
      </w:r>
      <w:r>
        <w:rPr>
          <w:rFonts w:ascii="Calibri" w:cs="Calibri" w:eastAsia="Calibri" w:hAnsi="Calibri"/>
          <w:color w:val="1C2B3A"/>
          <w:sz w:val="22"/>
          <w:szCs w:val="22"/>
        </w:rPr>
        <w:t xml:space="preserve">employee, program, cost code, document, and vendor use canonical field names. See Section 10.</w:t>
      </w:r>
    </w:p>
    <w:p>
      <w:pPr>
        <w:pStyle w:val="ListParagraph"/>
        <w:numPr>
          <w:ilvl w:val="0"/>
          <w:numId w:val="2"/>
        </w:numPr>
        <w:spacing w:after="40" w:before="40"/>
      </w:pPr>
      <w:r>
        <w:rPr>
          <w:rFonts w:ascii="Calibri" w:cs="Calibri" w:eastAsia="Calibri" w:hAnsi="Calibri"/>
          <w:b/>
          <w:bCs/>
          <w:color w:val="1C2B3A"/>
          <w:sz w:val="22"/>
          <w:szCs w:val="22"/>
        </w:rPr>
        <w:t xml:space="preserve">Do not build components requiring a rewrite to connect to the Security Framework, CPMI-VRS, or AgentOS — </w:t>
      </w:r>
      <w:r>
        <w:rPr>
          <w:rFonts w:ascii="Calibri" w:cs="Calibri" w:eastAsia="Calibri" w:hAnsi="Calibri"/>
          <w:color w:val="1C2B3A"/>
          <w:sz w:val="22"/>
          <w:szCs w:val="22"/>
        </w:rPr>
        <w:t xml:space="preserve">use the stub-with-stable-signature pattern. Stage 2 connection must be a configuration change, not a rewrite.</w:t>
      </w:r>
    </w:p>
    <w:p>
      <w:pPr>
        <w:pStyle w:val="ListParagraph"/>
        <w:numPr>
          <w:ilvl w:val="0"/>
          <w:numId w:val="2"/>
        </w:numPr>
        <w:spacing w:after="40" w:before="40"/>
      </w:pPr>
      <w:r>
        <w:rPr>
          <w:rFonts w:ascii="Calibri" w:cs="Calibri" w:eastAsia="Calibri" w:hAnsi="Calibri"/>
          <w:b/>
          <w:bCs/>
          <w:color w:val="1C2B3A"/>
          <w:sz w:val="22"/>
          <w:szCs w:val="22"/>
        </w:rPr>
        <w:t xml:space="preserve">Tag every human decision event with decision_type from the approved taxonomy — </w:t>
      </w:r>
      <w:r>
        <w:rPr>
          <w:rFonts w:ascii="Calibri" w:cs="Calibri" w:eastAsia="Calibri" w:hAnsi="Calibri"/>
          <w:color w:val="1C2B3A"/>
          <w:sz w:val="22"/>
          <w:szCs w:val="22"/>
        </w:rPr>
        <w:t xml:space="preserve">see Decision_Matrix.md. These are ground-truth training data for the Intelligence Layer Judgment Detection component.</w:t>
      </w:r>
    </w:p>
    <w:p>
      <w:pPr>
        <w:pStyle w:val="ListParagraph"/>
        <w:numPr>
          <w:ilvl w:val="0"/>
          <w:numId w:val="2"/>
        </w:numPr>
        <w:spacing w:after="40" w:before="40"/>
      </w:pPr>
      <w:r>
        <w:rPr>
          <w:rFonts w:ascii="Calibri" w:cs="Calibri" w:eastAsia="Calibri" w:hAnsi="Calibri"/>
          <w:b/>
          <w:bCs/>
          <w:color w:val="1C2B3A"/>
          <w:sz w:val="22"/>
          <w:szCs w:val="22"/>
        </w:rPr>
        <w:t xml:space="preserve">No product calls an LLM provider API directly — </w:t>
      </w:r>
      <w:r>
        <w:rPr>
          <w:rFonts w:ascii="Calibri" w:cs="Calibri" w:eastAsia="Calibri" w:hAnsi="Calibri"/>
          <w:color w:val="1C2B3A"/>
          <w:sz w:val="22"/>
          <w:szCs w:val="22"/>
        </w:rPr>
        <w:t xml:space="preserve">all LLM calls go through sovereign-api-client. Three-tier fallback (live, cached, static) is a platform standard.</w:t>
      </w:r>
    </w:p>
    <w:p>
      <w:pPr>
        <w:pStyle w:val="ListParagraph"/>
        <w:numPr>
          <w:ilvl w:val="0"/>
          <w:numId w:val="2"/>
        </w:numPr>
        <w:spacing w:after="40" w:before="40"/>
      </w:pPr>
      <w:r>
        <w:rPr>
          <w:rFonts w:ascii="Calibri" w:cs="Calibri" w:eastAsia="Calibri" w:hAnsi="Calibri"/>
          <w:b/>
          <w:bCs/>
          <w:color w:val="1C2B3A"/>
          <w:sz w:val="22"/>
          <w:szCs w:val="22"/>
        </w:rPr>
        <w:t xml:space="preserve">No agent operates under an unregistered prompt — </w:t>
      </w:r>
      <w:r>
        <w:rPr>
          <w:rFonts w:ascii="Calibri" w:cs="Calibri" w:eastAsia="Calibri" w:hAnsi="Calibri"/>
          <w:color w:val="1C2B3A"/>
          <w:sz w:val="22"/>
          <w:szCs w:val="22"/>
        </w:rPr>
        <w:t xml:space="preserve">see Prompt_Registry_Specification.md. Every system prompt lives in the monorepo under module-[product]/prompts/.</w:t>
      </w:r>
    </w:p>
    <w:p>
      <w:pPr>
        <w:pStyle w:val="ListParagraph"/>
        <w:numPr>
          <w:ilvl w:val="0"/>
          <w:numId w:val="2"/>
        </w:numPr>
        <w:spacing w:after="40" w:before="40"/>
      </w:pPr>
      <w:r>
        <w:rPr>
          <w:rFonts w:ascii="Calibri" w:cs="Calibri" w:eastAsia="Calibri" w:hAnsi="Calibri"/>
          <w:b/>
          <w:bCs/>
          <w:color w:val="1C2B3A"/>
          <w:sz w:val="22"/>
          <w:szCs w:val="22"/>
        </w:rPr>
        <w:t xml:space="preserve">SBOM entry for every new dependency — </w:t>
      </w:r>
      <w:r>
        <w:rPr>
          <w:rFonts w:ascii="Calibri" w:cs="Calibri" w:eastAsia="Calibri" w:hAnsi="Calibri"/>
          <w:color w:val="1C2B3A"/>
          <w:sz w:val="22"/>
          <w:szCs w:val="22"/>
        </w:rPr>
        <w:t xml:space="preserve">required by Executive Order 14028. Log every pip install, npm install, new API endpoint, and external service in SBOM_Registry.md via the End of Session Prompt. Never reconstruct from memory.</w:t>
      </w:r>
    </w:p>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7.  Session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6CA8"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REQUIRED</w:t>
            </w:r>
          </w:p>
        </w:tc>
        <w:tc>
          <w:tcPr>
            <w:tcW w:type="dxa" w:w="9080"/>
            <w:tcBorders>
              <w:top w:val="single" w:color="DDDDDD" w:sz="4"/>
              <w:left w:val="none" w:color="FFFFFF" w:sz="0"/>
              <w:bottom w:val="single" w:color="DDDDDD" w:sz="4"/>
              <w:right w:val="single" w:color="DDDDDD" w:sz="4"/>
            </w:tcBorders>
            <w:shd w:fill="EBF2F9"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Every session follows this four-step pattern without exception. Do not begin build work before Step 2 approval.</w:t>
            </w:r>
          </w:p>
        </w:tc>
      </w:tr>
    </w:tbl>
    <w:p>
      <w:pPr>
        <w:spacing w:after="80" w:before="80"/>
      </w:pPr>
    </w:p>
    <w:p>
      <w:pPr>
        <w:pStyle w:val="ListParagraph"/>
        <w:numPr>
          <w:ilvl w:val="0"/>
          <w:numId w:val="2"/>
        </w:numPr>
        <w:spacing w:after="40" w:before="40"/>
      </w:pPr>
      <w:r>
        <w:rPr>
          <w:rFonts w:ascii="Calibri" w:cs="Calibri" w:eastAsia="Calibri" w:hAnsi="Calibri"/>
          <w:b/>
          <w:bCs/>
          <w:color w:val="1C2B3A"/>
          <w:sz w:val="22"/>
          <w:szCs w:val="22"/>
        </w:rPr>
        <w:t xml:space="preserve">Step 1 — Open: </w:t>
      </w:r>
      <w:r>
        <w:rPr>
          <w:rFonts w:ascii="Calibri" w:cs="Calibri" w:eastAsia="Calibri" w:hAnsi="Calibri"/>
          <w:color w:val="1C2B3A"/>
          <w:sz w:val="22"/>
          <w:szCs w:val="22"/>
        </w:rPr>
        <w:t xml:space="preserve">Confirm SOVEREIGN Platform Integration Brief v1.3 + product-specific insert + prior session handoff are loaded. Name each document explicitly. Confirm all three blocking gaps are closed (Decision Matrix, Prompt Registry, Agent Identity Standard).</w:t>
      </w:r>
    </w:p>
    <w:p>
      <w:pPr>
        <w:pStyle w:val="ListParagraph"/>
        <w:numPr>
          <w:ilvl w:val="0"/>
          <w:numId w:val="2"/>
        </w:numPr>
        <w:spacing w:after="40" w:before="40"/>
      </w:pPr>
      <w:r>
        <w:rPr>
          <w:rFonts w:ascii="Calibri" w:cs="Calibri" w:eastAsia="Calibri" w:hAnsi="Calibri"/>
          <w:b/>
          <w:bCs/>
          <w:color w:val="1C2B3A"/>
          <w:sz w:val="22"/>
          <w:szCs w:val="22"/>
        </w:rPr>
        <w:t xml:space="preserve">Step 2 — State done condition: </w:t>
      </w:r>
      <w:r>
        <w:rPr>
          <w:rFonts w:ascii="Calibri" w:cs="Calibri" w:eastAsia="Calibri" w:hAnsi="Calibri"/>
          <w:color w:val="1C2B3A"/>
          <w:sz w:val="22"/>
          <w:szCs w:val="22"/>
        </w:rPr>
        <w:t xml:space="preserve">State the specific, testable done condition for this session before any build work begins. Wait for Project Principal approval.</w:t>
      </w:r>
    </w:p>
    <w:p>
      <w:pPr>
        <w:pStyle w:val="ListParagraph"/>
        <w:numPr>
          <w:ilvl w:val="0"/>
          <w:numId w:val="2"/>
        </w:numPr>
        <w:spacing w:after="40" w:before="40"/>
      </w:pPr>
      <w:r>
        <w:rPr>
          <w:rFonts w:ascii="Calibri" w:cs="Calibri" w:eastAsia="Calibri" w:hAnsi="Calibri"/>
          <w:b/>
          <w:bCs/>
          <w:color w:val="1C2B3A"/>
          <w:sz w:val="22"/>
          <w:szCs w:val="22"/>
        </w:rPr>
        <w:t xml:space="preserve">Step 3 — Build one component at a time: </w:t>
      </w:r>
      <w:r>
        <w:rPr>
          <w:rFonts w:ascii="Calibri" w:cs="Calibri" w:eastAsia="Calibri" w:hAnsi="Calibri"/>
          <w:color w:val="1C2B3A"/>
          <w:sz w:val="22"/>
          <w:szCs w:val="22"/>
        </w:rPr>
        <w:t xml:space="preserve">Build one component. Wait for human confirmation. Then proceed to the next. Never batch multiple components.</w:t>
      </w:r>
    </w:p>
    <w:p>
      <w:pPr>
        <w:pStyle w:val="ListParagraph"/>
        <w:numPr>
          <w:ilvl w:val="0"/>
          <w:numId w:val="2"/>
        </w:numPr>
        <w:spacing w:after="40" w:before="40"/>
      </w:pPr>
      <w:r>
        <w:rPr>
          <w:rFonts w:ascii="Calibri" w:cs="Calibri" w:eastAsia="Calibri" w:hAnsi="Calibri"/>
          <w:b/>
          <w:bCs/>
          <w:color w:val="1C2B3A"/>
          <w:sz w:val="22"/>
          <w:szCs w:val="22"/>
        </w:rPr>
        <w:t xml:space="preserve">Step 4 — Close with handoff: </w:t>
      </w:r>
      <w:r>
        <w:rPr>
          <w:rFonts w:ascii="Calibri" w:cs="Calibri" w:eastAsia="Calibri" w:hAnsi="Calibri"/>
          <w:color w:val="1C2B3A"/>
          <w:sz w:val="22"/>
          <w:szCs w:val="22"/>
        </w:rPr>
        <w:t xml:space="preserve">Run the End of Session Prompt. Produce all 25 files. Download all 25 before closing the conversation.</w:t>
      </w:r>
    </w:p>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8.  Build Plan and Stage Gate Status</w:t>
      </w:r>
    </w:p>
    <w:p>
      <w:pPr>
        <w:pStyle w:val="Heading2"/>
        <w:spacing w:after="80" w:before="280"/>
      </w:pPr>
      <w:r>
        <w:rPr>
          <w:rFonts w:ascii="Arial" w:cs="Arial" w:eastAsia="Arial" w:hAnsi="Arial"/>
          <w:b/>
          <w:bCs/>
          <w:color w:val="1B6CA8"/>
          <w:sz w:val="26"/>
          <w:szCs w:val="26"/>
        </w:rPr>
        <w:t xml:space="preserve">8.1  Delivery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1200"/>
        <w:gridCol w:w="3660"/>
      </w:tblGrid>
      <w:tr>
        <w:tc>
          <w:tcPr>
            <w:tcW w:type="dxa" w:w="7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Stage</w:t>
            </w:r>
          </w:p>
        </w:tc>
        <w:tc>
          <w:tcPr>
            <w:tcW w:type="dxa" w:w="26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Name</w:t>
            </w:r>
          </w:p>
        </w:tc>
        <w:tc>
          <w:tcPr>
            <w:tcW w:type="dxa" w:w="12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Duration</w:t>
            </w:r>
          </w:p>
        </w:tc>
        <w:tc>
          <w:tcPr>
            <w:tcW w:type="dxa" w:w="12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Effort</w:t>
            </w:r>
          </w:p>
        </w:tc>
        <w:tc>
          <w:tcPr>
            <w:tcW w:type="dxa" w:w="36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Key Activities</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S1</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SOVEREIGN Security Framework</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6–8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~120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Build Logger, Honeytoken, Anomaly Detector, Alert Dispatcher. Shell architecture specification approved.</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S2</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Framework Deployment — All 6 Products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8–10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~160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Replace Logger stubs. Wire Logger emission pathways. Validate P1/P2 alert routing.</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S3</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CPMI-VRS Portfolio Standard</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6–8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~100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Deploy world model REST API. Certify all 6 products. Produce Norm Accuracy Benchmark suite.</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S4</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AgentOS — Frameworks Embedded</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6–8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~120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Embed Security Framework + CPMI-VRS as native modules. Run evaluate.py. Decide medium-risk approval behavior.</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S5</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NEXUS Production Build</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10–14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~200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Complete Track B handlers. Scale testing. ATO package. Resolve Tier 2 LLM provider decision.</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S6</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ARIA Suite — Production Hardening</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8–10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~160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Resolve 5 known issues. Add triggered_rules, DECISION_BLOCKED_INSUFFICIENT_ROLE, Honeytoken hooks.</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S7</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APEX Production Build</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6–8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~100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Migrate sql.js to PostgreSQL. Wire governance HOLD to live CPMI API. Close governance record.</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S8</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FLOWPATH Production Build</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6–8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~100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OWI-FP-001 specification complete. Production M365 GCC High integration. First program office pilot.</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S9</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Integration Testing — Full Pipeline</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6–8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~120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OWI-INT-001 map complete. End-to-end pipeline: FLOWPATH VVR to ARIA compliance with no manual intervention.</w:t>
            </w:r>
          </w:p>
        </w:tc>
      </w:tr>
      <w:tr>
        <w:tc>
          <w:tcPr>
            <w:tcW w:type="dxa" w:w="7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S10</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Intelligence Layer — Design + Data Validation</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8–10 wks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~140 hrs</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Validate IL exposure fields. Design IL architecture. Begin Judgment Detection training corpus. Produce IL build plan.</w:t>
            </w:r>
          </w:p>
        </w:tc>
      </w:tr>
      <w:tr>
        <w:tc>
          <w:tcPr>
            <w:tcW w:type="dxa" w:w="700"/>
            <w:tcBorders>
              <w:top w:val="single" w:color="C8D8E8" w:sz="4"/>
              <w:left w:val="single" w:color="C8D8E8" w:sz="4"/>
              <w:bottom w:val="single" w:color="C8D8E8" w:sz="4"/>
              <w:right w:val="single" w:color="C8D8E8" w:sz="4"/>
            </w:tcBorders>
            <w:shd w:fill="F0EDF8"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ATO</w:t>
            </w:r>
          </w:p>
        </w:tc>
        <w:tc>
          <w:tcPr>
            <w:tcW w:type="dxa" w:w="2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ATO Track (parallel)</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6–18 mos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Gov-driven</w:t>
            </w:r>
          </w:p>
        </w:tc>
        <w:tc>
          <w:tcPr>
            <w:tcW w:type="dxa" w:w="36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ISSO engagement. SSP. PIA. Penetration testing. AO review. Runs in parallel — government-controlled timeline.</w:t>
            </w:r>
          </w:p>
        </w:tc>
      </w:tr>
    </w:tbl>
    <w:p>
      <w:pPr>
        <w:spacing w:after="80" w:before="80"/>
      </w:pPr>
    </w:p>
    <w:p>
      <w:pPr>
        <w:pStyle w:val="Heading2"/>
        <w:spacing w:after="80" w:before="280"/>
      </w:pPr>
      <w:r>
        <w:rPr>
          <w:rFonts w:ascii="Arial" w:cs="Arial" w:eastAsia="Arial" w:hAnsi="Arial"/>
          <w:b/>
          <w:bCs/>
          <w:color w:val="1B6CA8"/>
          <w:sz w:val="26"/>
          <w:szCs w:val="26"/>
        </w:rPr>
        <w:t xml:space="preserve">8.2  Milestone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500"/>
        <w:gridCol w:w="5260"/>
      </w:tblGrid>
      <w:tr>
        <w:tc>
          <w:tcPr>
            <w:tcW w:type="dxa" w:w="8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Gate</w:t>
            </w:r>
          </w:p>
        </w:tc>
        <w:tc>
          <w:tcPr>
            <w:tcW w:type="dxa" w:w="18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Name</w:t>
            </w:r>
          </w:p>
        </w:tc>
        <w:tc>
          <w:tcPr>
            <w:tcW w:type="dxa" w:w="15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Status</w:t>
            </w:r>
          </w:p>
        </w:tc>
        <w:tc>
          <w:tcPr>
            <w:tcW w:type="dxa" w:w="52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Criteria</w:t>
            </w:r>
          </w:p>
        </w:tc>
      </w:tr>
      <w:tr>
        <w:tc>
          <w:tcPr>
            <w:tcW w:type="dxa" w:w="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Gate 1</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All Transition Builds Complete</w:t>
            </w:r>
          </w:p>
        </w:tc>
        <w:tc>
          <w:tcPr>
            <w:tcW w:type="dxa" w:w="1500"/>
            <w:tcBorders>
              <w:top w:val="single" w:color="C8D8E8" w:sz="4"/>
              <w:left w:val="single" w:color="C8D8E8" w:sz="4"/>
              <w:bottom w:val="single" w:color="C8D8E8" w:sz="4"/>
              <w:right w:val="single" w:color="C8D8E8" w:sz="4"/>
            </w:tcBorders>
            <w:shd w:fill="EAF5F3" w:val="clear"/>
            <w:tcMar>
              <w:top w:type="dxa" w:w="80"/>
              <w:left w:type="dxa" w:w="130"/>
              <w:bottom w:type="dxa" w:w="80"/>
              <w:right w:type="dxa" w:w="120"/>
            </w:tcMar>
          </w:tcPr>
          <w:p>
            <w:pPr>
              <w:spacing w:after="0" w:before="0"/>
            </w:pPr>
            <w:r>
              <w:rPr>
                <w:rFonts w:ascii="Calibri" w:cs="Calibri" w:eastAsia="Calibri" w:hAnsi="Calibri"/>
                <w:color w:val="1A7A6E"/>
                <w:sz w:val="19"/>
                <w:szCs w:val="19"/>
              </w:rPr>
              <w:t xml:space="preserve">SATISFIED</w:t>
            </w:r>
          </w:p>
        </w:tc>
        <w:tc>
          <w:tcPr>
            <w:tcW w:type="dxa" w:w="52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All 6 products delivered four-document transition package and received READY WITH CONDITIONS verdict.</w:t>
            </w:r>
          </w:p>
        </w:tc>
      </w:tr>
      <w:tr>
        <w:tc>
          <w:tcPr>
            <w:tcW w:type="dxa" w:w="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Gate 2</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Security Framework Installed</w:t>
            </w:r>
          </w:p>
        </w:tc>
        <w:tc>
          <w:tcPr>
            <w:tcW w:type="dxa" w:w="15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PENDING</w:t>
            </w:r>
          </w:p>
        </w:tc>
        <w:tc>
          <w:tcPr>
            <w:tcW w:type="dxa" w:w="52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All 6 products on live Logger. No stubs remaining. P1 alert routing confirmed.</w:t>
            </w:r>
          </w:p>
        </w:tc>
      </w:tr>
      <w:tr>
        <w:tc>
          <w:tcPr>
            <w:tcW w:type="dxa" w:w="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Gate 3</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VRS Certificates Issued</w:t>
            </w:r>
          </w:p>
        </w:tc>
        <w:tc>
          <w:tcPr>
            <w:tcW w:type="dxa" w:w="15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PENDING</w:t>
            </w:r>
          </w:p>
        </w:tc>
        <w:tc>
          <w:tcPr>
            <w:tcW w:type="dxa" w:w="52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CPMI world model REST API live. All 6 products hold current VRS certificates.</w:t>
            </w:r>
          </w:p>
        </w:tc>
      </w:tr>
      <w:tr>
        <w:tc>
          <w:tcPr>
            <w:tcW w:type="dxa" w:w="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Gate 4</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AgentOS Platform Ready</w:t>
            </w:r>
          </w:p>
        </w:tc>
        <w:tc>
          <w:tcPr>
            <w:tcW w:type="dxa" w:w="15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PENDING</w:t>
            </w:r>
          </w:p>
        </w:tc>
        <w:tc>
          <w:tcPr>
            <w:tcW w:type="dxa" w:w="52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Security Framework + CPMI-VRS embedded as native modules. evaluate.py confirmed blocking.</w:t>
            </w:r>
          </w:p>
        </w:tc>
      </w:tr>
      <w:tr>
        <w:tc>
          <w:tcPr>
            <w:tcW w:type="dxa" w:w="8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Gate 5</w:t>
            </w:r>
          </w:p>
        </w:tc>
        <w:tc>
          <w:tcPr>
            <w:tcW w:type="dxa" w:w="18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Full Pipeline Integration Test</w:t>
            </w:r>
          </w:p>
        </w:tc>
        <w:tc>
          <w:tcPr>
            <w:tcW w:type="dxa" w:w="15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PENDING</w:t>
            </w:r>
          </w:p>
        </w:tc>
        <w:tc>
          <w:tcPr>
            <w:tcW w:type="dxa" w:w="52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FLOWPATH VVR to ARIA compliance adjudication without manual intervention or reformatting at any stage.</w:t>
            </w:r>
          </w:p>
        </w:tc>
      </w:tr>
    </w:tbl>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9.  Governance Documents — Complete Platform Set</w:t>
      </w:r>
    </w:p>
    <w:p>
      <w:pPr>
        <w:spacing w:after="100" w:before="60"/>
      </w:pPr>
      <w:r>
        <w:rPr>
          <w:rFonts w:ascii="Calibri" w:cs="Calibri" w:eastAsia="Calibri" w:hAnsi="Calibri"/>
          <w:color w:val="1C2B3A"/>
          <w:sz w:val="22"/>
          <w:szCs w:val="22"/>
        </w:rPr>
        <w:t xml:space="preserve">Every document below is part of the SOVEREIGN governance package. The context package for each session is drawn from this set. See README.md Document Guide for descriptions of each.</w:t>
      </w:r>
    </w:p>
    <w:p>
      <w:pPr>
        <w:spacing w:after="80" w:before="80"/>
      </w:pPr>
    </w:p>
    <w:p>
      <w:pPr>
        <w:pStyle w:val="Heading3"/>
        <w:spacing w:after="60" w:before="200"/>
      </w:pPr>
      <w:r>
        <w:rPr>
          <w:rFonts w:ascii="Arial" w:cs="Arial" w:eastAsia="Arial" w:hAnsi="Arial"/>
          <w:b/>
          <w:bCs/>
          <w:color w:val="0D1B2A"/>
          <w:sz w:val="22"/>
          <w:szCs w:val="22"/>
        </w:rPr>
        <w:t xml:space="preserve">Core Development Documents (load every session)</w:t>
      </w:r>
    </w:p>
    <w:p>
      <w:pPr>
        <w:pStyle w:val="ListParagraph"/>
        <w:numPr>
          <w:ilvl w:val="0"/>
          <w:numId w:val="2"/>
        </w:numPr>
        <w:spacing w:after="40" w:before="40"/>
      </w:pPr>
      <w:r>
        <w:rPr>
          <w:rFonts w:ascii="Calibri" w:cs="Calibri" w:eastAsia="Calibri" w:hAnsi="Calibri"/>
          <w:color w:val="1C2B3A"/>
          <w:sz w:val="22"/>
          <w:szCs w:val="22"/>
        </w:rPr>
        <w:t xml:space="preserve">README.md — Platform entry point and document guide</w:t>
      </w:r>
    </w:p>
    <w:p>
      <w:pPr>
        <w:pStyle w:val="ListParagraph"/>
        <w:numPr>
          <w:ilvl w:val="0"/>
          <w:numId w:val="2"/>
        </w:numPr>
        <w:spacing w:after="40" w:before="40"/>
      </w:pPr>
      <w:r>
        <w:rPr>
          <w:rFonts w:ascii="Calibri" w:cs="Calibri" w:eastAsia="Calibri" w:hAnsi="Calibri"/>
          <w:color w:val="1C2B3A"/>
          <w:sz w:val="22"/>
          <w:szCs w:val="22"/>
        </w:rPr>
        <w:t xml:space="preserve">architecture.md — Technical bible: all layers, schemas, integration patterns, open design work items</w:t>
      </w:r>
    </w:p>
    <w:p>
      <w:pPr>
        <w:pStyle w:val="ListParagraph"/>
        <w:numPr>
          <w:ilvl w:val="0"/>
          <w:numId w:val="2"/>
        </w:numPr>
        <w:spacing w:after="40" w:before="40"/>
      </w:pPr>
      <w:r>
        <w:rPr>
          <w:rFonts w:ascii="Calibri" w:cs="Calibri" w:eastAsia="Calibri" w:hAnsi="Calibri"/>
          <w:color w:val="1C2B3A"/>
          <w:sz w:val="22"/>
          <w:szCs w:val="22"/>
        </w:rPr>
        <w:t xml:space="preserve">system_prompt.md — AI agent operating instructions; standing constraints; session protocol</w:t>
      </w:r>
    </w:p>
    <w:p>
      <w:pPr>
        <w:pStyle w:val="ListParagraph"/>
        <w:numPr>
          <w:ilvl w:val="0"/>
          <w:numId w:val="2"/>
        </w:numPr>
        <w:spacing w:after="40" w:before="40"/>
      </w:pPr>
      <w:r>
        <w:rPr>
          <w:rFonts w:ascii="Calibri" w:cs="Calibri" w:eastAsia="Calibri" w:hAnsi="Calibri"/>
          <w:color w:val="1C2B3A"/>
          <w:sz w:val="22"/>
          <w:szCs w:val="22"/>
        </w:rPr>
        <w:t xml:space="preserve">PROJECT_SUMMARY.md — Institutional memory: all decisions, problems, lessons, risks</w:t>
      </w:r>
    </w:p>
    <w:p>
      <w:pPr>
        <w:pStyle w:val="ListParagraph"/>
        <w:numPr>
          <w:ilvl w:val="0"/>
          <w:numId w:val="2"/>
        </w:numPr>
        <w:spacing w:after="40" w:before="40"/>
      </w:pPr>
      <w:r>
        <w:rPr>
          <w:rFonts w:ascii="Calibri" w:cs="Calibri" w:eastAsia="Calibri" w:hAnsi="Calibri"/>
          <w:color w:val="1C2B3A"/>
          <w:sz w:val="22"/>
          <w:szCs w:val="22"/>
        </w:rPr>
        <w:t xml:space="preserve">project_plan.html — Interactive delivery plan: stage cards, gate status, required-before-production panel</w:t>
      </w:r>
    </w:p>
    <w:p>
      <w:pPr>
        <w:pStyle w:val="Heading3"/>
        <w:spacing w:after="60" w:before="200"/>
      </w:pPr>
      <w:r>
        <w:rPr>
          <w:rFonts w:ascii="Arial" w:cs="Arial" w:eastAsia="Arial" w:hAnsi="Arial"/>
          <w:b/>
          <w:bCs/>
          <w:color w:val="0D1B2A"/>
          <w:sz w:val="22"/>
          <w:szCs w:val="22"/>
        </w:rPr>
        <w:t xml:space="preserve">Governance Decision Records (load every session)</w:t>
      </w:r>
    </w:p>
    <w:p>
      <w:pPr>
        <w:pStyle w:val="ListParagraph"/>
        <w:numPr>
          <w:ilvl w:val="0"/>
          <w:numId w:val="2"/>
        </w:numPr>
        <w:spacing w:after="40" w:before="40"/>
      </w:pPr>
      <w:r>
        <w:rPr>
          <w:rFonts w:ascii="Calibri" w:cs="Calibri" w:eastAsia="Calibri" w:hAnsi="Calibri"/>
          <w:color w:val="1C2B3A"/>
          <w:sz w:val="22"/>
          <w:szCs w:val="22"/>
        </w:rPr>
        <w:t xml:space="preserve">Decision_Matrix.md — Zone 1/2/3 assignments for all six products; approved decision_type taxonomy</w:t>
      </w:r>
    </w:p>
    <w:p>
      <w:pPr>
        <w:pStyle w:val="ListParagraph"/>
        <w:numPr>
          <w:ilvl w:val="0"/>
          <w:numId w:val="2"/>
        </w:numPr>
        <w:spacing w:after="40" w:before="40"/>
      </w:pPr>
      <w:r>
        <w:rPr>
          <w:rFonts w:ascii="Calibri" w:cs="Calibri" w:eastAsia="Calibri" w:hAnsi="Calibri"/>
          <w:color w:val="1C2B3A"/>
          <w:sz w:val="22"/>
          <w:szCs w:val="22"/>
        </w:rPr>
        <w:t xml:space="preserve">Prompt_Registry_Specification.md — Versioned prompt governance; CPMI behavioral benchmarks</w:t>
      </w:r>
    </w:p>
    <w:p>
      <w:pPr>
        <w:pStyle w:val="ListParagraph"/>
        <w:numPr>
          <w:ilvl w:val="0"/>
          <w:numId w:val="2"/>
        </w:numPr>
        <w:spacing w:after="40" w:before="40"/>
      </w:pPr>
      <w:r>
        <w:rPr>
          <w:rFonts w:ascii="Calibri" w:cs="Calibri" w:eastAsia="Calibri" w:hAnsi="Calibri"/>
          <w:color w:val="1C2B3A"/>
          <w:sz w:val="22"/>
          <w:szCs w:val="22"/>
        </w:rPr>
        <w:t xml:space="preserve">Agent_Identity_Standard.md — 22 named agents; agent_id Logger requirement; credential lifecycle</w:t>
      </w:r>
    </w:p>
    <w:p>
      <w:pPr>
        <w:pStyle w:val="Heading3"/>
        <w:spacing w:after="60" w:before="200"/>
      </w:pPr>
      <w:r>
        <w:rPr>
          <w:rFonts w:ascii="Arial" w:cs="Arial" w:eastAsia="Arial" w:hAnsi="Arial"/>
          <w:b/>
          <w:bCs/>
          <w:color w:val="0D1B2A"/>
          <w:sz w:val="22"/>
          <w:szCs w:val="22"/>
        </w:rPr>
        <w:t xml:space="preserve">Architecture and Compliance Governance (load when relevant)</w:t>
      </w:r>
    </w:p>
    <w:p>
      <w:pPr>
        <w:pStyle w:val="ListParagraph"/>
        <w:numPr>
          <w:ilvl w:val="0"/>
          <w:numId w:val="2"/>
        </w:numPr>
        <w:spacing w:after="40" w:before="40"/>
      </w:pPr>
      <w:r>
        <w:rPr>
          <w:rFonts w:ascii="Calibri" w:cs="Calibri" w:eastAsia="Calibri" w:hAnsi="Calibri"/>
          <w:color w:val="1C2B3A"/>
          <w:sz w:val="22"/>
          <w:szCs w:val="22"/>
        </w:rPr>
        <w:t xml:space="preserve">SOVEREIGN_FedRAMP_Infrastructure_Strategy.md — Three-tier infrastructure; FedRAMP Moderate target; SBOM under EO 14028</w:t>
      </w:r>
    </w:p>
    <w:p>
      <w:pPr>
        <w:pStyle w:val="ListParagraph"/>
        <w:numPr>
          <w:ilvl w:val="0"/>
          <w:numId w:val="2"/>
        </w:numPr>
        <w:spacing w:after="40" w:before="40"/>
      </w:pPr>
      <w:r>
        <w:rPr>
          <w:rFonts w:ascii="Calibri" w:cs="Calibri" w:eastAsia="Calibri" w:hAnsi="Calibri"/>
          <w:color w:val="1C2B3A"/>
          <w:sz w:val="22"/>
          <w:szCs w:val="22"/>
        </w:rPr>
        <w:t xml:space="preserve">SOVEREIGN_Federal_Records_Management_Position.md — Federal records architecture; FOIA compatibility; records counsel requirement</w:t>
      </w:r>
    </w:p>
    <w:p>
      <w:pPr>
        <w:pStyle w:val="ListParagraph"/>
        <w:numPr>
          <w:ilvl w:val="0"/>
          <w:numId w:val="2"/>
        </w:numPr>
        <w:spacing w:after="40" w:before="40"/>
      </w:pPr>
      <w:r>
        <w:rPr>
          <w:rFonts w:ascii="Calibri" w:cs="Calibri" w:eastAsia="Calibri" w:hAnsi="Calibri"/>
          <w:color w:val="1C2B3A"/>
          <w:sz w:val="22"/>
          <w:szCs w:val="22"/>
        </w:rPr>
        <w:t xml:space="preserve">ARIA_AI_Boundary_Scope.md — Execution-layer AI absence; design-layer governance conditions</w:t>
      </w:r>
    </w:p>
    <w:p>
      <w:pPr>
        <w:pStyle w:val="ListParagraph"/>
        <w:numPr>
          <w:ilvl w:val="0"/>
          <w:numId w:val="2"/>
        </w:numPr>
        <w:spacing w:after="40" w:before="40"/>
      </w:pPr>
      <w:r>
        <w:rPr>
          <w:rFonts w:ascii="Calibri" w:cs="Calibri" w:eastAsia="Calibri" w:hAnsi="Calibri"/>
          <w:color w:val="1C2B3A"/>
          <w:sz w:val="22"/>
          <w:szCs w:val="22"/>
        </w:rPr>
        <w:t xml:space="preserve">CPMI_Independent_Validation_Architecture.md — Three validation layers; Norm Accuracy Benchmark (Stage 3)</w:t>
      </w:r>
    </w:p>
    <w:p>
      <w:pPr>
        <w:pStyle w:val="ListParagraph"/>
        <w:numPr>
          <w:ilvl w:val="0"/>
          <w:numId w:val="2"/>
        </w:numPr>
        <w:spacing w:after="40" w:before="40"/>
      </w:pPr>
      <w:r>
        <w:rPr>
          <w:rFonts w:ascii="Calibri" w:cs="Calibri" w:eastAsia="Calibri" w:hAnsi="Calibri"/>
          <w:color w:val="1C2B3A"/>
          <w:sz w:val="22"/>
          <w:szCs w:val="22"/>
        </w:rPr>
        <w:t xml:space="preserve">APEX_Override_Mechanism_Design.md — Type A/B override; two-person rule; watermarked reports</w:t>
      </w:r>
    </w:p>
    <w:p>
      <w:pPr>
        <w:pStyle w:val="ListParagraph"/>
        <w:numPr>
          <w:ilvl w:val="0"/>
          <w:numId w:val="2"/>
        </w:numPr>
        <w:spacing w:after="40" w:before="40"/>
      </w:pPr>
      <w:r>
        <w:rPr>
          <w:rFonts w:ascii="Calibri" w:cs="Calibri" w:eastAsia="Calibri" w:hAnsi="Calibri"/>
          <w:color w:val="1C2B3A"/>
          <w:sz w:val="22"/>
          <w:szCs w:val="22"/>
        </w:rPr>
        <w:t xml:space="preserve">ARIA_Rule_Maintenance_Process.md — Regulatory change detection; update workflow; urgency tiers</w:t>
      </w:r>
    </w:p>
    <w:p>
      <w:pPr>
        <w:pStyle w:val="Heading3"/>
        <w:spacing w:after="60" w:before="200"/>
      </w:pPr>
      <w:r>
        <w:rPr>
          <w:rFonts w:ascii="Arial" w:cs="Arial" w:eastAsia="Arial" w:hAnsi="Arial"/>
          <w:b/>
          <w:bCs/>
          <w:color w:val="0D1B2A"/>
          <w:sz w:val="22"/>
          <w:szCs w:val="22"/>
        </w:rPr>
        <w:t xml:space="preserve">Strategic and Planning Documents</w:t>
      </w:r>
    </w:p>
    <w:p>
      <w:pPr>
        <w:pStyle w:val="ListParagraph"/>
        <w:numPr>
          <w:ilvl w:val="0"/>
          <w:numId w:val="2"/>
        </w:numPr>
        <w:spacing w:after="40" w:before="40"/>
      </w:pPr>
      <w:r>
        <w:rPr>
          <w:rFonts w:ascii="Calibri" w:cs="Calibri" w:eastAsia="Calibri" w:hAnsi="Calibri"/>
          <w:color w:val="1C2B3A"/>
          <w:sz w:val="22"/>
          <w:szCs w:val="22"/>
        </w:rPr>
        <w:t xml:space="preserve">SOVEREIGN_Strategic_Gap_Analysis.docx — Gap analysis vs. AI-Enabled Organization framework</w:t>
      </w:r>
    </w:p>
    <w:p>
      <w:pPr>
        <w:pStyle w:val="ListParagraph"/>
        <w:numPr>
          <w:ilvl w:val="0"/>
          <w:numId w:val="2"/>
        </w:numPr>
        <w:spacing w:after="40" w:before="40"/>
      </w:pPr>
      <w:r>
        <w:rPr>
          <w:rFonts w:ascii="Calibri" w:cs="Calibri" w:eastAsia="Calibri" w:hAnsi="Calibri"/>
          <w:color w:val="1C2B3A"/>
          <w:sz w:val="22"/>
          <w:szCs w:val="22"/>
        </w:rPr>
        <w:t xml:space="preserve">SOVEREIGN_Delivery_Strategy.docx — Option C options analysis; schedule; effort estimates</w:t>
      </w:r>
    </w:p>
    <w:p>
      <w:pPr>
        <w:pStyle w:val="ListParagraph"/>
        <w:numPr>
          <w:ilvl w:val="0"/>
          <w:numId w:val="2"/>
        </w:numPr>
        <w:spacing w:after="40" w:before="40"/>
      </w:pPr>
      <w:r>
        <w:rPr>
          <w:rFonts w:ascii="Calibri" w:cs="Calibri" w:eastAsia="Calibri" w:hAnsi="Calibri"/>
          <w:color w:val="1C2B3A"/>
          <w:sz w:val="22"/>
          <w:szCs w:val="22"/>
        </w:rPr>
        <w:t xml:space="preserve">Panel_Response.md — Structured response to AI Stack Advisory Panel review</w:t>
      </w:r>
    </w:p>
    <w:p>
      <w:pPr>
        <w:pStyle w:val="ListParagraph"/>
        <w:numPr>
          <w:ilvl w:val="0"/>
          <w:numId w:val="2"/>
        </w:numPr>
        <w:spacing w:after="40" w:before="40"/>
      </w:pPr>
      <w:r>
        <w:rPr>
          <w:rFonts w:ascii="Calibri" w:cs="Calibri" w:eastAsia="Calibri" w:hAnsi="Calibri"/>
          <w:color w:val="1C2B3A"/>
          <w:sz w:val="22"/>
          <w:szCs w:val="22"/>
        </w:rPr>
        <w:t xml:space="preserve">AGENT_BACKGROUND_AND_LESSONS_LEARNED.md — Written to future build agents; architectural reasoning; patterns and anti-patterns</w:t>
      </w:r>
    </w:p>
    <w:p>
      <w:pPr>
        <w:pStyle w:val="Heading3"/>
        <w:spacing w:after="60" w:before="200"/>
      </w:pPr>
      <w:r>
        <w:rPr>
          <w:rFonts w:ascii="Arial" w:cs="Arial" w:eastAsia="Arial" w:hAnsi="Arial"/>
          <w:b/>
          <w:bCs/>
          <w:color w:val="0D1B2A"/>
          <w:sz w:val="22"/>
          <w:szCs w:val="22"/>
        </w:rPr>
        <w:t xml:space="preserve">Session Operations</w:t>
      </w:r>
    </w:p>
    <w:p>
      <w:pPr>
        <w:pStyle w:val="ListParagraph"/>
        <w:numPr>
          <w:ilvl w:val="0"/>
          <w:numId w:val="2"/>
        </w:numPr>
        <w:spacing w:after="40" w:before="40"/>
      </w:pPr>
      <w:r>
        <w:rPr>
          <w:rFonts w:ascii="Calibri" w:cs="Calibri" w:eastAsia="Calibri" w:hAnsi="Calibri"/>
          <w:color w:val="1C2B3A"/>
          <w:sz w:val="22"/>
          <w:szCs w:val="22"/>
        </w:rPr>
        <w:t xml:space="preserve">End_of_Session_Prompt.md — v1.3; runs at session close; produces all 25 files; 25-file minimum enforced</w:t>
      </w:r>
    </w:p>
    <w:p>
      <w:pPr>
        <w:pStyle w:val="ListParagraph"/>
        <w:numPr>
          <w:ilvl w:val="0"/>
          <w:numId w:val="2"/>
        </w:numPr>
        <w:spacing w:after="40" w:before="40"/>
      </w:pPr>
      <w:r>
        <w:rPr>
          <w:rFonts w:ascii="Calibri" w:cs="Calibri" w:eastAsia="Calibri" w:hAnsi="Calibri"/>
          <w:color w:val="1C2B3A"/>
          <w:sz w:val="22"/>
          <w:szCs w:val="22"/>
        </w:rPr>
        <w:t xml:space="preserve">VISUAL_DESIGN_SUMMARY.md — Design system for all products and shell</w:t>
      </w:r>
    </w:p>
    <w:p>
      <w:pPr>
        <w:pStyle w:val="ListParagraph"/>
        <w:numPr>
          <w:ilvl w:val="0"/>
          <w:numId w:val="2"/>
        </w:numPr>
        <w:spacing w:after="40" w:before="40"/>
      </w:pPr>
      <w:r>
        <w:rPr>
          <w:rFonts w:ascii="Calibri" w:cs="Calibri" w:eastAsia="Calibri" w:hAnsi="Calibri"/>
          <w:color w:val="1C2B3A"/>
          <w:sz w:val="22"/>
          <w:szCs w:val="22"/>
        </w:rPr>
        <w:t xml:space="preserve">BOTTOMS_UP_DESCRIPTION.md — Technical reference: frameworks, build processes, extension patterns</w:t>
      </w:r>
    </w:p>
    <w:p>
      <w:pPr>
        <w:pStyle w:val="ListParagraph"/>
        <w:numPr>
          <w:ilvl w:val="0"/>
          <w:numId w:val="2"/>
        </w:numPr>
        <w:spacing w:after="40" w:before="40"/>
      </w:pPr>
      <w:r>
        <w:rPr>
          <w:rFonts w:ascii="Calibri" w:cs="Calibri" w:eastAsia="Calibri" w:hAnsi="Calibri"/>
          <w:color w:val="1C2B3A"/>
          <w:sz w:val="22"/>
          <w:szCs w:val="22"/>
        </w:rPr>
        <w:t xml:space="preserve">SBOM_Registry.md — Software Bill of Materials; required by EO 14028; updated every session</w:t>
      </w:r>
    </w:p>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10.  Shared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8B1A1A"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LAW</w:t>
            </w:r>
          </w:p>
        </w:tc>
        <w:tc>
          <w:tcPr>
            <w:tcW w:type="dxa" w:w="9080"/>
            <w:tcBorders>
              <w:top w:val="single" w:color="DDDDDD" w:sz="4"/>
              <w:left w:val="none" w:color="FFFFFF" w:sz="0"/>
              <w:bottom w:val="single" w:color="DDDDDD" w:sz="4"/>
              <w:right w:val="single" w:color="DDDDDD" w:sz="4"/>
            </w:tcBorders>
            <w:shd w:fill="FEF0F0"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These field names are canonical. No product may redefine them. Field name divergence is an architectural violation.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Entity</w:t>
            </w:r>
          </w:p>
        </w:tc>
        <w:tc>
          <w:tcPr>
            <w:tcW w:type="dxa" w:w="77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Canonical Fields</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Employee</w:t>
            </w:r>
          </w:p>
        </w:tc>
        <w:tc>
          <w:tcPr>
            <w:tcW w:type="dxa" w:w="7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employee_id · name · org_unit · role · clearance_level · cost_code_assignments</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Program</w:t>
            </w:r>
          </w:p>
        </w:tc>
        <w:tc>
          <w:tcPr>
            <w:tcW w:type="dxa" w:w="7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program_id · name · sponsor · contract_number · classification_level · status</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Cost Code</w:t>
            </w:r>
          </w:p>
        </w:tc>
        <w:tc>
          <w:tcPr>
            <w:tcW w:type="dxa" w:w="7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cost_code · program_id · labor_category · fiscal_year · ceiling</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Document</w:t>
            </w:r>
          </w:p>
        </w:tc>
        <w:tc>
          <w:tcPr>
            <w:tcW w:type="dxa" w:w="7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document_id · title · classification_level · version · created_by · program_id · created_at</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Vendor</w:t>
            </w:r>
          </w:p>
        </w:tc>
        <w:tc>
          <w:tcPr>
            <w:tcW w:type="dxa" w:w="77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vendor_id · name · cage_code · jurisdiction · cleared_status · active_contracts</w:t>
            </w:r>
          </w:p>
        </w:tc>
      </w:tr>
    </w:tbl>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11.  Required-Before-Production Design Obligations</w:t>
      </w:r>
    </w:p>
    <w:p>
      <w:pPr>
        <w:spacing w:after="100" w:before="60"/>
      </w:pPr>
      <w:r>
        <w:rPr>
          <w:rFonts w:ascii="Calibri" w:cs="Calibri" w:eastAsia="Calibri" w:hAnsi="Calibri"/>
          <w:color w:val="1C2B3A"/>
          <w:sz w:val="22"/>
          <w:szCs w:val="22"/>
        </w:rPr>
        <w:t xml:space="preserve">These items are not blocking Stage 1 but must be addressed before their respective production stages. They are tracked here as standing awareness items.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5060"/>
      </w:tblGrid>
      <w:tr>
        <w:tc>
          <w:tcPr>
            <w:tcW w:type="dxa" w:w="6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ID</w:t>
            </w:r>
          </w:p>
        </w:tc>
        <w:tc>
          <w:tcPr>
            <w:tcW w:type="dxa" w:w="22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Item</w:t>
            </w:r>
          </w:p>
        </w:tc>
        <w:tc>
          <w:tcPr>
            <w:tcW w:type="dxa" w:w="15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Required Before</w:t>
            </w:r>
          </w:p>
        </w:tc>
        <w:tc>
          <w:tcPr>
            <w:tcW w:type="dxa" w:w="50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R1</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Human Review Volume Architecture</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Stage 5</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NEXUS at program or enterprise-scale cannot sustain individual review of every output. Three-tier risk-stratified review design required. Sovereign-shell review queue is a Stage 1 design requirement.</w:t>
            </w:r>
          </w:p>
        </w:tc>
      </w:tr>
      <w:tr>
        <w:tc>
          <w:tcPr>
            <w:tcW w:type="dxa" w:w="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R2</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AI Provider Abstraction Layer</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Stage 1 shell</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Sovereign-api-client wraps all LLM calls. No product calls Anthropic API directly. Three-tier fallback platform standard. GovCloud LLM provider decision required before Stage 5.</w:t>
            </w:r>
          </w:p>
        </w:tc>
      </w:tr>
      <w:tr>
        <w:tc>
          <w:tcPr>
            <w:tcW w:type="dxa" w:w="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R3</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Agent Operator Role</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Stage 2</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Scope document written; role formally assigned before Security Framework alerts go live. Succession procedure required.</w:t>
            </w:r>
          </w:p>
        </w:tc>
      </w:tr>
      <w:tr>
        <w:tc>
          <w:tcPr>
            <w:tcW w:type="dxa" w:w="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R4</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Federal Client Workforce Transition</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First client pilot</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Client Implementation Methodology document. FLOWPATH pilot framing. Reviewer capacity design. Middle management transition acknowledgment.</w:t>
            </w:r>
          </w:p>
        </w:tc>
      </w:tr>
      <w:tr>
        <w:tc>
          <w:tcPr>
            <w:tcW w:type="dxa" w:w="600"/>
            <w:tcBorders>
              <w:top w:val="single" w:color="C8D8E8" w:sz="4"/>
              <w:left w:val="single" w:color="C8D8E8" w:sz="4"/>
              <w:bottom w:val="single" w:color="C8D8E8" w:sz="4"/>
              <w:right w:val="single" w:color="C8D8E8" w:sz="4"/>
            </w:tcBorders>
            <w:shd w:fill="F0EDF8"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R5</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FLOWPATH Elicitation Methodology (OWI-FP-001)</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Stage 8 / first pilot</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Dedicated session required. VVRs must capture unofficial process — workarounds, exceptions that became norms, informal decision paths.</w:t>
            </w:r>
          </w:p>
        </w:tc>
      </w:tr>
      <w:tr>
        <w:tc>
          <w:tcPr>
            <w:tcW w:type="dxa" w:w="600"/>
            <w:tcBorders>
              <w:top w:val="single" w:color="C8D8E8" w:sz="4"/>
              <w:left w:val="single" w:color="C8D8E8" w:sz="4"/>
              <w:bottom w:val="single" w:color="C8D8E8" w:sz="4"/>
              <w:right w:val="single" w:color="C8D8E8" w:sz="4"/>
            </w:tcBorders>
            <w:shd w:fill="F0EDF8"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R6</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Cross-Product Failure Topology Map (OWI-INT-001)</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Stage 9</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Dedicated session required. Stage 9 gate criterion — cannot begin without this map.</w:t>
            </w:r>
          </w:p>
        </w:tc>
      </w:tr>
      <w:tr>
        <w:tc>
          <w:tcPr>
            <w:tcW w:type="dxa" w:w="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R7</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Tier 2 LLM Provider Decision</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Stage 5</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Anthropic commercial API not in GovCloud boundary for CUI data. Which provider is authorized must be resolved before NEXUS production architecture is locked.</w:t>
            </w:r>
          </w:p>
        </w:tc>
      </w:tr>
      <w:tr>
        <w:tc>
          <w:tcPr>
            <w:tcW w:type="dxa" w:w="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R8</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Federal Records Data Dictionary Update</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Federal production</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Add retention_schedule, retention_expiry, and legal_hold fields to all record tables before federal production deployment.</w:t>
            </w:r>
          </w:p>
        </w:tc>
      </w:tr>
      <w:tr>
        <w:tc>
          <w:tcPr>
            <w:tcW w:type="dxa" w:w="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R9</w:t>
            </w:r>
          </w:p>
        </w:tc>
        <w:tc>
          <w:tcPr>
            <w:tcW w:type="dxa" w:w="2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CPMI Norm Accuracy Benchmark</w:t>
            </w:r>
          </w:p>
        </w:tc>
        <w:tc>
          <w:tcPr>
            <w:tcW w:type="dxa" w:w="15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Stage 3</w:t>
            </w:r>
          </w:p>
        </w:tc>
        <w:tc>
          <w:tcPr>
            <w:tcW w:type="dxa" w:w="50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Benchmark suite testing CPMI's application of specific regulatory norms against expert-confirmed ground truth. Stage 3 deliverable.</w:t>
            </w:r>
          </w:p>
        </w:tc>
      </w:tr>
    </w:tbl>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12.  Current Product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B07010" w:val="clear"/>
            <w:tcMar>
              <w:top w:type="dxa" w:w="80"/>
              <w:left w:type="dxa" w:w="130"/>
              <w:bottom w:type="dxa" w:w="80"/>
              <w:right w:type="dxa" w:w="120"/>
            </w:tcMar>
          </w:tcPr>
          <w:p>
            <w:pPr>
              <w:spacing w:after="0" w:before="0"/>
            </w:pPr>
            <w:r>
              <w:rPr>
                <w:rFonts w:ascii="Arial" w:cs="Arial" w:eastAsia="Arial" w:hAnsi="Arial"/>
                <w:b/>
                <w:bCs/>
                <w:color w:val="FFFFFF"/>
                <w:sz w:val="18"/>
                <w:szCs w:val="18"/>
              </w:rPr>
              <w:t xml:space="preserve">DATA STATUS</w:t>
            </w:r>
          </w:p>
        </w:tc>
        <w:tc>
          <w:tcPr>
            <w:tcW w:type="dxa" w:w="9080"/>
            <w:tcBorders>
              <w:top w:val="single" w:color="DDDDDD" w:sz="4"/>
              <w:left w:val="none" w:color="FFFFFF" w:sz="0"/>
              <w:bottom w:val="single" w:color="DDDDDD" w:sz="4"/>
              <w:right w:val="single" w:color="DDDDDD" w:sz="4"/>
            </w:tcBorders>
            <w:shd w:fill="FEF3DC" w:val="clear"/>
            <w:tcMar>
              <w:top w:type="dxa" w:w="80"/>
              <w:left w:type="dxa" w:w="160"/>
              <w:bottom w:type="dxa" w:w="80"/>
              <w:right w:type="dxa" w:w="120"/>
            </w:tcMar>
          </w:tcPr>
          <w:p>
            <w:pPr>
              <w:spacing w:after="0" w:before="0"/>
            </w:pPr>
            <w:r>
              <w:rPr>
                <w:rFonts w:ascii="Calibri" w:cs="Calibri" w:eastAsia="Calibri" w:hAnsi="Calibri"/>
                <w:color w:val="0D1B2A"/>
                <w:sz w:val="21"/>
                <w:szCs w:val="21"/>
              </w:rPr>
              <w:t xml:space="preserve">All data in all products is currently SYNTHETIC. No real federal data has entered any product. The Governance Clock has not activated. All six governance records are incomplete — no ISSO contacts, ATO boundaries, or retention schedules documented for any product.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c>
          <w:tcPr>
            <w:tcW w:type="dxa" w:w="16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Product</w:t>
            </w:r>
          </w:p>
        </w:tc>
        <w:tc>
          <w:tcPr>
            <w:tcW w:type="dxa" w:w="12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Stage</w:t>
            </w:r>
          </w:p>
        </w:tc>
        <w:tc>
          <w:tcPr>
            <w:tcW w:type="dxa" w:w="16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Status</w:t>
            </w:r>
          </w:p>
        </w:tc>
        <w:tc>
          <w:tcPr>
            <w:tcW w:type="dxa" w:w="49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Open Condition</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FLOWPATH</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1 — Elicit</w:t>
            </w:r>
          </w:p>
        </w:tc>
        <w:tc>
          <w:tcPr>
            <w:tcW w:type="dxa" w:w="16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Ready with Conditions</w:t>
            </w:r>
          </w:p>
        </w:tc>
        <w:tc>
          <w:tcPr>
            <w:tcW w:type="dxa" w:w="49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Add cpmi_vrs_disclosure field to VVR schema</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CPMI</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3 — Govern</w:t>
            </w:r>
          </w:p>
        </w:tc>
        <w:tc>
          <w:tcPr>
            <w:tcW w:type="dxa" w:w="16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Ready with Conditions</w:t>
            </w:r>
          </w:p>
        </w:tc>
        <w:tc>
          <w:tcPr>
            <w:tcW w:type="dxa" w:w="49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Deploy world model REST API; run Phase 5 Notion write-back</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AgentOS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4 — Execute</w:t>
            </w:r>
          </w:p>
        </w:tc>
        <w:tc>
          <w:tcPr>
            <w:tcW w:type="dxa" w:w="16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Ready with Conditions</w:t>
            </w:r>
          </w:p>
        </w:tc>
        <w:tc>
          <w:tcPr>
            <w:tcW w:type="dxa" w:w="49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Run evaluate.py end-to-end; decide medium-risk approval behavior</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NEXUS</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6 — Report</w:t>
            </w:r>
          </w:p>
        </w:tc>
        <w:tc>
          <w:tcPr>
            <w:tcW w:type="dxa" w:w="16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Ready with Conditions</w:t>
            </w:r>
          </w:p>
        </w:tc>
        <w:tc>
          <w:tcPr>
            <w:tcW w:type="dxa" w:w="49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Complete Track B API handlers; begin governance record</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APEX</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6 — Report</w:t>
            </w:r>
          </w:p>
        </w:tc>
        <w:tc>
          <w:tcPr>
            <w:tcW w:type="dxa" w:w="16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Ready with Conditions</w:t>
            </w:r>
          </w:p>
        </w:tc>
        <w:tc>
          <w:tcPr>
            <w:tcW w:type="dxa" w:w="49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Validate sql.js persistence end-to-end; wire Logger emission pathway</w:t>
            </w:r>
          </w:p>
        </w:tc>
      </w:tr>
      <w:tr>
        <w:tc>
          <w:tcPr>
            <w:tcW w:type="dxa" w:w="16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ARIA Suite</w:t>
            </w:r>
          </w:p>
        </w:tc>
        <w:tc>
          <w:tcPr>
            <w:tcW w:type="dxa" w:w="12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7 — Comply</w:t>
            </w:r>
          </w:p>
        </w:tc>
        <w:tc>
          <w:tcPr>
            <w:tcW w:type="dxa" w:w="1600"/>
            <w:tcBorders>
              <w:top w:val="single" w:color="C8D8E8" w:sz="4"/>
              <w:left w:val="single" w:color="C8D8E8" w:sz="4"/>
              <w:bottom w:val="single" w:color="C8D8E8" w:sz="4"/>
              <w:right w:val="single" w:color="C8D8E8" w:sz="4"/>
            </w:tcBorders>
            <w:shd w:fill="FEF3DC" w:val="clear"/>
            <w:tcMar>
              <w:top w:type="dxa" w:w="80"/>
              <w:left w:type="dxa" w:w="130"/>
              <w:bottom w:type="dxa" w:w="80"/>
              <w:right w:type="dxa" w:w="120"/>
            </w:tcMar>
          </w:tcPr>
          <w:p>
            <w:pPr>
              <w:spacing w:after="0" w:before="0"/>
            </w:pPr>
            <w:r>
              <w:rPr>
                <w:rFonts w:ascii="Calibri" w:cs="Calibri" w:eastAsia="Calibri" w:hAnsi="Calibri"/>
                <w:color w:val="B07010"/>
                <w:sz w:val="19"/>
                <w:szCs w:val="19"/>
              </w:rPr>
              <w:t xml:space="preserve">Ready with Conditions</w:t>
            </w:r>
          </w:p>
        </w:tc>
        <w:tc>
          <w:tcPr>
            <w:tcW w:type="dxa" w:w="49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0D1B2A"/>
                <w:sz w:val="19"/>
                <w:szCs w:val="19"/>
              </w:rPr>
              <w:t xml:space="preserve">Resolve all 5 known issues; begin source file modifications</w:t>
            </w:r>
          </w:p>
        </w:tc>
      </w:tr>
    </w:tbl>
    <w:p>
      <w:pPr>
        <w:pBdr>
          <w:bottom w:val="single" w:color="C8D8E8" w:sz="6" w:space="1"/>
        </w:pBdr>
        <w:spacing w:after="120" w:before="120"/>
      </w:pPr>
    </w:p>
    <w:p>
      <w:pPr>
        <w:pStyle w:val="Heading1"/>
        <w:spacing w:after="120" w:before="400"/>
      </w:pPr>
      <w:r>
        <w:rPr>
          <w:rFonts w:ascii="Arial" w:cs="Arial" w:eastAsia="Arial" w:hAnsi="Arial"/>
          <w:b/>
          <w:bCs/>
          <w:color w:val="0D1B2A"/>
          <w:sz w:val="32"/>
          <w:szCs w:val="32"/>
        </w:rPr>
        <w:t xml:space="preserve">13.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Version</w:t>
            </w:r>
          </w:p>
        </w:tc>
        <w:tc>
          <w:tcPr>
            <w:tcW w:type="dxa" w:w="160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Date</w:t>
            </w:r>
          </w:p>
        </w:tc>
        <w:tc>
          <w:tcPr>
            <w:tcW w:type="dxa" w:w="6360"/>
            <w:tcBorders>
              <w:top w:val="single" w:color="0D1B2A" w:sz="4"/>
              <w:left w:val="single" w:color="0D1B2A" w:sz="4"/>
              <w:bottom w:val="single" w:color="0D1B2A" w:sz="4"/>
              <w:right w:val="single" w:color="0D1B2A" w:sz="4"/>
            </w:tcBorders>
            <w:shd w:fill="0D1B2A" w:val="clear"/>
            <w:tcMar>
              <w:top w:type="dxa" w:w="80"/>
              <w:left w:type="dxa" w:w="130"/>
              <w:bottom w:type="dxa" w:w="80"/>
              <w:right w:type="dxa" w:w="120"/>
            </w:tcMar>
          </w:tcPr>
          <w:p>
            <w:pPr>
              <w:spacing w:after="0" w:before="0"/>
            </w:pPr>
            <w:r>
              <w:rPr>
                <w:rFonts w:ascii="Arial" w:cs="Arial" w:eastAsia="Arial" w:hAnsi="Arial"/>
                <w:b/>
                <w:bCs/>
                <w:color w:val="FFFFFF"/>
                <w:sz w:val="19"/>
                <w:szCs w:val="19"/>
              </w:rPr>
              <w:t xml:space="preserve">Changes</w:t>
            </w:r>
          </w:p>
        </w:tc>
      </w:tr>
      <w:tr>
        <w:tc>
          <w:tcPr>
            <w:tcW w:type="dxa" w:w="14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v1.0</w:t>
            </w:r>
          </w:p>
        </w:tc>
        <w:tc>
          <w:tcPr>
            <w:tcW w:type="dxa" w:w="1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Prior to May 2026</w:t>
            </w:r>
          </w:p>
        </w:tc>
        <w:tc>
          <w:tcPr>
            <w:tcW w:type="dxa" w:w="6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Original Integration Brief. Six product inserts produced. Session 0 governance role assignments completed. Platform pipeline and three shared infrastructure layers established.</w:t>
            </w:r>
          </w:p>
        </w:tc>
      </w:tr>
      <w:tr>
        <w:tc>
          <w:tcPr>
            <w:tcW w:type="dxa" w:w="14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v1.1</w:t>
            </w:r>
          </w:p>
        </w:tc>
        <w:tc>
          <w:tcPr>
            <w:tcW w:type="dxa" w:w="1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Prior to May 2026</w:t>
            </w:r>
          </w:p>
        </w:tc>
        <w:tc>
          <w:tcPr>
            <w:tcW w:type="dxa" w:w="6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FLOWPATH renamed from Workflow Mapping Pilot. Build Plan updated to v2.0. Integration reliability, efficiency, and security named as three non-negotiable design outcomes. Governance role assignments embedded. Transition build status section added.</w:t>
            </w:r>
          </w:p>
        </w:tc>
      </w:tr>
      <w:tr>
        <w:tc>
          <w:tcPr>
            <w:tcW w:type="dxa" w:w="14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v1.2</w:t>
            </w:r>
          </w:p>
        </w:tc>
        <w:tc>
          <w:tcPr>
            <w:tcW w:type="dxa" w:w="1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Prior to May 2026</w:t>
            </w:r>
          </w:p>
        </w:tc>
        <w:tc>
          <w:tcPr>
            <w:tcW w:type="dxa" w:w="6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Six product transition packages completed. All products assessed READY WITH CONDITIONS. Option C deployment architecture selected. Product insert updates incorporated.</w:t>
            </w:r>
          </w:p>
        </w:tc>
      </w:tr>
      <w:tr>
        <w:tc>
          <w:tcPr>
            <w:tcW w:type="dxa" w:w="1400"/>
            <w:tcBorders>
              <w:top w:val="single" w:color="C8D8E8" w:sz="4"/>
              <w:left w:val="single" w:color="C8D8E8" w:sz="4"/>
              <w:bottom w:val="single" w:color="C8D8E8" w:sz="4"/>
              <w:right w:val="single" w:color="C8D8E8" w:sz="4"/>
            </w:tcBorders>
            <w:shd w:fill="EBF2F9"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v1.3</w:t>
            </w:r>
          </w:p>
        </w:tc>
        <w:tc>
          <w:tcPr>
            <w:tcW w:type="dxa" w:w="160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May 31, 2026</w:t>
            </w:r>
          </w:p>
        </w:tc>
        <w:tc>
          <w:tcPr>
            <w:tcW w:type="dxa" w:w="6360"/>
            <w:tcBorders>
              <w:top w:val="single" w:color="C8D8E8" w:sz="4"/>
              <w:left w:val="single" w:color="C8D8E8" w:sz="4"/>
              <w:bottom w:val="single" w:color="C8D8E8" w:sz="4"/>
              <w:right w:val="single" w:color="C8D8E8" w:sz="4"/>
            </w:tcBorders>
            <w:shd w:fill="FFFFFF" w:val="clear"/>
            <w:tcMar>
              <w:top w:type="dxa" w:w="80"/>
              <w:left w:type="dxa" w:w="130"/>
              <w:bottom w:type="dxa" w:w="80"/>
              <w:right w:type="dxa" w:w="120"/>
            </w:tcMar>
          </w:tcPr>
          <w:p>
            <w:pPr>
              <w:spacing w:after="0" w:before="0"/>
            </w:pPr>
            <w:r>
              <w:rPr>
                <w:rFonts w:ascii="Calibri" w:cs="Calibri" w:eastAsia="Calibri" w:hAnsi="Calibri"/>
                <w:color w:val="1C2B3A"/>
                <w:sz w:val="19"/>
                <w:szCs w:val="19"/>
              </w:rPr>
              <w:t xml:space="preserve">Three blocking gaps closed: Decision Matrix, Prompt Registry Specification, Agent Identity Standard incorporated as standing constraints. Six panel review governance documents added. Nine required-before-production items (R1–R9) and two open work items (OWI-FP-001, OWI-INT-001) formally tracked. APEX renamed to Program Analytics and Reporting Platform. Language corrections: agency-specific references removed; scale language generalized. SBOM requirement under EO 14028 added. End of Session Prompt v1.3 adopted — all 25 documents produced every session. Stage 1 is next.</w:t>
            </w:r>
          </w:p>
        </w:tc>
      </w:tr>
    </w:tbl>
    <w:p>
      <w:pPr>
        <w:spacing w:after="80" w:before="80"/>
      </w:pPr>
    </w:p>
    <w:p>
      <w:pPr>
        <w:spacing w:after="60" w:before="200"/>
      </w:pPr>
      <w:r>
        <w:rPr>
          <w:rFonts w:ascii="Calibri" w:cs="Calibri" w:eastAsia="Calibri" w:hAnsi="Calibri"/>
          <w:color w:val="666666"/>
          <w:sz w:val="20"/>
          <w:szCs w:val="20"/>
        </w:rPr>
        <w:t xml:space="preserve">SOVEREIGN Platform Integration Brief v1.3 · May 31, 2026</w:t>
      </w:r>
    </w:p>
    <w:p>
      <w:pPr>
        <w:spacing w:after="0" w:before="0"/>
      </w:pPr>
      <w:r>
        <w:rPr>
          <w:rFonts w:ascii="Calibri" w:cs="Calibri" w:eastAsia="Calibri" w:hAnsi="Calibri"/>
          <w:color w:val="666666"/>
          <w:sz w:val="20"/>
          <w:szCs w:val="20"/>
        </w:rPr>
        <w:t xml:space="preserve">Pre-Decisional · Internal Working Document · Load in every SOVEREIGN development session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4"/>
      </w:pBdr>
      <w:spacing w:after="0" w:before="0"/>
      <w:jc w:val="center"/>
    </w:pPr>
    <w:r>
      <w:rPr>
        <w:rFonts w:ascii="Calibri" w:cs="Calibri" w:eastAsia="Calibri" w:hAnsi="Calibri"/>
        <w:color w:val="888888"/>
        <w:sz w:val="18"/>
        <w:szCs w:val="18"/>
      </w:rPr>
      <w:t xml:space="preserve">SOVEREIGN Platform Integration Brief v1.3  |  Page </w:t>
    </w:r>
    <w:fldSimple w:instr="PAGE"/>
    <w:r>
      <w:rPr>
        <w:rFonts w:ascii="Calibri" w:cs="Calibri" w:eastAsia="Calibri" w:hAnsi="Calibri"/>
        <w:color w:val="888888"/>
        <w:sz w:val="18"/>
        <w:szCs w:val="18"/>
      </w:rPr>
      <w:t xml:space="preserve">  |  Pre-Decisional · Internal Working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B6CA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2026-06-02T23:58:48.383Z</dcterms:created>
  <dcterms:modified xsi:type="dcterms:W3CDTF">2026-06-02T23:58:48.395Z</dcterms:modified>
</cp:coreProperties>
</file>

<file path=docProps/custom.xml><?xml version="1.0" encoding="utf-8"?>
<Properties xmlns="http://schemas.openxmlformats.org/officeDocument/2006/custom-properties" xmlns:vt="http://schemas.openxmlformats.org/officeDocument/2006/docPropsVTypes"/>
</file>