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Arial" w:hAnsi="Arial" w:eastAsia="Arial"/>
          <w:b/>
          <w:color w:val="1F5FAE"/>
          <w:sz w:val="17"/>
        </w:rPr>
        <w:t>PRODUCT &amp; DATA GOVERNANCE</w:t>
      </w:r>
    </w:p>
    <w:p>
      <w:pPr>
        <w:spacing w:after="80"/>
      </w:pPr>
      <w:r>
        <w:rPr>
          <w:rFonts w:ascii="Arial" w:hAnsi="Arial" w:eastAsia="Hiragino Sans GB"/>
          <w:b/>
          <w:color w:val="1E3553"/>
          <w:sz w:val="44"/>
        </w:rPr>
        <w:t>Audit Compass 系统术语与数据属性字典</w:t>
      </w:r>
    </w:p>
    <w:p>
      <w:pPr>
        <w:spacing w:after="280"/>
      </w:pPr>
      <w:r>
        <w:rPr>
          <w:rFonts w:ascii="Arial" w:hAnsi="Arial" w:eastAsia="Hiragino Sans GB"/>
          <w:b w:val="0"/>
          <w:color w:val="4A6F9E"/>
          <w:sz w:val="22"/>
        </w:rPr>
        <w:t>统一产品名称、业务定义、核心属性、计算口径与页面表达</w:t>
      </w:r>
    </w:p>
    <w:p>
      <w:pPr>
        <w:spacing w:after="240"/>
      </w:pPr>
      <w:r>
        <w:rPr>
          <w:rFonts w:ascii="Arial" w:hAnsi="Arial" w:eastAsia="Hiragino Sans GB"/>
          <w:b/>
          <w:color w:val="65758A"/>
          <w:sz w:val="18"/>
        </w:rPr>
        <w:t>版本：</w:t>
      </w:r>
      <w:r>
        <w:rPr>
          <w:rFonts w:ascii="Arial" w:hAnsi="Arial" w:eastAsia="Hiragino Sans GB"/>
          <w:b w:val="0"/>
          <w:color w:val="26384F"/>
          <w:sz w:val="18"/>
        </w:rPr>
        <w:t xml:space="preserve">V1.0    </w:t>
      </w:r>
      <w:r>
        <w:rPr>
          <w:rFonts w:ascii="Arial" w:hAnsi="Arial" w:eastAsia="Hiragino Sans GB"/>
          <w:b/>
          <w:color w:val="65758A"/>
          <w:sz w:val="18"/>
        </w:rPr>
        <w:t>生效日期：</w:t>
      </w:r>
      <w:r>
        <w:rPr>
          <w:rFonts w:ascii="Arial" w:hAnsi="Arial" w:eastAsia="Hiragino Sans GB"/>
          <w:b w:val="0"/>
          <w:color w:val="26384F"/>
          <w:sz w:val="18"/>
        </w:rPr>
        <w:t xml:space="preserve">2026-08-18    </w:t>
      </w:r>
      <w:r>
        <w:rPr>
          <w:rFonts w:ascii="Arial" w:hAnsi="Arial" w:eastAsia="Hiragino Sans GB"/>
          <w:b/>
          <w:color w:val="65758A"/>
          <w:sz w:val="18"/>
        </w:rPr>
        <w:t>适用范围：</w:t>
      </w:r>
      <w:r>
        <w:rPr>
          <w:rFonts w:ascii="Arial" w:hAnsi="Arial" w:eastAsia="Hiragino Sans GB"/>
          <w:b w:val="0"/>
          <w:color w:val="26384F"/>
          <w:sz w:val="18"/>
        </w:rPr>
        <w:t xml:space="preserve">产品需求、UI设计、前后端开发、测试、导出文件与分析报告    </w:t>
      </w:r>
    </w:p>
    <w:p>
      <w:pPr>
        <w:spacing w:before="80" w:after="160" w:line="276" w:lineRule="auto"/>
        <w:ind w:left="173" w:right="173"/>
        <w:shd w:fill="F6F9FD"/>
        <w:pBdr>
          <w:left w:val="single" w:sz="18" w:color="1F5FAE"/>
        </w:pBdr>
      </w:pPr>
      <w:r>
        <w:rPr>
          <w:rFonts w:ascii="Arial" w:hAnsi="Arial" w:eastAsia="Hiragino Sans GB"/>
          <w:b/>
          <w:color w:val="1F5FAE"/>
          <w:sz w:val="19"/>
        </w:rPr>
        <w:t xml:space="preserve">文档定位  </w:t>
      </w:r>
      <w:r>
        <w:rPr>
          <w:rFonts w:ascii="Arial" w:hAnsi="Arial" w:eastAsia="Hiragino Sans GB"/>
          <w:b w:val="0"/>
          <w:color w:val="26384F"/>
          <w:sz w:val="19"/>
        </w:rPr>
        <w:t>本字典是平台统一名词和核心数据属性的正式依据。页面、接口、测试用例和报告出现命名冲突时，以本字典中的“标准名称”和“定义或计算口径”为准。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00  </w:t>
      </w:r>
      <w:r>
        <w:rPr>
          <w:rFonts w:ascii="Arial" w:hAnsi="Arial" w:eastAsia="Hiragino Sans GB"/>
          <w:b/>
          <w:color w:val="1E3553"/>
          <w:sz w:val="30"/>
        </w:rPr>
        <w:t>使用与维护规则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先统一对象，再统一名称；先确认口径，再统一页面表达。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1850"/>
        <w:gridCol w:w="7510"/>
      </w:tblGrid>
      <w:tr>
        <w:tc>
          <w:tcPr>
            <w:tcW w:type="dxa" w:w="185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7"/>
              </w:rPr>
              <w:t>规则</w:t>
            </w:r>
          </w:p>
        </w:tc>
        <w:tc>
          <w:tcPr>
            <w:tcW w:type="dxa" w:w="751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/>
                <w:color w:val="26384F"/>
                <w:sz w:val="17"/>
              </w:rPr>
              <w:t>命名层级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 w:val="0"/>
                <w:color w:val="26384F"/>
                <w:sz w:val="17"/>
              </w:rPr>
              <w:t>平台 → 项目 → 工作簿 → 功能模块 → Tab → Card → 字段/指标 → 状态/操作。不同层级不得使用同一名称表达不同对象。</w:t>
            </w:r>
          </w:p>
        </w:tc>
      </w:tr>
      <w:tr>
        <w:trPr>
          <w:cantSplit/>
        </w:trPr>
        <w:tc>
          <w:tcPr>
            <w:tcW w:type="dxa" w:w="18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/>
                <w:color w:val="26384F"/>
                <w:sz w:val="17"/>
              </w:rPr>
              <w:t>属性优先级</w:t>
            </w:r>
          </w:p>
        </w:tc>
        <w:tc>
          <w:tcPr>
            <w:tcW w:type="dxa" w:w="75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 w:val="0"/>
                <w:color w:val="26384F"/>
                <w:sz w:val="17"/>
              </w:rPr>
              <w:t>业务定义 &gt; 计算或判定口径 &gt; 数据类型与单位 &gt; 页面显示名称。视觉文案不得改变业务定义。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/>
                <w:color w:val="26384F"/>
                <w:sz w:val="17"/>
              </w:rPr>
              <w:t>单位规则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 w:val="0"/>
                <w:color w:val="26384F"/>
                <w:sz w:val="17"/>
              </w:rPr>
              <w:t>金额单位由平台顶部单位切换器统一控制，字段名称和单元格数值不固定附加K、M或“千元”等单位。</w:t>
            </w:r>
          </w:p>
        </w:tc>
      </w:tr>
      <w:tr>
        <w:trPr>
          <w:cantSplit/>
        </w:trPr>
        <w:tc>
          <w:tcPr>
            <w:tcW w:type="dxa" w:w="18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/>
                <w:color w:val="26384F"/>
                <w:sz w:val="17"/>
              </w:rPr>
              <w:t>判断词规则</w:t>
            </w:r>
          </w:p>
        </w:tc>
        <w:tc>
          <w:tcPr>
            <w:tcW w:type="dxa" w:w="75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 w:val="0"/>
                <w:color w:val="26384F"/>
                <w:sz w:val="17"/>
              </w:rPr>
              <w:t>“异常、风险、预警”等词仅用于已定义核查标准的结果；客观对比页面使用差异、匹配、覆盖、构成等中性名称。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/>
                <w:color w:val="26384F"/>
                <w:sz w:val="17"/>
              </w:rPr>
              <w:t>变更规则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Hiragino Sans GB"/>
                <w:b w:val="0"/>
                <w:color w:val="26384F"/>
                <w:sz w:val="17"/>
              </w:rPr>
              <w:t>新增或修改术语时，先更新本字典，再同步配置、页面、接口文档、测试用例、导出文件和报告。旧名称保留在“不建议使用”列。</w:t>
            </w:r>
          </w:p>
        </w:tc>
      </w:tr>
    </w:tbl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01  </w:t>
      </w:r>
      <w:r>
        <w:rPr>
          <w:rFonts w:ascii="Arial" w:hAnsi="Arial" w:eastAsia="Hiragino Sans GB"/>
          <w:b/>
          <w:color w:val="1E3553"/>
          <w:sz w:val="30"/>
        </w:rPr>
        <w:t>平台、项目与工作簿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定义系统信息架构和用户在平台中的工作边界。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KPMG Audit Compass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platformName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平台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面向审计项目的数据管理、分析、核查与成果导出平台。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顶层产品名称；仅用于品牌区、登录页和正式报告。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审计罗盘（非正式简称）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项目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project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业务对象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承载同一审计业务约定、客户信息、成员权限和一个或多个工作簿的顶层容器。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主要属性：项目编号、项目名称、客户名称、项目状态、项目成员。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工作簿、客户项目（混指）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工作簿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workbook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业务对象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项目下的一次独立数据分析任务及其数据、参数、结果和导出成果的集合。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主要属性：工作簿名称、分析期间、报告期间、IPO/PIE属性、重要性水平、备注。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项目、报告（混指）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工作簿数据分析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workbookAnalytics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导航分组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进入工作簿后，对数据上传、校验、分析、查询和导出功能的统一导航分组。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仅作为左侧导航分组名称；不作为单独分析结果名称。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工作簿详情、工作区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数据上传及管理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dataManagement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功能模块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负责原始数据上传、数据质量校验和分析范围管控。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包含数据上传、数据校验、分析范围管控三个页签。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数据上传、数据校验（作为模块总称）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资金流水分析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fundFlowAnalysis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功能模块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基于银行流水和相关主档开展账户、经营、特殊交易及明细分析。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数据源仍称“银行流水”；模块统一称“资金流水分析”。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银行流水分析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增值税数据分析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vatAnalysis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功能模块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基于销项、进项发票和税务主档开展税号、购销、关联交易及查询分析。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正式模块名称，不简称“税票分析”。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增值税分析、税票分析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数据综合分析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integratedAnalysis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功能模块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将银行流水与增值税发票按对手方、月份和账期口径进行客观比较。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不直接输出异常或风险结论；重点展示总量、账期、构成和明细。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综合分析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报告及底稿导出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reportWorkingPaperExport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功能模块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统一生成风险评估报告和资金流水核查底稿。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包含风险评估报告导出、资金流水核查底稿导出两个页签。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资金流水核查底稿导出（作为模块总称）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SYS-010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分析范围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analysisScope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业务概念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当前工作簿纳入计算的公司、账户、税号、期间和对手方集合。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由主档、上传数据、筛选条件和范围管控结果共同决定。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数据范围（未说明范围维度）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02  </w:t>
      </w:r>
      <w:r>
        <w:rPr>
          <w:rFonts w:ascii="Arial" w:hAnsi="Arial" w:eastAsia="Hiragino Sans GB"/>
          <w:b/>
          <w:color w:val="1E3553"/>
          <w:sz w:val="30"/>
        </w:rPr>
        <w:t>主体与主档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统一公司、对手方、账户和税务主体的身份表达。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被审计单位公司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auditEntity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主体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纳入当前审计工作簿分析范围的被审计法人或分支机构。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筛选、表格和导出统一使用；允许多选或“全部”。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被审计单位、公司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集团内公司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groupEntity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主体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根据被审计单位主档或外部工商关系识别的同一集团范围内公司。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用于集团内往来识别和含/剔除集团口径计算。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关联公司（泛称）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对手方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counterparty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主体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与被审计单位发生银行收付款或发票购销关系的个人或组织。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上位概念；下分客户、供应商、员工、个人、其他等类型。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交易方、客商（正式字段）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客户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customer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对手方类型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客户主档中有效，或依据销项发票、销售业务关系识别的对手方。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应保留批准日期、无效日期和销售类别。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销售方（方向错误）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供应商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supplier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对手方类型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供应商主档中有效，或依据进项发票、采购业务关系识别的对手方。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应保留批准日期、无效日期和采购类别。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采购方（方向错误）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员工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employee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对手方类型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员工主档中存在有效任职关系的自然人。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主要属性：员工编号、职位、入职日期、离职日期、银行账号。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个人（未区分员工）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个人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individual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对手方类型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以自然人身份出现的对手方，包括员工和其他个人。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“员工”为其子类；统计时需明确是否含员工。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私人、自然人（未统一）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其他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otherCounterparty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对手方类型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无法归入客户、供应商、员工、个人或已知关联方的对手方。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不得作为长期未治理分类，应支持后续补充主档。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未知（带判断含义）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已知关联方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knownRelatedParty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主体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关联方主档已维护且在当前分析期间有效的关联主体。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以关联方主档和关系生效期间为准。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高风险关联方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潜在关联主体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potentialRelatedParty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基于工商、账户、地址、人员或交易行为线索识别，尚待项目组确认的主体。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只能表述为线索，不直接等同于已知关联方。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关联方（未经确认）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被审计单位主档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auditEntityMaster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记录被审计单位及集团范围公司身份、关系和有效期间的标准清单。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关键属性：公司名称、统一社会信用代码、关系、持股比例、有效期间。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公司清单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关联方主档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relatedPartyMaster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记录已识别关联方、关联关系及生效终止期间的标准清单。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分析时按期间有效性匹配；外部识别结果需经补充后进入主档。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关联方清单（未说明主档）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银行账号主档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bankAccountMaster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记录被审计单位银行账号、开户行、币种、启用和停用期间的标准清单。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用于账户完整性、账号范围和同名账户校验。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银行账户清单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客户主档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customerMaster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记录客户身份、类别、批准及无效期间的标准清单。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用于客户识别、主档匹配和期间有效性判断。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客户清单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供应商主档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supplierMaster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记录供应商身份、类别、批准及无效期间的标准清单。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用于供应商识别、主档匹配和期间有效性判断。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供应商清单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员工主档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employeeMaster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记录员工身份、职位、入离职期间及账户信息的标准清单。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用于员工交易、个人交易和有效任职期间判断。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员工清单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统一社会信用代码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unifiedSocialCreditCode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身份属性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境内法人和其他组织的统一身份识别代码。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优先作为公司实体去重键；缺失时才使用标准化名称辅助匹配。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工商注册号（混用）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税号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taxpayerId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身份属性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发票购销双方的纳税人识别号。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企业通常与统一社会信用代码一致，但系统仍保留原始税号字段。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唯一识别码（含义不清）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ENT-019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外部工商数据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externalBusinessData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数据源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由天眼查等外部工商数据源获得的公司和股权关系清单。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仅用于范围核对和关系线索；最终分析范围以确认后的主档为准。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天眼查主档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ENT-020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ARMS来源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armsSource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数据源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来自ARMS系统的被审计单位或关系主体清单来源标识。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在分析范围核对中与工商数据和主档并列展示。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ARMS主档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03  </w:t>
      </w:r>
      <w:r>
        <w:rPr>
          <w:rFonts w:ascii="Arial" w:hAnsi="Arial" w:eastAsia="Hiragino Sans GB"/>
          <w:b/>
          <w:color w:val="1E3553"/>
          <w:sz w:val="30"/>
        </w:rPr>
        <w:t>资金流水与账户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统一银行流水数据对象、金额方向和账户校验口径。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银行流水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bankTransaction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银行提供的账户收付款及余额变动原始记录。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关键属性：交易日期、交易时间、本方账号、对方名称、方向、金额、余额、流水识别号。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资金流水（指原始数据时）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流水明细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transactionDetail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标准化后的单笔银行流水记录。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正式表格页签和导出字段名称；应保留唯一流水识别号。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交易明细、流水详情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流水识别号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transactionId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唯一标识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用于唯一识别银行流水记录的系统或银行来源编号。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去重、穿透和规则命中关联必须使用；为空时生成稳定替代键。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流水号（可能与银行凭证号混淆）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本方名称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ownPartyName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银行流水中账户归属的被审计单位名称。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需与被审计单位主档标准化匹配。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本公司名称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本方账号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ownAccount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被审计单位发生交易的银行账号。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全平台统一使用“账号”，不使用“帐号”。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本方帐号、银行账号（未说明方向）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对方名称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counterpartyName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银行流水中记录的交易对手名称。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显示原始值时标注“原始名称”；分析字段使用标准化对手方名称。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对手名称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流入金额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inflowAmount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资金进入本方银行账户的交易金额。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按当前单位切换器缩放展示；金额为非负数。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累计流入（明细列）、收入金额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流出金额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outflowAmount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资金离开本方银行账户的交易金额。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按当前单位切换器缩放展示；金额为非负数。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累计流出（明细列）、支出金额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交易总额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grossTransactionAmount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流入金额与流出金额之和。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公式：流入金额＋流出金额；不得与净流量混用。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流水总额（未定义）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净资金流入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netCashInflow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流入金额扣除流出金额后的净额。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公式：流入金额－流出金额；可为负数。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净流量（未说明方向）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交易后余额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postTransactionBalance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金额字段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单笔交易入账后银行账户记录的余额。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应与交易日期、交易时间和流水顺序共同使用。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余额（未说明时点）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等值人民币余额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cnyEquivalentBalance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金额字段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外币余额按指定汇率折算后的人民币金额。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需保留原币币种、原币金额、折算汇率和汇率日期。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人民币余额（未说明折算）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资金变动趋势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fundMovementTrend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展示银行账户余额及流入流出随时间的变化。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横轴为日期，纵轴金额随顶部单位切换；支持年度范围选择。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资金余额变动趋势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资金总览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fundOverview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按被审计单位或账户汇总资金规模、笔数、对手方和文件覆盖。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合计状态可展开年度明细；不使用固定单位后缀。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账户资金总览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余额连续性校验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balanceContinuityCheck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检查相邻流水的交易后余额与前后交易金额是否能够连续衔接。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结果区分当日余额不连续、无流水数据、校验无误和余额错误。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余额连续性判断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缺失同名账户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missingSameNameAccount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被审计单位同名银行账户出现在流水或外部材料中，但未在账号主档完整维护的情况。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应记录缺失账号、金额、交易次数、缺失原因和支持性文件索引。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缺失账户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总账核对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generalLedgerReconciliation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按公司和期间核对银行流水汇总与科目余额表总账数据。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比较期初、借方、贷方、期末及其差异；保留a1至d2口径标识。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总帐核对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分账号核对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accountReconciliation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按单个银行账号核对流水汇总与分账号科目余额表数据。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除总账核对字段外，还包括银行账号、开户银行和数据来源。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分账户核对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BNK-019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含集团内往来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includingIntraGroup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资金金额包含被审计单位集团内公司之间的往来。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与“剔除集团内往来”并列展示，来源于被审计单位主档。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集团口径（含义不清）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BNK-020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剔除集团内往来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excludingIntraGroup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从资金金额中剔除集团内公司之间的往来。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仅剔除已确认集团范围内主体，不剔除潜在关联主体。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不含关联方（范围错误）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04  </w:t>
      </w:r>
      <w:r>
        <w:rPr>
          <w:rFonts w:ascii="Arial" w:hAnsi="Arial" w:eastAsia="Hiragino Sans GB"/>
          <w:b/>
          <w:color w:val="1E3553"/>
          <w:sz w:val="30"/>
        </w:rPr>
        <w:t>增值税发票与税务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统一进销项方向、金额、税额和税表核对表达。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增值税发票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vatInvoice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记录购销双方、开票日期、金额、税额和发票状态的税务凭证。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分销项发票和进项发票；正式标题不使用“税票”。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税票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销项发票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salesInvoice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被审计单位作为销售方开具的增值税发票。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主要对应银行流入；不代表已收款。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销售发票（口径未统一）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进项发票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purchaseInvoice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被审计单位作为购买方取得的增值税发票。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主要对应银行流出；不代表已付款。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采购发票（口径未统一）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发票号码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invoiceNumber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唯一标识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税务系统赋予单张发票的号码或号码组合。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与发票代码、数电票号码等共同形成稳定唯一键。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票号（正式字段）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销项金额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salesInvoiceNetAmount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销项发票不含税金额合计。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不包含销项税额；按发票状态和当前筛选范围汇总。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销项税金额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进项金额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purchaseInvoiceNetAmount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进项发票不含税金额合计。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不包含进项税额；按发票状态和当前筛选范围汇总。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进项税金额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销项税额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salesVatAmount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销项发票税额合计。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不与销项金额或销项税价合计混用。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销项税（表示金额时）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进项税额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purchaseVatAmount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进项发票税额合计。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不与进项金额或进项税价合计混用。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进项税（表示金额时）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销项税价合计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salesVatTotal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销项发票不含税金额与税额之和。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公式：销项金额＋销项税额；全平台固定使用“税价”。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销项价税合计、销项税价总额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进项税价合计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purchaseVatTotal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进项发票不含税金额与税额之和。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公式：进项金额＋进项税额；全平台固定使用“税价”。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进项价税合计、进项税价总额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销项税率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salesVatRate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比例指标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销项发票适用税率。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多税率汇总时不得简单平均，应按不含税金额加权或分税率展示。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销项发票税率（可作为说明）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进项税率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purchaseVatRate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比例指标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进项发票适用税率。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多税率汇总时不得简单平均，应按不含税金额加权或分税率展示。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进项发票税率（可作为说明）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购销趋势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purchaseSalesTrend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按月份展示销项金额和进项金额的变化。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默认使用不含税金额；图例应明确销项、进项。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进销项趋势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购销税额构成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purchaseSalesTaxComposition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分析模块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按对手方类型或关系分类展示销项、进项金额及税额构成。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支持销项税、进项税、销项税VS进项税三种视角。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购销构成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缺失同名购销方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missingSameNameCounterparty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发票购销方名称与被审计单位或主档名称匹配，但对应税号未完整维护的情况。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应记录缺失税号、金额、税额、税价合计、原因和索引。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缺失购销方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发票状态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invoiceStatus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状态属性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发票当前有效状态。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枚举至少包括正常、作废、红冲；分析口径须明确是否纳入。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票据状态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VAT-017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税表核对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taxReturnReconciliation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将增值税发票汇总与增值税申报表对应栏次进行核对。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需按期间、方向和税率口径比较，并记录差异说明。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申报表核对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05  </w:t>
      </w:r>
      <w:r>
        <w:rPr>
          <w:rFonts w:ascii="Arial" w:hAnsi="Arial" w:eastAsia="Hiragino Sans GB"/>
          <w:b/>
          <w:color w:val="1E3553"/>
          <w:sz w:val="30"/>
        </w:rPr>
        <w:t>账期、匹配与综合分析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定义资金与发票之间的时间归属、匹配和差异口径。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银行流水与增值税对比分析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bankVatComparison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按总量、月度、账期、对手方构成和明细比较银行流水与增值税发票。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客观分析，不自动输出异常或风险判断。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银行流水与税票对比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账期规则设置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periodRuleSettings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规则入口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设置全局默认账期口径并管理对手方单独账期规则。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单独规则优先，未设置对手方使用默认口径。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账期设置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默认账期口径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defaultPeriodBasis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未配置单独账期规则的对手方统一使用的税票月份归属规则。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枚举：同期、税票前移N月、税票后移N月。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默认账期规则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单独账期规则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counterpartyPeriodRule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为指定对手方单独配置的税票月份归属规则。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优先级高于默认账期口径；应记录设置人和更新时间。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特殊账期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同期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samePeriod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税票按原始开票月份参与银行流水月度对比。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银行流水月份始终不平移。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不平移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税票前移N月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vatShiftEarlier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将税票归属月份向前移动N个月后参与对比。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例如原6月税票前移1月后归入5月。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付款前移、账期修正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税票后移N月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vatShiftLater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将税票归属月份向后移动N个月后参与对比。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例如原4月税票后移1月后归入5月。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付款后移、账期修复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流入票差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inflowInvoiceDifference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差异指标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银行流入金额与销项税价合计之间的差额。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公式：流入金额－销项税价合计；保持中性展示。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流入链路对比金额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流出票差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outflowInvoiceDifference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差异指标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银行流出金额与进项税价合计之间的差额。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公式：流出金额－进项税价合计；保持中性展示。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流出链路对比金额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资金—票流匹配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fundInvoiceMatching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分析关系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将银行收付款与发票按对手方、方向、金额和时间窗口建立对应关系。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支持一对一、一对多和多对一；需保留匹配关系ID。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票据资金对应（未定义）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匹配状态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matchingStatus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资金与发票当前对应结果。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枚举：已匹配、部分匹配、有资金无发票、有发票无资金、待确认。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对应状态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匹配金额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matchedAmount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金额指标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已建立资金—票流关系的金额。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一对多、多对一场景不得超过任一侧可分配余额。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对应金额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日期差异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dateDifference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期间指标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银行交易日期与发票日期之间的天数或月份差。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需明确正负方向；页面账期平移按月份处理。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时间差（未说明方向）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同月跨年对比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sameMonthYearComparison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图表模式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将多个年度相同月份的数据进行并列比较。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支持选择1至3年；业务指标用色相，年度用深浅。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同年跨月对比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时序趋势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timeSeriesTrend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图表模式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按连续时间顺序展示指标变化。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可使用柱状图或折线图；月份与年度按实际时间排列。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同年跨月趋势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分析时间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analysisTime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筛选条件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当前分析采用的起止月份或日期范围。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筛选器统一使用；报告中可称“分析期间”。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月份范围（作为通用字段）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CMP-017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三年一期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threeYearsCurrentPeriod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期间口径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三个完整年度与当前一期数据的组合分析口径。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页面表头直接显示年度和当前期间，不在指标名称中反复写“三年一期”。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多年多期（未具体）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06  </w:t>
      </w:r>
      <w:r>
        <w:rPr>
          <w:rFonts w:ascii="Arial" w:hAnsi="Arial" w:eastAsia="Hiragino Sans GB"/>
          <w:b/>
          <w:color w:val="1E3553"/>
          <w:sz w:val="30"/>
        </w:rPr>
        <w:t>数据校验、特殊交易与报告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统一质量问题、规则命中、风险线索和成果导出术语。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数据问题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dataIssue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质量状态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影响分析完整性、准确性或可比性的上传数据或主档问题。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例如未认领、账号主档不完整、余额不连续；应提供跳转处理入口。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风险（数据质量问题场景）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分析范围清单核对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analysisScopeReconciliation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范围校验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对比外部工商数据、ARMS来源与被审计单位主档，识别公司范围遗漏。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三方共同包含才视为核对一致；缺失时可补充至主档。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公司主档遗漏检查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账号范围分析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accountScopeAnalysis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范围校验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对比银行账号主档、科目余额表和缺失账号清单的账户覆盖。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仅展示范围与备注，不直接执行纳入或剔除。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账号清单检查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特殊交易识别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specialTransactionDetection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分析页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从全部交易中按预设核查标准识别需要进一步审计关注的交易线索。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不以对手方是否已标记为高风险为筛查前提。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高风险核查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核查程序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auditProcedure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规则集合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围绕特定审计目的组织的一组核查标准、参数和结果。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主要分定量、定性、重点关注异常、工商信息异常和其他异常。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核查项目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核查标准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auditCriterion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用于判断单笔交易或对手方是否命中某一核查条件的具体规则。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应有唯一编号、名称、参数、适用对象和版本。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异常规则（过度判断）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命中个数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hitCount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数量指标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当前对象命中的核查标准数量。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按对象去重后统计标准数，不等于交易笔数。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风险个数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规则命中次数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ruleHitCount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数量指标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所有交易对各规则的命中记录总数。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同一交易命中多项规则时重复计数。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高风险交易笔数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去重交易笔数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uniqueTransactionCount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数量指标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按唯一流水识别号去重后的交易数量。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用于高风险交易总量；不得与规则命中次数混用。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命中次数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异常对手方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exceptionCounterparty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分析对象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至少命中一项已定义核查标准或存在需解释差异的对手方。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名称保持线索属性；不得直接表述为“高风险对手方”。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高风险对手方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收支重合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inflowOutflowOverlap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交易特征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同一对手方在分析期间同时存在资金流入和流出。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应分别展示流入、流出金额及占比，并结合业务实质分析。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同进同出、客商重合（泛化）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集中度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concentration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比例指标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前N大对象金额占对应总金额的比例。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应明确方向、N值、分母范围和是否剔除集团内往来。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TOP占比（未说明口径）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黑名单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fraudCollusionList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外部清单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AQPP-Audit提供的可能配合实施财务舞弊的第三方清单。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命中仅作为审计线索；表格中使用勾选标识并支持穿透。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造假主体（结论性）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重要性水平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materiality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审计参数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项目组设定、用于抽样和审计判断的金额阈值。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由工作簿维护并带入报告及底稿导出；单位为元。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Materiality（仅英文）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信息测试 - 完整性测试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completenessTest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底稿程序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验证上传数据是否完整覆盖应取得的账户、期间和记录。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输出完整性测试结果及支持性说明。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完整性测试（脱离上下文）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信息测试 - 准确性测试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accuracyTest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底稿程序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通过直接测试或属性抽样评价流水记录的准确性。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选择“否”时隐藏风险等级、抽样说明、样本量表格和分页。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准确性测试（脱离上下文）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风险评估报告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riskAssessmentReport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输出成果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汇总数据覆盖、资金发票画像、特殊交易和审计关注事项的正式报告。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报告指标应与平台同一数据快照、单位和规则版本一致。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分析报告（泛称）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CHK-018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资金流水核查底稿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fundFlowWorkingPaper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输出成果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记录核查程序、参数、结果、抽样和项目组解释的审计底稿。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应保留工作簿、数据、规则和导出时间信息。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银行流水底稿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07  </w:t>
      </w:r>
      <w:r>
        <w:rPr>
          <w:rFonts w:ascii="Arial" w:hAnsi="Arial" w:eastAsia="Hiragino Sans GB"/>
          <w:b/>
          <w:color w:val="1E3553"/>
          <w:sz w:val="30"/>
        </w:rPr>
        <w:t>状态与操作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统一页面状态、数据状态和用户操作的动词表达。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720"/>
        <w:gridCol w:w="1660"/>
        <w:gridCol w:w="900"/>
        <w:gridCol w:w="2520"/>
        <w:gridCol w:w="2740"/>
        <w:gridCol w:w="820"/>
      </w:tblGrid>
      <w:tr>
        <w:trPr>
          <w:tblHeader w:val="true"/>
        </w:trPr>
        <w:tc>
          <w:tcPr>
            <w:tcW w:type="dxa" w:w="7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编码</w:t>
            </w:r>
          </w:p>
        </w:tc>
        <w:tc>
          <w:tcPr>
            <w:tcW w:type="dxa" w:w="166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标准名称 / 英文键</w:t>
            </w:r>
          </w:p>
        </w:tc>
        <w:tc>
          <w:tcPr>
            <w:tcW w:type="dxa" w:w="9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类型</w:t>
            </w:r>
          </w:p>
        </w:tc>
        <w:tc>
          <w:tcPr>
            <w:tcW w:type="dxa" w:w="25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</w:t>
            </w:r>
          </w:p>
        </w:tc>
        <w:tc>
          <w:tcPr>
            <w:tcW w:type="dxa" w:w="27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主要属性与使用口径</w:t>
            </w:r>
          </w:p>
        </w:tc>
        <w:tc>
          <w:tcPr>
            <w:tcW w:type="dxa" w:w="8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不建议使用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已包含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included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来源状态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当前对象已存在于指定来源清单。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使用绿色空心圆勾；不使用大面积绿色底色。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有、存在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未包含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notIncluded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来源状态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当前对象未存在于指定来源清单。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使用红色空心圆减号；不直接表示异常结论。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没有、缺失（未说明来源）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核对一致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reconciled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核对状态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参与比较的所有必要来源均包含该对象，或数值差异为零。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需根据具体核对场景定义必要来源。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待补充至主档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pendingMasterSupplement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处理状态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外部来源存在但目标主档尚未维护。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提供“补充至主档”操作；操作后记录不消失。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缺失（无后续动作）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已补充至主档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supplementedToMaster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处理状态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用户已执行补充操作且当前行主档状态已更新。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保留原行和操作痕迹，并更新统计数量。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已处理（含义过宽）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待核实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pendingVerification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处理状态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来源信息存在冲突或证据不足，需要项目组进一步确认。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不得自动纳入或剔除分析范围。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异常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本期新增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newInCurrentPeriod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跨期状态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当前期间首次出现，历史比较期间未出现。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需基于同一实体键和完整历史期间判断。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新增（未说明期间）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持续存在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persistent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跨期状态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相同对象或事项连续两个及以上期间出现。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连续期间数应可追溯。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一直异常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历史复发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recurring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跨期状态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历史期间出现、随后消失并在当前期间再次出现。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与持续存在区分。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重复发生（未区分连续性）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STA-010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风险缓释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riskMitigated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跨期状态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风险指标或未解释事项较历史期间下降并有支持性证据。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仅表示变化，不代表风险已消除。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风险消失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ACT-001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查询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query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按当前筛选条件刷新结果。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按钮文字固定；不得与“搜索”混用。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搜索、确认查询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ACT-002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重置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reset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将当前页面筛选恢复为默认值。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不删除已保存备注、主档规则或处理结果。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清空（除非仅清空输入）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ACT-003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自定义表头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customizeColumns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控制表格字段显示与隐藏。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勾选后即时生效，不需要确认按钮。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列设置、自定义列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ACT-004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导出清单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exportList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导出当前表格在当前筛选口径下的数据。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文件应包含筛选摘要、单位、数据版本和导出时间。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导出数据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ACT-005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导出结果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exportResult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导出当前核对或分析结果。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用于范围核对等结果型卡片；与“导出清单”按对象区分。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下载结果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ACT-006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查看明细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viewDetails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打开当前对象的明细抽屉或弹窗。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表格操作统一使用；右侧抽屉优先。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查看详情、详情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ACT-007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展开 / 收起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expandCollapse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切换卡片、年度列组或分类列组的可见状态。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卡片使用圆形箭头按钮；不改变数据筛选状态。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打开 / 关闭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ACT-008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补充至主档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supplementToMaster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将当前外部识别对象补充到目标主档。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操作完成后显示“已补充至主档”，原记录保留。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加入清单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ACT-009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生成分析结果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generateAnalysis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按当前数据和参数重新生成分析结果。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属于计算动作，不用于普通查询。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生成结果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ACT-010</w:t>
            </w:r>
          </w:p>
        </w:tc>
        <w:tc>
          <w:tcPr>
            <w:tcW w:type="dxa" w:w="1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7"/>
              </w:rPr>
              <w:t>生成流水</w:t>
            </w:r>
            <w:r>
              <w:rPr>
                <w:rFonts w:ascii="Arial" w:hAnsi="Arial" w:eastAsia="Arial"/>
                <w:b w:val="0"/>
                <w:color w:val="4A6F9E"/>
                <w:sz w:val="14"/>
              </w:rPr>
              <w:br/>
              <w:t>generateTransactions</w:t>
            </w:r>
          </w:p>
        </w:tc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操作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将上传文件标准化生成可分析的银行流水数据。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生成后应记录数据版本和处理时间。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65758A"/>
                <w:sz w:val="16"/>
              </w:rPr>
              <w:t>生成明细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08  </w:t>
      </w:r>
      <w:r>
        <w:rPr>
          <w:rFonts w:ascii="Arial" w:hAnsi="Arial" w:eastAsia="Hiragino Sans GB"/>
          <w:b/>
          <w:color w:val="1E3553"/>
          <w:sz w:val="30"/>
        </w:rPr>
        <w:t>核心数据属性字典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明确主要业务对象的字段名称、英文键、类型、单位、计算和空值规则。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1080"/>
        <w:gridCol w:w="1420"/>
        <w:gridCol w:w="1440"/>
        <w:gridCol w:w="1300"/>
        <w:gridCol w:w="2680"/>
        <w:gridCol w:w="1440"/>
      </w:tblGrid>
      <w:tr>
        <w:trPr>
          <w:tblHeader w:val="true"/>
        </w:trPr>
        <w:tc>
          <w:tcPr>
            <w:tcW w:type="dxa" w:w="1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对象</w:t>
            </w:r>
          </w:p>
        </w:tc>
        <w:tc>
          <w:tcPr>
            <w:tcW w:type="dxa" w:w="142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标准属性名称</w:t>
            </w:r>
          </w:p>
        </w:tc>
        <w:tc>
          <w:tcPr>
            <w:tcW w:type="dxa" w:w="14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英文键</w:t>
            </w:r>
          </w:p>
        </w:tc>
        <w:tc>
          <w:tcPr>
            <w:tcW w:type="dxa" w:w="13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数据类型 / 单位</w:t>
            </w:r>
          </w:p>
        </w:tc>
        <w:tc>
          <w:tcPr>
            <w:tcW w:type="dxa" w:w="26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定义或计算口径</w:t>
            </w:r>
          </w:p>
        </w:tc>
        <w:tc>
          <w:tcPr>
            <w:tcW w:type="dxa" w:w="144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6"/>
              </w:rPr>
              <w:t>空值与展示规则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项目编号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projectId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项目的唯一业务编号。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必填；全平台不可重复。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项目名称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projectName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审计项目的正式名称。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必填；按完整名称展示。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工作簿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工作簿名称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workbookName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项目下分析任务的名称。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必填；项目内唯一。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工作簿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分析期间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analysisPeriod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月份区间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数据分析采用的起止月份。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必填；格式YYYY-MM至YYYY-MM。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工作簿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报告期间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reportingPeriod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日期区间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财务报告或审计报告覆盖期间。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必填；与分析期间可不同。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工作簿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重要性水平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materiality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元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用于抽样和审计判断的金额阈值。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可空；为空显示“—”，不得默认为0。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公司名称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auditEntityName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被审计单位主档中的标准公司名称。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必填；不省略展示。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统一社会信用代码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unifiedSocialCreditCode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 / 18位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公司实体的主要去重和匹配键。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缺失时标记待补充，不用空字符串替代。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集团关系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groupRelationship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该公司与集团或发行人的关系。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如母公司、控股子公司、参股公司、分支机构。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持股比例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holdingPercentage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百分比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直接或最终持股比例。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未知显示“—”；0与未知必须区分。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本方账号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ownAccount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被审计单位银行账号。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必填；界面可脱敏，导出按权限控制。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开户银行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bankName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银行账户开户机构名称。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缺失显示“—”，进入主档完整性问题。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币种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currency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ISO币种代码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账户和交易原币币种。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默认不推定人民币；使用CNY/RMB需全平台统一。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启用日期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accountOpenDate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账户开始有效或开户日期。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未知为空，不使用分析期起始日替代。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银行账户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停用日期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accountCloseDate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账户注销或停止使用日期。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有效账户为空；注销后交易需单独识别。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交易日期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transactionDate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银行交易入账日期。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必填；格式YYYY-MM-DD。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交易时间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transactionTime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时间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银行记录的交易时刻。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可空；为空不参与异常时点规则。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对方名称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counterpartyRawName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银行原始数据中的对方户名。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保留原值；另存标准化名称。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收付方向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direction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交易相对本方账户的资金方向。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仅允许流入、流出；未知进入数据问题。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流入金额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inflowAmount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方向为流入的交易金额。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无流入显示0；单位由顶部切换器控制。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流出金额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outflowAmount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方向为流出的交易金额。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无流出显示0；单位由顶部切换器控制。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交易后余额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postTransactionBalance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该笔交易后的账户余额。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源数据缺失则为空，不显示0。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流水识别号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transactionId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单笔交易的稳定唯一键。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必填；源数据缺失时生成稳定替代键并标记来源。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银行流水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摘要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transactionSummary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银行提供的交易摘要或用途。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保留原文；空值显示“—”。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发票号码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invoiceNumber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单张发票的识别号码。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与发票代码等组成唯一键；不得转数值。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发票方向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invoiceDirection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发票相对被审计单位的进销项方向。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仅允许销项、进项。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开票日期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invoiceDate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发票开具日期。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必填；账期平移基于其原始月份。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不含税金额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netAmount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发票不含增值税的金额。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缺失为空；不以税价合计倒推，除非规则明确。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税额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taxAmount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发票列示的增值税税额。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缺失为空；零税率发票可为0。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税价合计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grossAmount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不含税金额与税额之和。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公式校验失败时保留原值并记录差异。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税率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taxRate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百分比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发票适用增值税税率。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免税或不征税应使用状态枚举，不混作0%。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增值税发票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发票状态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invoiceStatus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发票当前有效状态。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正常、作废、红冲；空值进入数据问题。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标准名称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counterpartyName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实体解析后的对手方统一名称。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为空时回退显示原始名称并标记待治理。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对手方类型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counterpartyType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对手方业务身份分类。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客户、供应商、员工、个人、其他；关联方为关系属性。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关联关系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relatedPartyRelationship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对手方与被审计单位的关联身份。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非关联方为空；不得填“普通”。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所属集团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groupName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对手方所属企业集团标准名称。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未知为空；不得使用“其他”代替。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对手方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黑名单命中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blacklistHit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布尔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是否命中第三方配合造假清单。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true显示勾；false留空或显示减号，按页面规范统一。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账期规则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规则类型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periodRuleType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税票月份归属方式。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same_period、shift_earlier、shift_later。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账期规则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平移月数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shiftMonths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整数 / 月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税票月份平移的绝对月数。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同期为0；前移后移至少1。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账期规则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规则来源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periodRuleSource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当前生效规则的来源。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默认口径或单独规则。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资金—票流匹配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匹配关系ID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matchId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一组资金与发票对应关系的唯一键。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必填；支持一对一、一对多、多对一。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资金—票流匹配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匹配状态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matchingStatus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当前资金与发票对应状态。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已匹配、部分匹配、有资金无发票、有发票无资金、待确认。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资金—票流匹配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匹配金额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matchedAmount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数值 / 动态单位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已分配到匹配关系的金额。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未匹配显示0；不得超过可匹配余额。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资金—票流匹配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日期差异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dateDifferenceDays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整数 / 天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银行交易日期减发票日期。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正值表示资金晚于发票；空值表示任一侧日期缺失。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核查结果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核查标准编号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criterionCode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核查标准的稳定编号。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必填；规则升级不得复用旧编号含义。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核查结果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命中标识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hitFlag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布尔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当前对象是否满足指定核查标准。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兼容true/false、1/0输入，存储统一为布尔。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核查结果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命中个数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hitCount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整数 / 个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当前对象实际命中的标准数量。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无命中显示0，不显示“—”。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核查结果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首次发生期间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firstOccurrencePeriod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月份或年度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该风险线索首次出现的完整期间。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无历史数据时为空并注明历史覆盖不足。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核查结果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跨期状态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crossPeriodStatus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枚举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事项在多年多期中的变化状态。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本期新增、持续存在、风险上升、历史复发、风险缓释。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备注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remark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项目组对对象、差异或处理结果的说明。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不参与计算；记录更新人和更新时间。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数据版本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dataVersion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当前分析所使用的标准化数据快照版本。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导出成果必填。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规则版本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ruleVersion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字符串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当前核查规则集合版本。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特殊交易结果和报告必填。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更新时间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updatedAt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日期时间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记录最近一次更新时点。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格式YYYY-MM-DD HH:mm；使用项目时区。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通用</w:t>
            </w:r>
          </w:p>
        </w:tc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color w:val="26384F"/>
                <w:sz w:val="16"/>
              </w:rPr>
              <w:t>更新人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4A6F9E"/>
                <w:sz w:val="16"/>
              </w:rPr>
              <w:t>updatedBy</w:t>
            </w:r>
          </w:p>
        </w:tc>
        <w:tc>
          <w:tcPr>
            <w:tcW w:type="dxa" w:w="1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用户标识</w:t>
            </w:r>
          </w:p>
        </w:tc>
        <w:tc>
          <w:tcPr>
            <w:tcW w:type="dxa" w:w="2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最近一次修改记录的用户。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自动记录，不允许手工输入。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1F5FAE"/>
          <w:sz w:val="30"/>
        </w:rPr>
        <w:t xml:space="preserve">09  </w:t>
      </w:r>
      <w:r>
        <w:rPr>
          <w:rFonts w:ascii="Arial" w:hAnsi="Arial" w:eastAsia="Hiragino Sans GB"/>
          <w:b/>
          <w:color w:val="1E3553"/>
          <w:sz w:val="30"/>
        </w:rPr>
        <w:t>命名冲突快速检查</w:t>
      </w:r>
    </w:p>
    <w:p>
      <w:pPr>
        <w:keepNext/>
        <w:spacing w:before="0" w:after="120"/>
      </w:pPr>
      <w:r>
        <w:rPr>
          <w:rFonts w:ascii="Arial" w:hAnsi="Arial" w:eastAsia="Hiragino Sans GB"/>
          <w:b w:val="0"/>
          <w:color w:val="65758A"/>
          <w:sz w:val="18"/>
        </w:rPr>
        <w:t>以下冲突是当前平台最容易发生的命名漂移，发布前应逐项检查。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1900"/>
        <w:gridCol w:w="3650"/>
        <w:gridCol w:w="3810"/>
      </w:tblGrid>
      <w:tr>
        <w:tc>
          <w:tcPr>
            <w:tcW w:type="dxa" w:w="190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7"/>
              </w:rPr>
              <w:t>易混名称</w:t>
            </w:r>
          </w:p>
        </w:tc>
        <w:tc>
          <w:tcPr>
            <w:tcW w:type="dxa" w:w="365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7"/>
              </w:rPr>
              <w:t>统一规则</w:t>
            </w:r>
          </w:p>
        </w:tc>
        <w:tc>
          <w:tcPr>
            <w:tcW w:type="dxa" w:w="381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E3553"/>
                <w:sz w:val="17"/>
              </w:rPr>
              <w:t>典型使用位置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账号 / 帐号</w:t>
            </w:r>
          </w:p>
        </w:tc>
        <w:tc>
          <w:tcPr>
            <w:tcW w:type="dxa" w:w="36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统一使用“账号”</w:t>
            </w:r>
          </w:p>
        </w:tc>
        <w:tc>
          <w:tcPr>
            <w:tcW w:type="dxa" w:w="38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本方账号、银行账号主档、分账号核对</w:t>
            </w:r>
          </w:p>
        </w:tc>
      </w:tr>
      <w:tr>
        <w:trPr>
          <w:cantSplit/>
        </w:trPr>
        <w:tc>
          <w:tcPr>
            <w:tcW w:type="dxa" w:w="190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总账 / 总帐</w:t>
            </w:r>
          </w:p>
        </w:tc>
        <w:tc>
          <w:tcPr>
            <w:tcW w:type="dxa" w:w="36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统一使用“总账”</w:t>
            </w:r>
          </w:p>
        </w:tc>
        <w:tc>
          <w:tcPr>
            <w:tcW w:type="dxa" w:w="38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总账核对、科目余额表-总账数据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税价 / 价税</w:t>
            </w:r>
          </w:p>
        </w:tc>
        <w:tc>
          <w:tcPr>
            <w:tcW w:type="dxa" w:w="36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平台统一使用“税价”</w:t>
            </w:r>
          </w:p>
        </w:tc>
        <w:tc>
          <w:tcPr>
            <w:tcW w:type="dxa" w:w="38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销项税价合计、进项税价合计</w:t>
            </w:r>
          </w:p>
        </w:tc>
      </w:tr>
      <w:tr>
        <w:trPr>
          <w:cantSplit/>
        </w:trPr>
        <w:tc>
          <w:tcPr>
            <w:tcW w:type="dxa" w:w="190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资金流水 / 银行流水</w:t>
            </w:r>
          </w:p>
        </w:tc>
        <w:tc>
          <w:tcPr>
            <w:tcW w:type="dxa" w:w="36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模块用“资金流水分析”；原始数据用“银行流水”</w:t>
            </w:r>
          </w:p>
        </w:tc>
        <w:tc>
          <w:tcPr>
            <w:tcW w:type="dxa" w:w="38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不可全局机械替换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对手方类型 / 关联关系</w:t>
            </w:r>
          </w:p>
        </w:tc>
        <w:tc>
          <w:tcPr>
            <w:tcW w:type="dxa" w:w="36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业务身份使用对手方类型；关联身份使用关联关系</w:t>
            </w:r>
          </w:p>
        </w:tc>
        <w:tc>
          <w:tcPr>
            <w:tcW w:type="dxa" w:w="38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客户/供应商与母子公司关系不得放入同一枚举</w:t>
            </w:r>
          </w:p>
        </w:tc>
      </w:tr>
      <w:tr>
        <w:trPr>
          <w:cantSplit/>
        </w:trPr>
        <w:tc>
          <w:tcPr>
            <w:tcW w:type="dxa" w:w="190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查看明细 / 查看详情</w:t>
            </w:r>
          </w:p>
        </w:tc>
        <w:tc>
          <w:tcPr>
            <w:tcW w:type="dxa" w:w="36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表格操作统一使用“查看明细”</w:t>
            </w:r>
          </w:p>
        </w:tc>
        <w:tc>
          <w:tcPr>
            <w:tcW w:type="dxa" w:w="38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页面级说明可使用“查看详情”但应尽量避免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异常 / 差异</w:t>
            </w:r>
          </w:p>
        </w:tc>
        <w:tc>
          <w:tcPr>
            <w:tcW w:type="dxa" w:w="36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规则判断结果用异常；客观金额比较用差异</w:t>
            </w:r>
          </w:p>
        </w:tc>
        <w:tc>
          <w:tcPr>
            <w:tcW w:type="dxa" w:w="38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数据综合分析不得默认使用风险判断词</w:t>
            </w:r>
          </w:p>
        </w:tc>
      </w:tr>
      <w:tr>
        <w:trPr>
          <w:cantSplit/>
        </w:trPr>
        <w:tc>
          <w:tcPr>
            <w:tcW w:type="dxa" w:w="190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/>
                <w:color w:val="26384F"/>
                <w:sz w:val="16"/>
              </w:rPr>
              <w:t>交易总额 / 净资金流入</w:t>
            </w:r>
          </w:p>
        </w:tc>
        <w:tc>
          <w:tcPr>
            <w:tcW w:type="dxa" w:w="36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交易总额=流入+流出；净资金流入=流入-流出</w:t>
            </w:r>
          </w:p>
        </w:tc>
        <w:tc>
          <w:tcPr>
            <w:tcW w:type="dxa" w:w="38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Hiragino Sans GB"/>
                <w:b w:val="0"/>
                <w:color w:val="26384F"/>
                <w:sz w:val="16"/>
              </w:rPr>
              <w:t>两者不可混用</w:t>
            </w:r>
          </w:p>
        </w:tc>
      </w:tr>
    </w:tbl>
    <w:p>
      <w:pPr>
        <w:spacing w:before="80" w:after="160" w:line="276" w:lineRule="auto"/>
        <w:ind w:left="173" w:right="173"/>
        <w:shd w:fill="F6F9FD"/>
        <w:pBdr>
          <w:left w:val="single" w:sz="18" w:color="1F5FAE"/>
        </w:pBdr>
      </w:pPr>
      <w:r>
        <w:rPr>
          <w:rFonts w:ascii="Arial" w:hAnsi="Arial" w:eastAsia="Hiragino Sans GB"/>
          <w:b/>
          <w:color w:val="1F5FAE"/>
          <w:sz w:val="19"/>
        </w:rPr>
        <w:t xml:space="preserve">维护责任  </w:t>
      </w:r>
      <w:r>
        <w:rPr>
          <w:rFonts w:ascii="Arial" w:hAnsi="Arial" w:eastAsia="Hiragino Sans GB"/>
          <w:b w:val="0"/>
          <w:color w:val="26384F"/>
          <w:sz w:val="19"/>
        </w:rPr>
        <w:t>产品负责人维护标准名称和定义；数据负责人维护属性、类型、单位和计算口径；设计与前端负责人维护页面表达；测试负责人根据本字典建立命名与口径验收项。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65758A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Hiragino Sans GB"/>
        <w:b w:val="0"/>
        <w:color w:val="6575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color="DCE6F1"/>
      </w:pBdr>
    </w:pPr>
    <w:r>
      <w:rPr>
        <w:rFonts w:ascii="Arial" w:hAnsi="Arial" w:eastAsia="Hiragino Sans GB"/>
        <w:b/>
        <w:color w:val="4A6F9E"/>
        <w:sz w:val="16"/>
      </w:rPr>
      <w:t>AUDIT COMPASS  |  系统术语与数据属性字典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color w:val="2638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E35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5FA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5FA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Compass 系统术语与数据属性字典</dc:title>
  <dc:subject>平台统一名词、业务定义与核心数据属性</dc:subject>
  <dc:creator>Audit Compass 产品与数据治理</dc:creator>
  <cp:keywords>系统术语, 数据字典, 审计分析, 银行流水, 增值税发票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