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" w:hAnsi="Arial" w:eastAsia="Arial Unicode MS"/>
          <w:b/>
          <w:color w:val="1E3553"/>
          <w:sz w:val="44"/>
        </w:rPr>
        <w:t>Audit Compass 系统统一名词与属性定义表</w:t>
      </w:r>
    </w:p>
    <w:p>
      <w:pPr>
        <w:spacing w:after="280"/>
      </w:pPr>
      <w:r>
        <w:rPr>
          <w:rFonts w:ascii="Arial" w:hAnsi="Arial" w:eastAsia="Arial Unicode MS"/>
          <w:b w:val="0"/>
          <w:color w:val="4A6F9E"/>
          <w:sz w:val="22"/>
        </w:rPr>
        <w:t>统一平台各类名称、定义和主要属性口径</w:t>
      </w:r>
    </w:p>
    <w:p>
      <w:pPr>
        <w:spacing w:after="240"/>
      </w:pPr>
      <w:r>
        <w:rPr>
          <w:rFonts w:ascii="Arial" w:hAnsi="Arial" w:eastAsia="Arial Unicode MS"/>
          <w:b/>
          <w:color w:val="65758A"/>
          <w:sz w:val="18"/>
        </w:rPr>
        <w:t>版本：</w:t>
      </w:r>
      <w:r>
        <w:rPr>
          <w:rFonts w:ascii="Arial" w:hAnsi="Arial" w:eastAsia="Arial Unicode MS"/>
          <w:b w:val="0"/>
          <w:color w:val="26384F"/>
          <w:sz w:val="18"/>
        </w:rPr>
        <w:t xml:space="preserve">V1.0    </w:t>
      </w:r>
      <w:r>
        <w:rPr>
          <w:rFonts w:ascii="Arial" w:hAnsi="Arial" w:eastAsia="Arial Unicode MS"/>
          <w:b/>
          <w:color w:val="65758A"/>
          <w:sz w:val="18"/>
        </w:rPr>
        <w:t>生效日期：</w:t>
      </w:r>
      <w:r>
        <w:rPr>
          <w:rFonts w:ascii="Arial" w:hAnsi="Arial" w:eastAsia="Arial Unicode MS"/>
          <w:b w:val="0"/>
          <w:color w:val="26384F"/>
          <w:sz w:val="18"/>
        </w:rPr>
        <w:t xml:space="preserve">2026-08-18    </w:t>
      </w:r>
      <w:r>
        <w:rPr>
          <w:rFonts w:ascii="Arial" w:hAnsi="Arial" w:eastAsia="Arial Unicode MS"/>
          <w:b/>
          <w:color w:val="65758A"/>
          <w:sz w:val="18"/>
        </w:rPr>
        <w:t>适用范围：</w:t>
      </w:r>
      <w:r>
        <w:rPr>
          <w:rFonts w:ascii="Arial" w:hAnsi="Arial" w:eastAsia="Arial Unicode MS"/>
          <w:b w:val="0"/>
          <w:color w:val="26384F"/>
          <w:sz w:val="18"/>
        </w:rPr>
        <w:t xml:space="preserve">产品需求、UI设计、前后端开发、测试、导出文件与分析报告    </w:t>
      </w:r>
    </w:p>
    <w:p>
      <w:pPr>
        <w:spacing w:before="80" w:after="160" w:line="276" w:lineRule="auto"/>
        <w:ind w:left="173" w:right="173"/>
        <w:shd w:fill="F6F9FD"/>
        <w:pBdr>
          <w:left w:val="single" w:sz="18" w:color="1F5FAE"/>
        </w:pBdr>
      </w:pPr>
      <w:r>
        <w:rPr>
          <w:rFonts w:ascii="Arial" w:hAnsi="Arial" w:eastAsia="Arial Unicode MS"/>
          <w:b/>
          <w:color w:val="1F5FAE"/>
          <w:sz w:val="19"/>
        </w:rPr>
        <w:t xml:space="preserve">文档定位  </w:t>
      </w:r>
      <w:r>
        <w:rPr>
          <w:rFonts w:ascii="Arial" w:hAnsi="Arial" w:eastAsia="Arial Unicode MS"/>
          <w:b w:val="0"/>
          <w:color w:val="26384F"/>
          <w:sz w:val="19"/>
        </w:rPr>
        <w:t>本表用于统一平台页面、需求、测试、导出文件和分析报告中的名称及定义。出现不同表达时，以本表中的标准名称和口径说明为准。</w:t>
      </w:r>
    </w:p>
    <w:p>
      <w:pPr>
        <w:pStyle w:val="Heading1"/>
        <w:keepNext/>
      </w:pPr>
      <w:r>
        <w:rPr>
          <w:rFonts w:ascii="Arial" w:hAnsi="Arial" w:eastAsia="Arial Unicode MS"/>
          <w:b/>
          <w:color w:val="1F5FAE"/>
          <w:sz w:val="30"/>
        </w:rPr>
        <w:t xml:space="preserve">00  </w:t>
      </w:r>
      <w:r>
        <w:rPr>
          <w:rFonts w:ascii="Arial" w:hAnsi="Arial" w:eastAsia="Arial Unicode MS"/>
          <w:b/>
          <w:color w:val="1E3553"/>
          <w:sz w:val="30"/>
        </w:rPr>
        <w:t>使用说明</w:t>
      </w:r>
    </w:p>
    <w:p>
      <w:pPr>
        <w:keepNext/>
        <w:spacing w:before="0" w:after="120"/>
      </w:pPr>
      <w:r>
        <w:rPr>
          <w:rFonts w:ascii="Arial" w:hAnsi="Arial" w:eastAsia="Arial Unicode MS"/>
          <w:b w:val="0"/>
          <w:color w:val="65758A"/>
          <w:sz w:val="18"/>
        </w:rPr>
        <w:t>按业务主题查找名称，并统一用于页面、需求、测试和报告。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1850"/>
        <w:gridCol w:w="7510"/>
      </w:tblGrid>
      <w:tr>
        <w:tc>
          <w:tcPr>
            <w:tcW w:type="dxa" w:w="1850"/>
            <w:shd w:fill="EAF2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7"/>
              </w:rPr>
              <w:t>规则</w:t>
            </w:r>
          </w:p>
        </w:tc>
        <w:tc>
          <w:tcPr>
            <w:tcW w:type="dxa" w:w="7510"/>
            <w:shd w:fill="EAF2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7"/>
              </w:rPr>
              <w:t>统一要求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Arial Unicode MS"/>
                <w:b/>
                <w:color w:val="26384F"/>
                <w:sz w:val="17"/>
              </w:rPr>
              <w:t>名称层级</w:t>
            </w:r>
          </w:p>
        </w:tc>
        <w:tc>
          <w:tcPr>
            <w:tcW w:type="dxa" w:w="7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平台 → 项目 → 工作簿 → 功能模块 → Tab → Card → 字段或指标 → 状态或操作。</w:t>
            </w:r>
          </w:p>
        </w:tc>
      </w:tr>
      <w:tr>
        <w:trPr>
          <w:cantSplit/>
        </w:trPr>
        <w:tc>
          <w:tcPr>
            <w:tcW w:type="dxa" w:w="185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Arial Unicode MS"/>
                <w:b/>
                <w:color w:val="26384F"/>
                <w:sz w:val="17"/>
              </w:rPr>
              <w:t>使用顺序</w:t>
            </w:r>
          </w:p>
        </w:tc>
        <w:tc>
          <w:tcPr>
            <w:tcW w:type="dxa" w:w="751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先确认名称表达的内容和计算口径，再用于页面、表格、导出文件和报告。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Arial Unicode MS"/>
                <w:b/>
                <w:color w:val="26384F"/>
                <w:sz w:val="17"/>
              </w:rPr>
              <w:t>单位规则</w:t>
            </w:r>
          </w:p>
        </w:tc>
        <w:tc>
          <w:tcPr>
            <w:tcW w:type="dxa" w:w="7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金额单位由平台顶部单位切换器统一控制，字段名称和单元格数值不固定附加K、M或“千元”等单位。</w:t>
            </w:r>
          </w:p>
        </w:tc>
      </w:tr>
      <w:tr>
        <w:trPr>
          <w:cantSplit/>
        </w:trPr>
        <w:tc>
          <w:tcPr>
            <w:tcW w:type="dxa" w:w="185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Arial Unicode MS"/>
                <w:b/>
                <w:color w:val="26384F"/>
                <w:sz w:val="17"/>
              </w:rPr>
              <w:t>判断词规则</w:t>
            </w:r>
          </w:p>
        </w:tc>
        <w:tc>
          <w:tcPr>
            <w:tcW w:type="dxa" w:w="7510"/>
            <w:shd w:fill="FBFCFE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“异常、风险、预警”等词仅用于已定义核查标准的结果；客观对比页面使用差异、匹配、覆盖、构成等中性名称。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Arial Unicode MS"/>
                <w:b/>
                <w:color w:val="26384F"/>
                <w:sz w:val="17"/>
              </w:rPr>
              <w:t>变更规则</w:t>
            </w:r>
          </w:p>
        </w:tc>
        <w:tc>
          <w:tcPr>
            <w:tcW w:type="dxa" w:w="7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新增或修改名称时，先更新本表，再同步页面、需求、测试、导出文件和报告。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 Unicode MS"/>
          <w:b/>
          <w:color w:val="1F5FAE"/>
          <w:sz w:val="30"/>
        </w:rPr>
        <w:t xml:space="preserve">01  </w:t>
      </w:r>
      <w:r>
        <w:rPr>
          <w:rFonts w:ascii="Arial" w:hAnsi="Arial" w:eastAsia="Arial Unicode MS"/>
          <w:b/>
          <w:color w:val="1E3553"/>
          <w:sz w:val="30"/>
        </w:rPr>
        <w:t>平台、项目与工作簿</w:t>
      </w:r>
    </w:p>
    <w:p>
      <w:pPr>
        <w:keepNext/>
        <w:spacing w:before="0" w:after="120"/>
      </w:pPr>
      <w:r>
        <w:rPr>
          <w:rFonts w:ascii="Arial" w:hAnsi="Arial" w:eastAsia="Arial Unicode MS"/>
          <w:b w:val="0"/>
          <w:color w:val="65758A"/>
          <w:sz w:val="18"/>
        </w:rPr>
        <w:t>定义系统信息架构和用户在平台中的工作边界。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2180"/>
        <w:gridCol w:w="4080"/>
        <w:gridCol w:w="3100"/>
      </w:tblGrid>
      <w:tr>
        <w:trPr>
          <w:tblHeader w:val="true"/>
        </w:trPr>
        <w:tc>
          <w:tcPr>
            <w:tcW w:type="dxa" w:w="21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标准名称</w:t>
            </w:r>
          </w:p>
        </w:tc>
        <w:tc>
          <w:tcPr>
            <w:tcW w:type="dxa" w:w="40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名称定义</w:t>
            </w:r>
          </w:p>
        </w:tc>
        <w:tc>
          <w:tcPr>
            <w:tcW w:type="dxa" w:w="31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使用说明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KPMG Audit Compass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面向审计项目的数据管理、分析、核查与成果导出平台。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顶层产品名称；仅用于品牌区、登录页和正式报告。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项目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承载同一审计业务约定、客户信息、成员权限和一个或多个工作簿的顶层容器。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主要属性：项目编号、项目名称、客户名称、项目状态、项目成员。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工作簿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项目下的一次独立数据分析任务及其数据、参数、结果和导出成果的集合。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主要属性：工作簿名称、分析期间、报告期间、IPO/PIE属性、重要性水平、备注。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工作簿数据分析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进入工作簿后，对数据上传、校验、分析、查询和导出功能的统一导航分组。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仅作为左侧导航分组名称；不作为单独分析结果名称。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数据上传及管理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负责原始数据上传、数据质量校验和分析范围管控。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包含数据上传、数据校验、分析范围管控三个页签。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资金流水分析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基于银行流水和相关主档开展账户、经营、特殊交易及明细分析。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数据源仍称“银行流水”；模块统一称“资金流水分析”。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增值税数据分析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基于销项、进项发票和税务主档开展税号、购销、关联交易及查询分析。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正式模块名称，不简称“税票分析”。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数据综合分析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将银行流水与增值税发票按对手方、月份和账期口径进行客观比较。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不直接输出异常或风险结论；重点展示总量、账期、构成和明细。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报告及底稿导出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统一生成风险评估报告和资金流水核查底稿。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包含风险评估报告导出、资金流水核查底稿导出两个页签。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分析范围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当前工作簿纳入计算的公司、账户、税号、期间和对手方集合。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由主档、上传数据、筛选条件和范围管控结果共同决定。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1F5FAE"/>
          <w:sz w:val="30"/>
        </w:rPr>
        <w:t xml:space="preserve">02  </w:t>
      </w:r>
      <w:r>
        <w:rPr>
          <w:rFonts w:ascii="Arial" w:hAnsi="Arial" w:eastAsia="Arial Unicode MS"/>
          <w:b/>
          <w:color w:val="1E3553"/>
          <w:sz w:val="30"/>
        </w:rPr>
        <w:t>主体与主档</w:t>
      </w:r>
    </w:p>
    <w:p>
      <w:pPr>
        <w:keepNext/>
        <w:spacing w:before="0" w:after="120"/>
      </w:pPr>
      <w:r>
        <w:rPr>
          <w:rFonts w:ascii="Arial" w:hAnsi="Arial" w:eastAsia="Arial Unicode MS"/>
          <w:b w:val="0"/>
          <w:color w:val="65758A"/>
          <w:sz w:val="18"/>
        </w:rPr>
        <w:t>统一公司、对手方、账户和税务主体的身份表达。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2180"/>
        <w:gridCol w:w="4080"/>
        <w:gridCol w:w="3100"/>
      </w:tblGrid>
      <w:tr>
        <w:trPr>
          <w:tblHeader w:val="true"/>
        </w:trPr>
        <w:tc>
          <w:tcPr>
            <w:tcW w:type="dxa" w:w="21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标准名称</w:t>
            </w:r>
          </w:p>
        </w:tc>
        <w:tc>
          <w:tcPr>
            <w:tcW w:type="dxa" w:w="40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名称定义</w:t>
            </w:r>
          </w:p>
        </w:tc>
        <w:tc>
          <w:tcPr>
            <w:tcW w:type="dxa" w:w="31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使用说明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被审计单位公司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纳入当前审计工作簿分析范围的被审计法人或分支机构。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筛选、表格和导出统一使用；允许多选或“全部”。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集团内公司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根据被审计单位主档或外部工商关系识别的同一集团范围内公司。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用于集团内往来识别和含/剔除集团口径计算。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对手方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与被审计单位发生银行收付款或发票购销关系的个人或组织。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上位概念；下分客户、供应商、员工、个人、其他等类型。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客户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客户主档中有效，或依据销项发票、销售业务关系识别的对手方。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应保留批准日期、无效日期和销售类别。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供应商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供应商主档中有效，或依据进项发票、采购业务关系识别的对手方。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应保留批准日期、无效日期和采购类别。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员工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员工主档中存在有效任职关系的自然人。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主要属性：员工编号、职位、入职日期、离职日期、银行账号。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个人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以自然人身份出现的对手方，包括员工和其他个人。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“员工”为其子类；统计时需明确是否含员工。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其他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无法归入客户、供应商、员工、个人或已知关联方的对手方。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不得作为长期未治理分类，应支持后续补充主档。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已知关联方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关联方主档已维护且在当前分析期间有效的关联主体。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以关联方主档和关系生效期间为准。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潜在关联主体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基于工商、账户、地址、人员或交易行为线索识别，尚待项目组确认的主体。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只能表述为线索，不直接等同于已知关联方。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被审计单位主档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记录被审计单位及集团范围公司身份、关系和有效期间的标准清单。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关键属性：公司名称、统一社会信用代码、关系、持股比例、有效期间。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关联方主档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记录已识别关联方、关联关系及生效终止期间的标准清单。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分析时按期间有效性匹配；外部识别结果需经补充后进入主档。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银行账号主档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记录被审计单位银行账号、开户行、币种、启用和停用期间的标准清单。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用于账户完整性、账号范围和同名账户校验。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客户主档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记录客户身份、类别、批准及无效期间的标准清单。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用于客户识别、主档匹配和期间有效性判断。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供应商主档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记录供应商身份、类别、批准及无效期间的标准清单。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用于供应商识别、主档匹配和期间有效性判断。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员工主档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记录员工身份、职位、入离职期间及账户信息的标准清单。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用于员工交易、个人交易和有效任职期间判断。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统一社会信用代码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境内法人和其他组织的统一身份识别代码。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优先作为公司实体去重键；缺失时才使用标准化名称辅助匹配。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税号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发票购销双方的纳税人识别号。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企业通常与统一社会信用代码一致，但系统仍保留原始税号字段。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外部工商数据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由天眼查等外部工商数据源获得的公司和股权关系清单。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仅用于范围核对和关系线索；最终分析范围以确认后的主档为准。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ARMS来源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来自ARMS系统的被审计单位或关系主体清单来源标识。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在分析范围核对中与工商数据和主档并列展示。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1F5FAE"/>
          <w:sz w:val="30"/>
        </w:rPr>
        <w:t xml:space="preserve">03  </w:t>
      </w:r>
      <w:r>
        <w:rPr>
          <w:rFonts w:ascii="Arial" w:hAnsi="Arial" w:eastAsia="Arial Unicode MS"/>
          <w:b/>
          <w:color w:val="1E3553"/>
          <w:sz w:val="30"/>
        </w:rPr>
        <w:t>资金流水与账户</w:t>
      </w:r>
    </w:p>
    <w:p>
      <w:pPr>
        <w:keepNext/>
        <w:spacing w:before="0" w:after="120"/>
      </w:pPr>
      <w:r>
        <w:rPr>
          <w:rFonts w:ascii="Arial" w:hAnsi="Arial" w:eastAsia="Arial Unicode MS"/>
          <w:b w:val="0"/>
          <w:color w:val="65758A"/>
          <w:sz w:val="18"/>
        </w:rPr>
        <w:t>统一银行流水数据对象、金额方向和账户校验口径。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2180"/>
        <w:gridCol w:w="4080"/>
        <w:gridCol w:w="3100"/>
      </w:tblGrid>
      <w:tr>
        <w:trPr>
          <w:tblHeader w:val="true"/>
        </w:trPr>
        <w:tc>
          <w:tcPr>
            <w:tcW w:type="dxa" w:w="21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标准名称</w:t>
            </w:r>
          </w:p>
        </w:tc>
        <w:tc>
          <w:tcPr>
            <w:tcW w:type="dxa" w:w="40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名称定义</w:t>
            </w:r>
          </w:p>
        </w:tc>
        <w:tc>
          <w:tcPr>
            <w:tcW w:type="dxa" w:w="31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使用说明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银行流水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银行提供的账户收付款及余额变动原始记录。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关键属性：交易日期、交易时间、本方账号、对方名称、方向、金额、余额、流水识别号。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流水明细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标准化后的单笔银行流水记录。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正式表格页签和导出字段名称；应保留唯一流水识别号。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流水识别号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用于唯一识别银行流水记录的系统或银行来源编号。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去重、穿透和规则命中关联必须使用；为空时生成稳定替代键。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本方名称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银行流水中账户归属的被审计单位名称。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需与被审计单位主档标准化匹配。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本方账号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被审计单位发生交易的银行账号。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全平台统一使用“账号”，不使用“帐号”。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对方名称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银行流水中记录的交易对手名称。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显示原始值时标注“原始名称”；分析字段使用标准化对手方名称。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流入金额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资金进入本方银行账户的交易金额。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按当前单位切换器缩放展示；金额为非负数。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流出金额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资金离开本方银行账户的交易金额。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按当前单位切换器缩放展示；金额为非负数。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交易总额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流入金额与流出金额之和。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公式：流入金额＋流出金额；不得与净流量混用。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净资金流入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流入金额扣除流出金额后的净额。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公式：流入金额－流出金额；可为负数。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交易后余额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单笔交易入账后银行账户记录的余额。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应与交易日期、交易时间和流水顺序共同使用。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等值人民币余额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外币余额按指定汇率折算后的人民币金额。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需保留原币币种、原币金额、折算汇率和汇率日期。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资金变动趋势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展示银行账户余额及流入流出随时间的变化。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横轴为日期，纵轴金额随顶部单位切换；支持年度范围选择。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资金总览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按被审计单位或账户汇总资金规模、笔数、对手方和文件覆盖。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合计状态可展开年度明细；不使用固定单位后缀。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余额连续性校验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检查相邻流水的交易后余额与前后交易金额是否能够连续衔接。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结果区分当日余额不连续、无流水数据、校验无误和余额错误。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缺失同名账户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被审计单位同名银行账户出现在流水或外部材料中，但未在账号主档完整维护的情况。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应记录缺失账号、金额、交易次数、缺失原因和支持性文件索引。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总账核对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按公司和期间核对银行流水汇总与科目余额表总账数据。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比较期初、借方、贷方、期末及其差异；保留a1至d2口径标识。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分账号核对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按单个银行账号核对流水汇总与分账号科目余额表数据。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除总账核对字段外，还包括银行账号、开户银行和数据来源。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含集团内往来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资金金额包含被审计单位集团内公司之间的往来。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与“剔除集团内往来”并列展示，来源于被审计单位主档。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剔除集团内往来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从资金金额中剔除集团内公司之间的往来。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仅剔除已确认集团范围内主体，不剔除潜在关联主体。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1F5FAE"/>
          <w:sz w:val="30"/>
        </w:rPr>
        <w:t xml:space="preserve">04  </w:t>
      </w:r>
      <w:r>
        <w:rPr>
          <w:rFonts w:ascii="Arial" w:hAnsi="Arial" w:eastAsia="Arial Unicode MS"/>
          <w:b/>
          <w:color w:val="1E3553"/>
          <w:sz w:val="30"/>
        </w:rPr>
        <w:t>增值税发票与税务</w:t>
      </w:r>
    </w:p>
    <w:p>
      <w:pPr>
        <w:keepNext/>
        <w:spacing w:before="0" w:after="120"/>
      </w:pPr>
      <w:r>
        <w:rPr>
          <w:rFonts w:ascii="Arial" w:hAnsi="Arial" w:eastAsia="Arial Unicode MS"/>
          <w:b w:val="0"/>
          <w:color w:val="65758A"/>
          <w:sz w:val="18"/>
        </w:rPr>
        <w:t>统一进销项方向、金额、税额和税表核对表达。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2180"/>
        <w:gridCol w:w="4080"/>
        <w:gridCol w:w="3100"/>
      </w:tblGrid>
      <w:tr>
        <w:trPr>
          <w:tblHeader w:val="true"/>
        </w:trPr>
        <w:tc>
          <w:tcPr>
            <w:tcW w:type="dxa" w:w="21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标准名称</w:t>
            </w:r>
          </w:p>
        </w:tc>
        <w:tc>
          <w:tcPr>
            <w:tcW w:type="dxa" w:w="40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名称定义</w:t>
            </w:r>
          </w:p>
        </w:tc>
        <w:tc>
          <w:tcPr>
            <w:tcW w:type="dxa" w:w="31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使用说明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增值税发票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记录购销双方、开票日期、金额、税额和发票状态的税务凭证。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分销项发票和进项发票；正式标题不使用“税票”。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销项发票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被审计单位作为销售方开具的增值税发票。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主要对应银行流入；不代表已收款。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进项发票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被审计单位作为购买方取得的增值税发票。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主要对应银行流出；不代表已付款。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发票号码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税务系统赋予单张发票的号码或号码组合。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与发票代码、数电票号码等共同形成稳定唯一键。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销项金额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销项发票不含税金额合计。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不包含销项税额；按发票状态和当前筛选范围汇总。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进项金额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进项发票不含税金额合计。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不包含进项税额；按发票状态和当前筛选范围汇总。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销项税额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销项发票税额合计。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不与销项金额或销项税价合计混用。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进项税额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进项发票税额合计。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不与进项金额或进项税价合计混用。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销项税价合计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销项发票不含税金额与税额之和。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公式：销项金额＋销项税额；全平台固定使用“税价”。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进项税价合计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进项发票不含税金额与税额之和。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公式：进项金额＋进项税额；全平台固定使用“税价”。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销项税率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销项发票适用税率。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多税率汇总时不得简单平均，应按不含税金额加权或分税率展示。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进项税率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进项发票适用税率。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多税率汇总时不得简单平均，应按不含税金额加权或分税率展示。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购销趋势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按月份展示销项金额和进项金额的变化。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默认使用不含税金额；图例应明确销项、进项。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购销税额构成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按对手方类型或关系分类展示销项、进项金额及税额构成。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支持销项税、进项税、销项税VS进项税三种视角。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缺失同名购销方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发票购销方名称与被审计单位或主档名称匹配，但对应税号未完整维护的情况。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应记录缺失税号、金额、税额、税价合计、原因和索引。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发票状态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发票当前有效状态。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枚举至少包括正常、作废、红冲；分析口径须明确是否纳入。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税表核对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将增值税发票汇总与增值税申报表对应栏次进行核对。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需按期间、方向和税率口径比较，并记录差异说明。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1F5FAE"/>
          <w:sz w:val="30"/>
        </w:rPr>
        <w:t xml:space="preserve">05  </w:t>
      </w:r>
      <w:r>
        <w:rPr>
          <w:rFonts w:ascii="Arial" w:hAnsi="Arial" w:eastAsia="Arial Unicode MS"/>
          <w:b/>
          <w:color w:val="1E3553"/>
          <w:sz w:val="30"/>
        </w:rPr>
        <w:t>账期、匹配与综合分析</w:t>
      </w:r>
    </w:p>
    <w:p>
      <w:pPr>
        <w:keepNext/>
        <w:spacing w:before="0" w:after="120"/>
      </w:pPr>
      <w:r>
        <w:rPr>
          <w:rFonts w:ascii="Arial" w:hAnsi="Arial" w:eastAsia="Arial Unicode MS"/>
          <w:b w:val="0"/>
          <w:color w:val="65758A"/>
          <w:sz w:val="18"/>
        </w:rPr>
        <w:t>定义资金与发票之间的时间归属、匹配和差异口径。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2180"/>
        <w:gridCol w:w="4080"/>
        <w:gridCol w:w="3100"/>
      </w:tblGrid>
      <w:tr>
        <w:trPr>
          <w:tblHeader w:val="true"/>
        </w:trPr>
        <w:tc>
          <w:tcPr>
            <w:tcW w:type="dxa" w:w="21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标准名称</w:t>
            </w:r>
          </w:p>
        </w:tc>
        <w:tc>
          <w:tcPr>
            <w:tcW w:type="dxa" w:w="40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名称定义</w:t>
            </w:r>
          </w:p>
        </w:tc>
        <w:tc>
          <w:tcPr>
            <w:tcW w:type="dxa" w:w="31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使用说明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银行流水与增值税对比分析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按总量、月度、账期、对手方构成和明细比较银行流水与增值税发票。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客观分析，不自动输出异常或风险判断。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账期规则设置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设置全局默认账期口径并管理对手方单独账期规则。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单独规则优先，未设置对手方使用默认口径。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默认账期口径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未配置单独账期规则的对手方统一使用的税票月份归属规则。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枚举：同期、税票前移N月、税票后移N月。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单独账期规则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为指定对手方单独配置的税票月份归属规则。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优先级高于默认账期口径；应记录设置人和更新时间。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同期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税票按原始开票月份参与银行流水月度对比。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银行流水月份始终不平移。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税票前移N月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将税票归属月份向前移动N个月后参与对比。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例如原6月税票前移1月后归入5月。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税票后移N月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将税票归属月份向后移动N个月后参与对比。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例如原4月税票后移1月后归入5月。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流入票差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银行流入金额与销项税价合计之间的差额。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公式：流入金额－销项税价合计；保持中性展示。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流出票差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银行流出金额与进项税价合计之间的差额。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公式：流出金额－进项税价合计；保持中性展示。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资金—票流匹配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将银行收付款与发票按对手方、方向、金额和时间窗口建立对应关系。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支持一对一、一对多和多对一；每组对应关系应有唯一编号。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匹配状态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资金与发票当前对应结果。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枚举：已匹配、部分匹配、有资金无发票、有发票无资金、待确认。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匹配金额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已建立资金—票流关系的金额。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一对多、多对一场景不得超过任一侧可分配余额。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日期差异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银行交易日期与发票日期之间的天数或月份差。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需明确正负方向；页面账期平移按月份处理。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同月跨年对比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将多个年度相同月份的数据进行并列比较。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支持选择1至3年；业务指标用色相，年度用深浅。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时序趋势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按连续时间顺序展示指标变化。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可使用柱状图或折线图；月份与年度按实际时间排列。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分析时间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当前分析采用的起止月份或日期范围。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筛选器统一使用；报告中可称“分析期间”。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三年一期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三个完整年度与当前一期数据的组合分析口径。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页面表头直接显示年度和当前期间，不在指标名称中反复写“三年一期”。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1F5FAE"/>
          <w:sz w:val="30"/>
        </w:rPr>
        <w:t xml:space="preserve">06  </w:t>
      </w:r>
      <w:r>
        <w:rPr>
          <w:rFonts w:ascii="Arial" w:hAnsi="Arial" w:eastAsia="Arial Unicode MS"/>
          <w:b/>
          <w:color w:val="1E3553"/>
          <w:sz w:val="30"/>
        </w:rPr>
        <w:t>数据校验、特殊交易与报告</w:t>
      </w:r>
    </w:p>
    <w:p>
      <w:pPr>
        <w:keepNext/>
        <w:spacing w:before="0" w:after="120"/>
      </w:pPr>
      <w:r>
        <w:rPr>
          <w:rFonts w:ascii="Arial" w:hAnsi="Arial" w:eastAsia="Arial Unicode MS"/>
          <w:b w:val="0"/>
          <w:color w:val="65758A"/>
          <w:sz w:val="18"/>
        </w:rPr>
        <w:t>统一质量问题、规则命中、风险线索和成果导出术语。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2180"/>
        <w:gridCol w:w="4080"/>
        <w:gridCol w:w="3100"/>
      </w:tblGrid>
      <w:tr>
        <w:trPr>
          <w:tblHeader w:val="true"/>
        </w:trPr>
        <w:tc>
          <w:tcPr>
            <w:tcW w:type="dxa" w:w="21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标准名称</w:t>
            </w:r>
          </w:p>
        </w:tc>
        <w:tc>
          <w:tcPr>
            <w:tcW w:type="dxa" w:w="40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名称定义</w:t>
            </w:r>
          </w:p>
        </w:tc>
        <w:tc>
          <w:tcPr>
            <w:tcW w:type="dxa" w:w="31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使用说明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数据问题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影响分析完整性、准确性或可比性的上传数据或主档问题。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例如未认领、账号主档不完整、余额不连续；应提供跳转处理入口。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分析范围清单核对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对比外部工商数据、ARMS来源与被审计单位主档，识别公司范围遗漏。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三方共同包含才视为核对一致；缺失时可补充至主档。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账号范围分析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对比银行账号主档、科目余额表和缺失账号清单的账户覆盖。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仅展示范围与备注，不直接执行纳入或剔除。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特殊交易识别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从全部交易中按预设核查标准识别需要进一步审计关注的交易线索。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不以对手方是否已标记为高风险为筛查前提。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核查程序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围绕特定审计目的组织的一组核查标准、参数和结果。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主要分定量、定性、重点关注异常、工商信息异常和其他异常。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核查标准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用于判断单笔交易或对手方是否命中某一核查条件的具体规则。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应有唯一编号、名称、参数、适用对象和版本。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命中个数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当前对象命中的核查标准数量。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按对象去重后统计标准数，不等于交易笔数。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规则命中次数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所有交易对各规则的命中记录总数。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同一交易命中多项规则时重复计数。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去重交易笔数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按唯一流水识别号去重后的交易数量。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用于高风险交易总量；不得与规则命中次数混用。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异常对手方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至少命中一项已定义核查标准或存在需解释差异的对手方。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名称保持线索属性；不得直接表述为“高风险对手方”。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收支重合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同一对手方在分析期间同时存在资金流入和流出。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应分别展示流入、流出金额及占比，并结合业务实质分析。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集中度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前N大对象金额占对应总金额的比例。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应明确方向、N值、分母范围和是否剔除集团内往来。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黑名单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AQPP-Audit提供的可能配合实施财务舞弊的第三方清单。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命中仅作为审计线索；表格中使用勾选标识并支持穿透。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重要性水平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项目组设定、用于抽样和审计判断的金额阈值。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由工作簿维护并带入报告及底稿导出；单位为元。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信息测试 - 完整性测试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验证上传数据是否完整覆盖应取得的账户、期间和记录。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输出完整性测试结果及支持性说明。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信息测试 - 准确性测试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通过直接测试或属性抽样评价流水记录的准确性。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选择“否”时隐藏风险等级、抽样说明、样本量表格和分页。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风险评估报告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汇总数据覆盖、资金发票画像、特殊交易和审计关注事项的正式报告。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报告指标应与平台同一数据快照、单位和规则版本一致。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资金流水核查底稿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记录核查程序、参数、结果、抽样和项目组解释的审计底稿。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应保留工作簿、数据、规则和导出时间信息。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1F5FAE"/>
          <w:sz w:val="30"/>
        </w:rPr>
        <w:t xml:space="preserve">07  </w:t>
      </w:r>
      <w:r>
        <w:rPr>
          <w:rFonts w:ascii="Arial" w:hAnsi="Arial" w:eastAsia="Arial Unicode MS"/>
          <w:b/>
          <w:color w:val="1E3553"/>
          <w:sz w:val="30"/>
        </w:rPr>
        <w:t>状态与操作</w:t>
      </w:r>
    </w:p>
    <w:p>
      <w:pPr>
        <w:keepNext/>
        <w:spacing w:before="0" w:after="120"/>
      </w:pPr>
      <w:r>
        <w:rPr>
          <w:rFonts w:ascii="Arial" w:hAnsi="Arial" w:eastAsia="Arial Unicode MS"/>
          <w:b w:val="0"/>
          <w:color w:val="65758A"/>
          <w:sz w:val="18"/>
        </w:rPr>
        <w:t>统一页面状态、数据状态和用户操作的动词表达。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2180"/>
        <w:gridCol w:w="4080"/>
        <w:gridCol w:w="3100"/>
      </w:tblGrid>
      <w:tr>
        <w:trPr>
          <w:tblHeader w:val="true"/>
        </w:trPr>
        <w:tc>
          <w:tcPr>
            <w:tcW w:type="dxa" w:w="21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标准名称</w:t>
            </w:r>
          </w:p>
        </w:tc>
        <w:tc>
          <w:tcPr>
            <w:tcW w:type="dxa" w:w="40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名称定义</w:t>
            </w:r>
          </w:p>
        </w:tc>
        <w:tc>
          <w:tcPr>
            <w:tcW w:type="dxa" w:w="31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使用说明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已包含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当前对象已存在于指定来源清单。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使用绿色空心圆勾；不使用大面积绿色底色。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未包含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当前对象未存在于指定来源清单。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使用红色空心圆减号；不直接表示异常结论。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核对一致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参与比较的所有必要来源均包含该对象，或数值差异为零。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需根据具体核对场景定义必要来源。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待补充至主档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外部来源存在但目标主档尚未维护。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提供“补充至主档”操作；操作后记录不消失。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已补充至主档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用户已执行补充操作且当前行主档状态已更新。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保留原行和操作痕迹，并更新统计数量。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待核实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来源信息存在冲突或证据不足，需要项目组进一步确认。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不得自动纳入或剔除分析范围。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本期新增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当前期间首次出现，历史比较期间未出现。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需基于同一实体键和完整历史期间判断。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持续存在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相同对象或事项连续两个及以上期间出现。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连续期间数应可追溯。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历史复发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历史期间出现、随后消失并在当前期间再次出现。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与持续存在区分。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风险缓释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风险指标或未解释事项较历史期间下降并有支持性证据。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仅表示变化，不代表风险已消除。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查询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按当前筛选条件刷新结果。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按钮文字固定；不得与“搜索”混用。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重置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将当前页面筛选恢复为默认值。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不删除已保存备注、主档规则或处理结果。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自定义表头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控制表格字段显示与隐藏。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勾选后即时生效，不需要确认按钮。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导出清单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导出当前表格在当前筛选口径下的数据。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文件应包含筛选摘要、单位、数据版本和导出时间。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导出结果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导出当前核对或分析结果。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用于范围核对等结果型卡片；与“导出清单”按对象区分。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查看明细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打开当前对象的明细抽屉或弹窗。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表格操作统一使用；右侧抽屉优先。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展开 / 收起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切换卡片、年度列组或分类列组的可见状态。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卡片使用圆形箭头按钮；不改变数据筛选状态。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补充至主档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将当前外部识别对象补充到目标主档。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操作完成后显示“已补充至主档”，原记录保留。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生成分析结果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按当前数据和参数重新生成分析结果。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属于计算动作，不用于普通查询。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7"/>
              </w:rPr>
              <w:t>生成流水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将上传文件标准化生成可分析的银行流水数据。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7"/>
              </w:rPr>
              <w:t>生成后应记录数据版本和处理时间。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1F5FAE"/>
          <w:sz w:val="30"/>
        </w:rPr>
        <w:t xml:space="preserve">08  </w:t>
      </w:r>
      <w:r>
        <w:rPr>
          <w:rFonts w:ascii="Arial" w:hAnsi="Arial" w:eastAsia="Arial Unicode MS"/>
          <w:b/>
          <w:color w:val="1E3553"/>
          <w:sz w:val="30"/>
        </w:rPr>
        <w:t>主要属性名称与定义</w:t>
      </w:r>
    </w:p>
    <w:p>
      <w:pPr>
        <w:keepNext/>
        <w:spacing w:before="0" w:after="120"/>
      </w:pPr>
      <w:r>
        <w:rPr>
          <w:rFonts w:ascii="Arial" w:hAnsi="Arial" w:eastAsia="Arial Unicode MS"/>
          <w:b w:val="0"/>
          <w:color w:val="65758A"/>
          <w:sz w:val="18"/>
        </w:rPr>
        <w:t>汇总平台常用字段的名称、定义和使用说明。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2180"/>
        <w:gridCol w:w="4080"/>
        <w:gridCol w:w="3100"/>
      </w:tblGrid>
      <w:tr>
        <w:trPr>
          <w:tblHeader w:val="true"/>
        </w:trPr>
        <w:tc>
          <w:tcPr>
            <w:tcW w:type="dxa" w:w="21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属性名称</w:t>
            </w:r>
          </w:p>
        </w:tc>
        <w:tc>
          <w:tcPr>
            <w:tcW w:type="dxa" w:w="408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属性定义</w:t>
            </w:r>
          </w:p>
        </w:tc>
        <w:tc>
          <w:tcPr>
            <w:tcW w:type="dxa" w:w="3100"/>
            <w:shd w:fill="EAF2FB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1E3553"/>
                <w:sz w:val="16"/>
              </w:rPr>
              <w:t>使用说明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项目编号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项目的唯一业务编号。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必填；全平台不可重复。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项目名称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审计项目的正式名称。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必填；按完整名称展示。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工作簿名称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项目下分析任务的名称。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必填；项目内唯一。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分析期间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数据分析采用的起止月份。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必填；格式YYYY-MM至YYYY-MM。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报告期间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财务报告或审计报告覆盖期间。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必填；与分析期间可不同。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重要性水平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用于抽样和审计判断的金额阈值。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可空；为空显示“—”，不得默认为0。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公司名称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被审计单位主档中的标准公司名称。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必填；不省略展示。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统一社会信用代码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公司实体的主要去重和匹配键。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缺失时标记待补充，不用空字符串替代。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集团关系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该公司与集团或发行人的关系。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如母公司、控股子公司、参股公司、分支机构。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持股比例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直接或最终持股比例。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未知显示“—”；0与未知必须区分。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本方账号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被审计单位银行账号。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必填；界面可脱敏，导出按权限控制。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开户银行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银行账户开户机构名称。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缺失显示“—”，进入主档完整性问题。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币种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账户和交易原币币种。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默认不推定人民币；使用CNY/RMB需全平台统一。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启用日期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账户开始有效或开户日期。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未知为空，不使用分析期起始日替代。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停用日期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账户注销或停止使用日期。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有效账户为空；注销后交易需单独识别。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交易日期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银行交易入账日期。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必填；格式YYYY-MM-DD。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交易时间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银行记录的交易时刻。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可空；为空不参与异常时点规则。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对方名称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银行原始数据中的对方户名。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保留原值；另存标准化名称。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收付方向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交易相对本方账户的资金方向。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仅允许流入、流出；未知进入数据问题。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流入金额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方向为流入的交易金额。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无流入显示0；单位由顶部切换器控制。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流出金额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方向为流出的交易金额。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无流出显示0；单位由顶部切换器控制。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交易后余额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该笔交易后的账户余额。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源数据缺失则为空，不显示0。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流水识别号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单笔交易的稳定唯一键。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必填；源数据缺失时生成稳定替代键并标记来源。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摘要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银行提供的交易摘要或用途。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保留原文；空值显示“—”。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发票号码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单张发票的识别号码。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与发票代码等组成唯一键；不得转数值。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发票方向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发票相对被审计单位的进销项方向。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仅允许销项、进项。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开票日期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发票开具日期。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必填；账期平移基于其原始月份。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不含税金额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发票不含增值税的金额。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缺失为空；不以税价合计倒推，除非规则明确。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税额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发票列示的增值税税额。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缺失为空；零税率发票可为0。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税价合计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不含税金额与税额之和。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公式校验失败时保留原值并记录差异。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税率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发票适用增值税税率。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免税或不征税应使用状态枚举，不混作0%。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发票状态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发票当前有效状态。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正常、作废、红冲；空值进入数据问题。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标准名称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实体解析后的对手方统一名称。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为空时回退显示原始名称并标记待治理。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对手方类型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对手方业务身份分类。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客户、供应商、员工、个人、其他；关联方为关系属性。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关联关系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对手方与被审计单位的关联身份。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非关联方为空；不得填“普通”。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所属集团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对手方所属企业集团标准名称。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未知为空；不得使用“其他”代替。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黑名单命中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是否命中第三方配合造假清单。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命中显示勾，未命中留空或显示减号。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规则类型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税票月份归属方式。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统一使用同期、税票前移、税票后移。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平移月数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税票月份平移的绝对月数。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同期为0；前移后移至少1。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规则来源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当前生效规则的来源。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默认口径或单独规则。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匹配关系编号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一组资金与发票对应关系的唯一编号。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必须填写；支持一对一、一对多、多对一。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匹配状态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当前资金与发票对应状态。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已匹配、部分匹配、有资金无发票、有发票无资金、待确认。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匹配金额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已分配到匹配关系的金额。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未匹配显示0；不得超过可匹配余额。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日期差异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银行交易日期减发票日期。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正值表示资金晚于发票；空值表示任一侧日期缺失。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核查标准编号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核查标准的稳定编号。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必填；规则升级不得复用旧编号含义。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命中标识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当前对象是否满足指定核查标准。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命中显示勾，未命中显示空白或减号。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命中个数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当前对象实际命中的标准数量。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无命中显示0，不显示“—”。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首次发生期间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该风险线索首次出现的完整期间。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无历史数据时为空并注明历史覆盖不足。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跨期状态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事项在多年多期中的变化状态。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本期新增、持续存在、风险上升、历史复发、风险缓释。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备注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项目组对对象、差异或处理结果的说明。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不参与计算；记录更新人和更新时间。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数据版本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当前分析所使用的标准化数据快照版本。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导出成果必填。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规则版本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当前核查规则集合版本。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特殊交易结果和报告必填。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更新时间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记录最近一次更新时点。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格式YYYY-MM-DD HH:mm；使用项目时区。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26384F"/>
                <w:sz w:val="16"/>
              </w:rPr>
              <w:t>更新人</w:t>
            </w:r>
          </w:p>
        </w:tc>
        <w:tc>
          <w:tcPr>
            <w:tcW w:type="dxa" w:w="40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最近一次修改记录的用户。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26384F"/>
                <w:sz w:val="16"/>
              </w:rPr>
              <w:t>自动记录，不允许手工输入。</w:t>
            </w:r>
          </w:p>
        </w:tc>
      </w:tr>
    </w:tbl>
    <w:p>
      <w:pPr>
        <w:spacing w:after="20"/>
      </w:pPr>
    </w:p>
    <w:p>
      <w:pPr>
        <w:spacing w:before="80" w:after="160" w:line="276" w:lineRule="auto"/>
        <w:ind w:left="173" w:right="173"/>
        <w:shd w:fill="F6F9FD"/>
        <w:pBdr>
          <w:left w:val="single" w:sz="18" w:color="1F5FAE"/>
        </w:pBdr>
      </w:pPr>
      <w:r>
        <w:rPr>
          <w:rFonts w:ascii="Arial" w:hAnsi="Arial" w:eastAsia="Arial Unicode MS"/>
          <w:b/>
          <w:color w:val="1F5FAE"/>
          <w:sz w:val="19"/>
        </w:rPr>
        <w:t xml:space="preserve">使用原则  </w:t>
      </w:r>
      <w:r>
        <w:rPr>
          <w:rFonts w:ascii="Arial" w:hAnsi="Arial" w:eastAsia="Arial Unicode MS"/>
          <w:b w:val="0"/>
          <w:color w:val="26384F"/>
          <w:sz w:val="19"/>
        </w:rPr>
        <w:t>页面、需求、测试、导出文件和报告应使用本表中的统一名称；如需新增名称，应同时补充定义和使用说明。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 Unicode MS"/>
        <w:b w:val="0"/>
        <w:color w:val="65758A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Arial Unicode MS"/>
        <w:b w:val="0"/>
        <w:color w:val="65758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color="DCE6F1"/>
      </w:pBdr>
    </w:pPr>
    <w:r>
      <w:rPr>
        <w:rFonts w:ascii="Arial" w:hAnsi="Arial" w:eastAsia="Arial Unicode MS"/>
        <w:b/>
        <w:color w:val="4A6F9E"/>
        <w:sz w:val="16"/>
      </w:rPr>
      <w:t>AUDIT COMPASS  |  系统统一名词与属性定义表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 Unicode MS" w:hAnsi="Arial Unicode MS" w:eastAsia="Arial Unicode MS"/>
      <w:color w:val="2638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E35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5FA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5FA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Compass 系统统一名词与属性定义表</dc:title>
  <dc:subject>平台统一名称、业务定义与主要属性</dc:subject>
  <dc:creator>Audit Compass 产品与数据治理</dc:creator>
  <cp:keywords>统一名称, 名词定义, 审计分析, 银行流水, 增值税发票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