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75.png" ContentType="image/png"/>
  <Override PartName="/word/media/rId69.png" ContentType="image/png"/>
  <Override PartName="/word/media/rId72.png" ContentType="image/png"/>
  <Override PartName="/word/media/rId85.png" ContentType="image/png"/>
  <Override PartName="/word/media/rId36.png" ContentType="image/png"/>
  <Override PartName="/word/media/rId48.png" ContentType="image/png"/>
  <Override PartName="/word/media/rId40.png" ContentType="image/png"/>
  <Override PartName="/word/media/rId44.png" ContentType="image/png"/>
  <Override PartName="/word/media/rId52.png" ContentType="image/png"/>
  <Override PartName="/word/media/rId64.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73</w:t>
      </w:r>
      <w:r>
        <w:t xml:space="preserve"> </w:t>
      </w:r>
      <w:r>
        <w:t xml:space="preserve">events</w:t>
      </w:r>
      <w:r>
        <w:t xml:space="preserve"> </w:t>
      </w:r>
      <w:r>
        <w:t xml:space="preserve">in</w:t>
      </w:r>
      <w:r>
        <w:t xml:space="preserve"> </w:t>
      </w:r>
      <w:r>
        <w:t xml:space="preserve">2010–2025,</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3.1</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from</w:t>
      </w:r>
      <w:r>
        <w:t xml:space="preserve"> </w:t>
      </w:r>
      <w:r>
        <w:t xml:space="preserve">2007</w:t>
      </w:r>
      <w:r>
        <w:t xml:space="preserve"> </w:t>
      </w:r>
      <w:r>
        <w:t xml:space="preserve">to</w:t>
      </w:r>
      <w:r>
        <w:t xml:space="preserve"> </w:t>
      </w:r>
      <w:r>
        <w:t xml:space="preserve">2026.</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a quarter of 16–19 year old wage earners are paid at or near it, against a tenth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In the published CPS series,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labor market by weighing the opportunity cost and psychic cost of schooling against the expected future return to skill (Mincer, 1976). To the extent that a change in the minimum wage alters the teen labor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2007 to August 2026,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73 such events from January 2010 with CPS teens in the unit,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5.3 percent (s.e. 1.2)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and neither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organized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3"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maximize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labor,</w:t>
      </w:r>
      <w:r>
        <w:t xml:space="preserve"> </w:t>
      </w:r>
      <m:oMath>
        <m:sSub>
          <m:e>
            <m:r>
              <m:t>w</m:t>
            </m:r>
          </m:e>
          <m:sub>
            <m:r>
              <m:t>s</m:t>
            </m:r>
          </m:sub>
        </m:sSub>
      </m:oMath>
      <w:r>
        <w:t xml:space="preserve"> </w:t>
      </w:r>
      <w:r>
        <w:t xml:space="preserve">is the wage for skilled labor,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Maximizing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maximization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labor demanded. In this situation, overall enrollment should decrease while labor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labor force and/or the minimum wage is sufficiently high that it appreciably changes the quantity of labor demanded. In this case, getting a degree would also increase the likelihood of finding employment in the long run, thereby increasing the value of staying in school today. In this situation, overall enrollment should rise while labor force participation should decrease.</w:t>
      </w:r>
    </w:p>
    <w:p>
      <w:pPr>
        <w:pStyle w:val="BodyText"/>
      </w:pPr>
      <w:r>
        <w:t xml:space="preserve">Both of these cases assume that the teen labor market is competitive, so that the minimum wage is set above a market-clearing wage and the only question is how much employment falls. There is a third possibility. If each employer faces an upward-sloping supply of teenage labor,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profit-maximizing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w:t>
      </w:r>
      <w:r>
        <w:rPr>
          <w:rStyle w:val="FootnoteReference"/>
        </w:rPr>
        <w:footnoteReference w:id="22"/>
      </w:r>
      <w:r>
        <w:t xml:space="preserve"> </w:t>
      </w:r>
      <w:r>
        <w:t xml:space="preserve">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3"/>
    <w:bookmarkStart w:id="30"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2007, three years before the first event, to August 2026, from IPUMS-CPS (Flood et al., 2024); every estimate, figure and table in the paper uses this window.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3.08 million person-months, about 6,100 aged 16–19 each month. Employment, labor force status and usual hours come from the standard labor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from the state, federal and substate change lists of Vaghul and Zipperer (2016), which record the effective date and level of every change from 1974 to the end of 2022, including the steps of schedules enacted by then. I extend the state list through 2025 with the changes enacted or triggered by indexation after 2022, compiled from state labor departments and flagged for verification in the replication files; local rates are carried forward at their end-2022 levels. Sixty localities are mapped to the county codes the CPS identifies for the larger counties, about 40 percent of respondents, with one locality representing each county: the county-wide rate where one exists, otherwise the largest city’s.</w:t>
      </w:r>
    </w:p>
    <w:p>
      <w:pPr>
        <w:pStyle w:val="BodyText"/>
      </w:pPr>
      <w:r>
        <w:t xml:space="preserve">Figure 1 shows the aggregate series over the window. Teen employment fell from 36 percent in 2007 to 27 percent in 2010, from 26 to 17 percent at 16–17 and from 48 to 38 percent at 18–19, and recovered to 32 percent by 2019 and 33 percent in 2022, where it has stayed; enrollment moved between 74 and 77 percent; the share enrolled and employed fell from 22 to 17 percent and recovered to 18 to 19 percent, while the share neither enrolled nor employed stayed between 11 and 13 percent. Figure 2 shows the population-weighted effective minimum wage and the calendar of state events: the federal increases of 2007–2009, no federal change since, and the wave of large state schedules from 2014. Table 1 gives the means in the year before the event for teens in the event states and in their clean controls, for the 39 state events from 2010. In event states, 85 percent of 16–17 year olds and 64 percent of 18–19 year olds are enrolled; 19 and 39 percent are employed; hourly-paid teens earn $9.61 and $10.69 an hour. The control states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1018309"/>
                  <wp:effectExtent b="0" l="0" r="0" t="0"/>
                  <wp:docPr descr="" title="" id="25" name="Picture"/>
                  <a:graphic>
                    <a:graphicData uri="http://schemas.openxmlformats.org/drawingml/2006/picture">
                      <pic:pic>
                        <pic:nvPicPr>
                          <pic:cNvPr descr="figures/fig1_trends.png" id="26" name="Picture"/>
                          <pic:cNvPicPr>
                            <a:picLocks noChangeArrowheads="1" noChangeAspect="1"/>
                          </pic:cNvPicPr>
                        </pic:nvPicPr>
                        <pic:blipFill>
                          <a:blip r:embed="rId24"/>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w:t>
            </w:r>
          </w:p>
        </w:tc>
      </w:tr>
    </w:tbl>
    <w:p>
      <w:pPr>
        <w:pStyle w:val="ImageCaption"/>
      </w:pPr>
      <w:r>
        <w:t xml:space="preserve">Figure 1: Employment, school enrollment and school–work status of 16–19 year olds, 2007–2025</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1208927"/>
                  <wp:effectExtent b="0" l="0" r="0" t="0"/>
                  <wp:docPr descr="" title="" id="28" name="Picture"/>
                  <a:graphic>
                    <a:graphicData uri="http://schemas.openxmlformats.org/drawingml/2006/picture">
                      <pic:pic>
                        <pic:nvPicPr>
                          <pic:cNvPr descr="figures/fig2_minwage.png" id="29" name="Picture"/>
                          <pic:cNvPicPr>
                            <a:picLocks noChangeArrowheads="1" noChangeAspect="1"/>
                          </pic:cNvPicPr>
                        </pic:nvPicPr>
                        <pic:blipFill>
                          <a:blip r:embed="rId27"/>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2007–2025</w:t>
      </w:r>
    </w:p>
    <w:p>
      <w:pPr>
        <w:pStyle w:val="TableCaption"/>
      </w:pPr>
      <w:r>
        <w:t xml:space="preserve">Table 1: Means in the year before the event, 39 state events from 2010: event states and clean controls</w:t>
      </w:r>
    </w:p>
    <w:tbl>
      <w:tblPr>
        <w:tblStyle w:val="Table"/>
        <w:tblW w:type="dxa" w:w="9360"/>
        <w:tblLook w:firstRow="0" w:lastRow="0" w:firstColumn="0" w:lastColumn="0" w:noHBand="0" w:noVBand="0" w:val="0000"/>
        <w:jc w:val="start"/>
        <w:tblCaption w:val="Table 1: Means in the year before the event, 39 state events from 2010: event states and clean controls"/>
      </w:tblPr>
      <w:tblGrid>
        <w:gridCol w:w="2808"/>
        <w:gridCol w:w="1638"/>
        <w:gridCol w:w="1638"/>
        <w:gridCol w:w="1638"/>
        <w:gridCol w:w="1638"/>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r>
      <w:tr>
        <w:tc>
          <w:tcPr/>
          <w:p>
            <w:pPr>
              <w:pStyle w:val="Compact"/>
            </w:pPr>
          </w:p>
        </w:tc>
        <w:tc>
          <w:tcPr/>
          <w:p>
            <w:pPr>
              <w:pStyle w:val="Compact"/>
              <w:jc w:val="right"/>
            </w:pPr>
            <w:r>
              <w:t xml:space="preserve">Event states</w:t>
            </w:r>
          </w:p>
        </w:tc>
        <w:tc>
          <w:tcPr/>
          <w:p>
            <w:pPr>
              <w:pStyle w:val="Compact"/>
              <w:jc w:val="right"/>
            </w:pPr>
            <w:r>
              <w:t xml:space="preserve">Controls</w:t>
            </w:r>
          </w:p>
        </w:tc>
        <w:tc>
          <w:tcPr/>
          <w:p>
            <w:pPr>
              <w:pStyle w:val="Compact"/>
              <w:jc w:val="right"/>
            </w:pPr>
            <w:r>
              <w:t xml:space="preserve">Event states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0.854</w:t>
            </w:r>
          </w:p>
        </w:tc>
        <w:tc>
          <w:tcPr/>
          <w:p>
            <w:pPr>
              <w:pStyle w:val="Compact"/>
              <w:jc w:val="right"/>
            </w:pPr>
            <w:r>
              <w:t xml:space="preserve">0.843</w:t>
            </w:r>
          </w:p>
        </w:tc>
        <w:tc>
          <w:tcPr/>
          <w:p>
            <w:pPr>
              <w:pStyle w:val="Compact"/>
              <w:jc w:val="right"/>
            </w:pPr>
            <w:r>
              <w:t xml:space="preserve">0.644</w:t>
            </w:r>
          </w:p>
        </w:tc>
        <w:tc>
          <w:tcPr/>
          <w:p>
            <w:pPr>
              <w:pStyle w:val="Compact"/>
              <w:jc w:val="right"/>
            </w:pPr>
            <w:r>
              <w:t xml:space="preserve">0.609</w:t>
            </w:r>
          </w:p>
        </w:tc>
      </w:tr>
      <w:tr>
        <w:tc>
          <w:tcPr/>
          <w:p>
            <w:pPr>
              <w:pStyle w:val="Compact"/>
              <w:jc w:val="left"/>
            </w:pPr>
            <w:r>
              <w:t xml:space="preserve">Employed</w:t>
            </w:r>
          </w:p>
        </w:tc>
        <w:tc>
          <w:tcPr/>
          <w:p>
            <w:pPr>
              <w:pStyle w:val="Compact"/>
              <w:jc w:val="right"/>
            </w:pPr>
            <w:r>
              <w:t xml:space="preserve">0.185</w:t>
            </w:r>
          </w:p>
        </w:tc>
        <w:tc>
          <w:tcPr/>
          <w:p>
            <w:pPr>
              <w:pStyle w:val="Compact"/>
              <w:jc w:val="right"/>
            </w:pPr>
            <w:r>
              <w:t xml:space="preserve">0.211</w:t>
            </w:r>
          </w:p>
        </w:tc>
        <w:tc>
          <w:tcPr/>
          <w:p>
            <w:pPr>
              <w:pStyle w:val="Compact"/>
              <w:jc w:val="right"/>
            </w:pPr>
            <w:r>
              <w:t xml:space="preserve">0.393</w:t>
            </w:r>
          </w:p>
        </w:tc>
        <w:tc>
          <w:tcPr/>
          <w:p>
            <w:pPr>
              <w:pStyle w:val="Compact"/>
              <w:jc w:val="right"/>
            </w:pPr>
            <w:r>
              <w:t xml:space="preserve">0.431</w:t>
            </w:r>
          </w:p>
        </w:tc>
      </w:tr>
      <w:tr>
        <w:tc>
          <w:tcPr/>
          <w:p>
            <w:pPr>
              <w:pStyle w:val="Compact"/>
              <w:jc w:val="left"/>
            </w:pPr>
            <w:r>
              <w:t xml:space="preserve">In labor force</w:t>
            </w:r>
          </w:p>
        </w:tc>
        <w:tc>
          <w:tcPr/>
          <w:p>
            <w:pPr>
              <w:pStyle w:val="Compact"/>
              <w:jc w:val="right"/>
            </w:pPr>
            <w:r>
              <w:t xml:space="preserve">0.227</w:t>
            </w:r>
          </w:p>
        </w:tc>
        <w:tc>
          <w:tcPr/>
          <w:p>
            <w:pPr>
              <w:pStyle w:val="Compact"/>
              <w:jc w:val="right"/>
            </w:pPr>
            <w:r>
              <w:t xml:space="preserve">0.255</w:t>
            </w:r>
          </w:p>
        </w:tc>
        <w:tc>
          <w:tcPr/>
          <w:p>
            <w:pPr>
              <w:pStyle w:val="Compact"/>
              <w:jc w:val="right"/>
            </w:pPr>
            <w:r>
              <w:t xml:space="preserve">0.471</w:t>
            </w:r>
          </w:p>
        </w:tc>
        <w:tc>
          <w:tcPr/>
          <w:p>
            <w:pPr>
              <w:pStyle w:val="Compact"/>
              <w:jc w:val="right"/>
            </w:pPr>
            <w:r>
              <w:t xml:space="preserve">0.507</w:t>
            </w:r>
          </w:p>
        </w:tc>
      </w:tr>
      <w:tr>
        <w:tc>
          <w:tcPr/>
          <w:p>
            <w:pPr>
              <w:pStyle w:val="Compact"/>
              <w:jc w:val="left"/>
            </w:pPr>
            <w:r>
              <w:t xml:space="preserve">Enrolled and employed</w:t>
            </w:r>
          </w:p>
        </w:tc>
        <w:tc>
          <w:tcPr/>
          <w:p>
            <w:pPr>
              <w:pStyle w:val="Compact"/>
              <w:jc w:val="right"/>
            </w:pPr>
            <w:r>
              <w:t xml:space="preserve">0.135</w:t>
            </w:r>
          </w:p>
        </w:tc>
        <w:tc>
          <w:tcPr/>
          <w:p>
            <w:pPr>
              <w:pStyle w:val="Compact"/>
              <w:jc w:val="right"/>
            </w:pPr>
            <w:r>
              <w:t xml:space="preserve">0.157</w:t>
            </w:r>
          </w:p>
        </w:tc>
        <w:tc>
          <w:tcPr/>
          <w:p>
            <w:pPr>
              <w:pStyle w:val="Compact"/>
              <w:jc w:val="right"/>
            </w:pPr>
            <w:r>
              <w:t xml:space="preserve">0.196</w:t>
            </w:r>
          </w:p>
        </w:tc>
        <w:tc>
          <w:tcPr/>
          <w:p>
            <w:pPr>
              <w:pStyle w:val="Compact"/>
              <w:jc w:val="right"/>
            </w:pPr>
            <w:r>
              <w:t xml:space="preserve">0.209</w:t>
            </w:r>
          </w:p>
        </w:tc>
      </w:tr>
      <w:tr>
        <w:tc>
          <w:tcPr/>
          <w:p>
            <w:pPr>
              <w:pStyle w:val="Compact"/>
              <w:jc w:val="left"/>
            </w:pPr>
            <w:r>
              <w:t xml:space="preserve">Enrolled only</w:t>
            </w:r>
          </w:p>
        </w:tc>
        <w:tc>
          <w:tcPr/>
          <w:p>
            <w:pPr>
              <w:pStyle w:val="Compact"/>
              <w:jc w:val="right"/>
            </w:pPr>
            <w:r>
              <w:t xml:space="preserve">0.719</w:t>
            </w:r>
          </w:p>
        </w:tc>
        <w:tc>
          <w:tcPr/>
          <w:p>
            <w:pPr>
              <w:pStyle w:val="Compact"/>
              <w:jc w:val="right"/>
            </w:pPr>
            <w:r>
              <w:t xml:space="preserve">0.686</w:t>
            </w:r>
          </w:p>
        </w:tc>
        <w:tc>
          <w:tcPr/>
          <w:p>
            <w:pPr>
              <w:pStyle w:val="Compact"/>
              <w:jc w:val="right"/>
            </w:pPr>
            <w:r>
              <w:t xml:space="preserve">0.448</w:t>
            </w:r>
          </w:p>
        </w:tc>
        <w:tc>
          <w:tcPr/>
          <w:p>
            <w:pPr>
              <w:pStyle w:val="Compact"/>
              <w:jc w:val="right"/>
            </w:pPr>
            <w:r>
              <w:t xml:space="preserve">0.400</w:t>
            </w:r>
          </w:p>
        </w:tc>
      </w:tr>
      <w:tr>
        <w:tc>
          <w:tcPr/>
          <w:p>
            <w:pPr>
              <w:pStyle w:val="Compact"/>
              <w:jc w:val="left"/>
            </w:pPr>
            <w:r>
              <w:t xml:space="preserve">Employed only</w:t>
            </w:r>
          </w:p>
        </w:tc>
        <w:tc>
          <w:tcPr/>
          <w:p>
            <w:pPr>
              <w:pStyle w:val="Compact"/>
              <w:jc w:val="right"/>
            </w:pPr>
            <w:r>
              <w:t xml:space="preserve">0.050</w:t>
            </w:r>
          </w:p>
        </w:tc>
        <w:tc>
          <w:tcPr/>
          <w:p>
            <w:pPr>
              <w:pStyle w:val="Compact"/>
              <w:jc w:val="right"/>
            </w:pPr>
            <w:r>
              <w:t xml:space="preserve">0.055</w:t>
            </w:r>
          </w:p>
        </w:tc>
        <w:tc>
          <w:tcPr/>
          <w:p>
            <w:pPr>
              <w:pStyle w:val="Compact"/>
              <w:jc w:val="right"/>
            </w:pPr>
            <w:r>
              <w:t xml:space="preserve">0.197</w:t>
            </w:r>
          </w:p>
        </w:tc>
        <w:tc>
          <w:tcPr/>
          <w:p>
            <w:pPr>
              <w:pStyle w:val="Compact"/>
              <w:jc w:val="right"/>
            </w:pPr>
            <w:r>
              <w:t xml:space="preserve">0.222</w:t>
            </w:r>
          </w:p>
        </w:tc>
      </w:tr>
      <w:tr>
        <w:tc>
          <w:tcPr/>
          <w:p>
            <w:pPr>
              <w:pStyle w:val="Compact"/>
              <w:jc w:val="left"/>
            </w:pPr>
            <w:r>
              <w:t xml:space="preserve">Neither</w:t>
            </w:r>
          </w:p>
        </w:tc>
        <w:tc>
          <w:tcPr/>
          <w:p>
            <w:pPr>
              <w:pStyle w:val="Compact"/>
              <w:jc w:val="right"/>
            </w:pPr>
            <w:r>
              <w:t xml:space="preserve">0.096</w:t>
            </w:r>
          </w:p>
        </w:tc>
        <w:tc>
          <w:tcPr/>
          <w:p>
            <w:pPr>
              <w:pStyle w:val="Compact"/>
              <w:jc w:val="right"/>
            </w:pPr>
            <w:r>
              <w:t xml:space="preserve">0.102</w:t>
            </w:r>
          </w:p>
        </w:tc>
        <w:tc>
          <w:tcPr/>
          <w:p>
            <w:pPr>
              <w:pStyle w:val="Compact"/>
              <w:jc w:val="right"/>
            </w:pPr>
            <w:r>
              <w:t xml:space="preserve">0.159</w:t>
            </w:r>
          </w:p>
        </w:tc>
        <w:tc>
          <w:tcPr/>
          <w:p>
            <w:pPr>
              <w:pStyle w:val="Compact"/>
              <w:jc w:val="right"/>
            </w:pPr>
            <w:r>
              <w:t xml:space="preserve">0.168</w:t>
            </w:r>
          </w:p>
        </w:tc>
      </w:tr>
      <w:tr>
        <w:tc>
          <w:tcPr/>
          <w:p>
            <w:pPr>
              <w:pStyle w:val="Compact"/>
              <w:jc w:val="left"/>
            </w:pPr>
            <w:r>
              <w:t xml:space="preserve">Usual weekly hours (0 if not working)</w:t>
            </w:r>
          </w:p>
        </w:tc>
        <w:tc>
          <w:tcPr/>
          <w:p>
            <w:pPr>
              <w:pStyle w:val="Compact"/>
              <w:jc w:val="right"/>
            </w:pPr>
            <w:r>
              <w:t xml:space="preserve">3.18</w:t>
            </w:r>
          </w:p>
        </w:tc>
        <w:tc>
          <w:tcPr/>
          <w:p>
            <w:pPr>
              <w:pStyle w:val="Compact"/>
              <w:jc w:val="right"/>
            </w:pPr>
            <w:r>
              <w:t xml:space="preserve">3.67</w:t>
            </w:r>
          </w:p>
        </w:tc>
        <w:tc>
          <w:tcPr/>
          <w:p>
            <w:pPr>
              <w:pStyle w:val="Compact"/>
              <w:jc w:val="right"/>
            </w:pPr>
            <w:r>
              <w:t xml:space="preserve">9.86</w:t>
            </w:r>
          </w:p>
        </w:tc>
        <w:tc>
          <w:tcPr/>
          <w:p>
            <w:pPr>
              <w:pStyle w:val="Compact"/>
              <w:jc w:val="right"/>
            </w:pPr>
            <w:r>
              <w:t xml:space="preserve">11.32</w:t>
            </w:r>
          </w:p>
        </w:tc>
      </w:tr>
      <w:tr>
        <w:tc>
          <w:tcPr/>
          <w:p>
            <w:pPr>
              <w:pStyle w:val="Compact"/>
              <w:jc w:val="left"/>
            </w:pPr>
            <w:r>
              <w:t xml:space="preserve">Hourly wage, hourly paid ($)</w:t>
            </w:r>
          </w:p>
        </w:tc>
        <w:tc>
          <w:tcPr/>
          <w:p>
            <w:pPr>
              <w:pStyle w:val="Compact"/>
              <w:jc w:val="right"/>
            </w:pPr>
            <w:r>
              <w:t xml:space="preserve">9.61</w:t>
            </w:r>
          </w:p>
        </w:tc>
        <w:tc>
          <w:tcPr/>
          <w:p>
            <w:pPr>
              <w:pStyle w:val="Compact"/>
              <w:jc w:val="right"/>
            </w:pPr>
            <w:r>
              <w:t xml:space="preserve">9.20</w:t>
            </w:r>
          </w:p>
        </w:tc>
        <w:tc>
          <w:tcPr/>
          <w:p>
            <w:pPr>
              <w:pStyle w:val="Compact"/>
              <w:jc w:val="right"/>
            </w:pPr>
            <w:r>
              <w:t xml:space="preserve">10.69</w:t>
            </w:r>
          </w:p>
        </w:tc>
        <w:tc>
          <w:tcPr/>
          <w:p>
            <w:pPr>
              <w:pStyle w:val="Compact"/>
              <w:jc w:val="right"/>
            </w:pPr>
            <w:r>
              <w:t xml:space="preserve">10.12</w:t>
            </w:r>
          </w:p>
        </w:tc>
      </w:tr>
      <w:tr>
        <w:tc>
          <w:tcPr/>
          <w:p>
            <w:pPr>
              <w:pStyle w:val="Compact"/>
              <w:jc w:val="left"/>
            </w:pPr>
            <w:r>
              <w:t xml:space="preserve">Female</w:t>
            </w:r>
          </w:p>
        </w:tc>
        <w:tc>
          <w:tcPr/>
          <w:p>
            <w:pPr>
              <w:pStyle w:val="Compact"/>
              <w:jc w:val="right"/>
            </w:pPr>
            <w:r>
              <w:t xml:space="preserve">0.487</w:t>
            </w:r>
          </w:p>
        </w:tc>
        <w:tc>
          <w:tcPr/>
          <w:p>
            <w:pPr>
              <w:pStyle w:val="Compact"/>
              <w:jc w:val="right"/>
            </w:pPr>
            <w:r>
              <w:t xml:space="preserve">0.497</w:t>
            </w:r>
          </w:p>
        </w:tc>
        <w:tc>
          <w:tcPr/>
          <w:p>
            <w:pPr>
              <w:pStyle w:val="Compact"/>
              <w:jc w:val="right"/>
            </w:pPr>
            <w:r>
              <w:t xml:space="preserve">0.498</w:t>
            </w:r>
          </w:p>
        </w:tc>
        <w:tc>
          <w:tcPr/>
          <w:p>
            <w:pPr>
              <w:pStyle w:val="Compact"/>
              <w:jc w:val="right"/>
            </w:pPr>
            <w:r>
              <w:t xml:space="preserve">0.494</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0.130</w:t>
            </w:r>
          </w:p>
        </w:tc>
        <w:tc>
          <w:tcPr/>
          <w:p>
            <w:pPr>
              <w:pStyle w:val="Compact"/>
              <w:jc w:val="right"/>
            </w:pPr>
            <w:r>
              <w:t xml:space="preserve">0.177</w:t>
            </w:r>
          </w:p>
        </w:tc>
      </w:tr>
      <w:tr>
        <w:tc>
          <w:tcPr/>
          <w:p>
            <w:pPr>
              <w:pStyle w:val="Compact"/>
              <w:jc w:val="left"/>
            </w:pPr>
            <w:r>
              <w:t xml:space="preserve">Hispanic</w:t>
            </w:r>
          </w:p>
        </w:tc>
        <w:tc>
          <w:tcPr/>
          <w:p>
            <w:pPr>
              <w:pStyle w:val="Compact"/>
              <w:jc w:val="right"/>
            </w:pPr>
            <w:r>
              <w:t xml:space="preserve">0.242</w:t>
            </w:r>
          </w:p>
        </w:tc>
        <w:tc>
          <w:tcPr/>
          <w:p>
            <w:pPr>
              <w:pStyle w:val="Compact"/>
              <w:jc w:val="right"/>
            </w:pPr>
            <w:r>
              <w:t xml:space="preserve">0.186</w:t>
            </w:r>
          </w:p>
        </w:tc>
        <w:tc>
          <w:tcPr/>
          <w:p>
            <w:pPr>
              <w:pStyle w:val="Compact"/>
              <w:jc w:val="right"/>
            </w:pPr>
            <w:r>
              <w:t xml:space="preserve">0.249</w:t>
            </w:r>
          </w:p>
        </w:tc>
        <w:tc>
          <w:tcPr/>
          <w:p>
            <w:pPr>
              <w:pStyle w:val="Compact"/>
              <w:jc w:val="right"/>
            </w:pPr>
            <w:r>
              <w:t xml:space="preserve">0.193</w:t>
            </w:r>
          </w:p>
        </w:tc>
      </w:tr>
      <w:tr>
        <w:tc>
          <w:tcPr/>
          <w:p>
            <w:pPr>
              <w:pStyle w:val="Compact"/>
              <w:jc w:val="left"/>
            </w:pPr>
            <w:r>
              <w:t xml:space="preserve">Person-months</w:t>
            </w:r>
          </w:p>
        </w:tc>
        <w:tc>
          <w:tcPr/>
          <w:p>
            <w:pPr>
              <w:pStyle w:val="Compact"/>
              <w:jc w:val="right"/>
            </w:pPr>
            <w:r>
              <w:t xml:space="preserve">29,115</w:t>
            </w:r>
          </w:p>
        </w:tc>
        <w:tc>
          <w:tcPr/>
          <w:p>
            <w:pPr>
              <w:pStyle w:val="Compact"/>
              <w:jc w:val="right"/>
            </w:pPr>
            <w:r>
              <w:t xml:space="preserve">763,850</w:t>
            </w:r>
          </w:p>
        </w:tc>
        <w:tc>
          <w:tcPr/>
          <w:p>
            <w:pPr>
              <w:pStyle w:val="Compact"/>
              <w:jc w:val="right"/>
            </w:pPr>
            <w:r>
              <w:t xml:space="preserve">26,859</w:t>
            </w:r>
          </w:p>
        </w:tc>
        <w:tc>
          <w:tcPr/>
          <w:p>
            <w:pPr>
              <w:pStyle w:val="Compact"/>
              <w:jc w:val="right"/>
            </w:pPr>
            <w:r>
              <w:t xml:space="preserve">665,432</w:t>
            </w:r>
          </w:p>
        </w:tc>
      </w:tr>
    </w:tbl>
    <w:p>
      <w:pPr>
        <w:pStyle w:val="BodyText"/>
      </w:pPr>
      <w:r>
        <w:t xml:space="preserve">Notes: Weighted means over the twelve months before each event, pooled across events. Hourly wage among hourly-paid workers in the outgoing rotation groups, earnings-weighted.</w:t>
      </w:r>
    </w:p>
    <w:bookmarkEnd w:id="30"/>
    <w:bookmarkStart w:id="35" w:name="empirical-strategy"/>
    <w:p>
      <w:pPr>
        <w:pStyle w:val="Heading1"/>
      </w:pPr>
      <w:r>
        <w:t xml:space="preserve">4 Empirical Strategy</w:t>
      </w:r>
    </w:p>
    <w:bookmarkStart w:id="31"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1"/>
    <w:bookmarkStart w:id="32"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This yields 101 unit events from January 2010, of which 73 have CPS teens in the unit (Appendix Table 23): 39 in state remainders, 18 in counties where state and local rates rose together, and 16 driven by a local rise alone. The events raise the minimum by 5 to 86 percent over the window, 38 percent on average, in 62 cases through two or more steps.</w:t>
      </w:r>
    </w:p>
    <w:p>
      <w:pPr>
        <w:pStyle w:val="BodyText"/>
      </w:pPr>
      <w:r>
        <w:t xml:space="preserve">The controls for an event are the units in other states that had no qualifying increase in the window from 36 months before the event to 47 months after it. For the events from 2010 on, the federal minimum did not change, so these units had no change in their minimum at all; each event has a median of 28 such controls. The windows of the four events of 2010–2013 begin before the federal increase of July 2009, which raised the minimum in treated and control units alike and is absorbed by the comparison with the year before the event. No events before 2010 are used, and no observations before January 2007 enter any estimate.</w:t>
      </w:r>
    </w:p>
    <w:bookmarkEnd w:id="32"/>
    <w:bookmarkStart w:id="33"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3"/>
    <w:bookmarkStart w:id="34"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r>
                <m:t>y</m:t>
              </m:r>
            </m:e>
            <m:sub>
              <m:r>
                <m:t>i</m:t>
              </m:r>
              <m:r>
                <m:rPr>
                  <m:sty m:val="p"/>
                </m:rPr>
                <m:t>,</m:t>
              </m:r>
              <m:r>
                <m:t>e</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d>
                <m:dPr>
                  <m:begChr m:val="("/>
                  <m:endChr m:val=")"/>
                  <m:sepChr m:val=""/>
                  <m:grow/>
                </m:dPr>
                <m:e>
                  <m:r>
                    <m:t>i</m:t>
                  </m:r>
                </m:e>
              </m:d>
            </m:sub>
          </m:sSub>
          <m:r>
            <m:rPr>
              <m:sty m:val="p"/>
            </m:rPr>
            <m:t>+</m:t>
          </m:r>
          <m:sSub>
            <m:e>
              <m:r>
                <m:t>X</m:t>
              </m:r>
            </m:e>
            <m:sub>
              <m:r>
                <m:t>i</m:t>
              </m:r>
            </m:sub>
          </m:sSub>
          <m:r>
            <m:rPr>
              <m:sty m:val="p"/>
            </m:rPr>
            <m:t>′</m:t>
          </m:r>
          <m:r>
            <m:t>γ</m:t>
          </m:r>
          <m:r>
            <m:rPr>
              <m:sty m:val="p"/>
            </m:rPr>
            <m:t>+</m:t>
          </m:r>
          <m:sSub>
            <m:e>
              <m:r>
                <m:t>α</m:t>
              </m:r>
            </m:e>
            <m:sub>
              <m:r>
                <m:t>e</m:t>
              </m:r>
              <m:r>
                <m:rPr>
                  <m:sty m:val="p"/>
                </m:rPr>
                <m:t>,</m:t>
              </m:r>
              <m:r>
                <m:t>u</m:t>
              </m:r>
              <m:d>
                <m:dPr>
                  <m:begChr m:val="("/>
                  <m:endChr m:val=")"/>
                  <m:sepChr m:val=""/>
                  <m:grow/>
                </m:dPr>
                <m:e>
                  <m:r>
                    <m:t>i</m:t>
                  </m:r>
                </m:e>
              </m:d>
            </m:sub>
          </m:sSub>
          <m:r>
            <m:rPr>
              <m:sty m:val="p"/>
            </m:rPr>
            <m:t>+</m:t>
          </m:r>
          <m:sSub>
            <m:e>
              <m:r>
                <m:t>λ</m:t>
              </m:r>
            </m:e>
            <m:sub>
              <m:r>
                <m:t>e</m:t>
              </m:r>
              <m:r>
                <m:rPr>
                  <m:sty m:val="p"/>
                </m:rPr>
                <m:t>,</m:t>
              </m:r>
              <m:r>
                <m:t>t</m:t>
              </m:r>
            </m:sub>
          </m:sSub>
          <m:r>
            <m:rPr>
              <m:sty m:val="p"/>
            </m:rPr>
            <m:t>+</m:t>
          </m:r>
          <m:sSub>
            <m:e>
              <m:r>
                <m:t>ε</m:t>
              </m:r>
            </m:e>
            <m:sub>
              <m:r>
                <m:t>i</m:t>
              </m:r>
              <m:r>
                <m:rPr>
                  <m:sty m:val="p"/>
                </m:rPr>
                <m:t>,</m:t>
              </m:r>
              <m:r>
                <m:t>e</m:t>
              </m:r>
              <m:r>
                <m:rPr>
                  <m:sty m:val="p"/>
                </m:rPr>
                <m:t>,</m:t>
              </m:r>
              <m:r>
                <m:t>t</m:t>
              </m:r>
            </m:sub>
          </m:sSub>
          <m:r>
            <m:rPr>
              <m:sty m:val="p"/>
            </m:rPr>
            <m:t>,</m:t>
          </m:r>
        </m:oMath>
      </m:oMathPara>
    </w:p>
    <w:p>
      <w:pPr>
        <w:pStyle w:val="FirstParagraph"/>
      </w:pPr>
      <w:r>
        <w:t xml:space="preserve">estimated on every teen observation in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t>
      </w:r>
      <w:r>
        <w:t xml:space="preserve">around each of the 73 events, the treated unit and its clean controls, with event-by-unit and event-by-month fixed effects, dummies for single year of age, sex, race and Hispanic origin (non-Hispanic white, Black, Hispanic, other) and the CPS family income category, survey weights, and standard errors clustered by state. The stacked file has 6.8 million observations at 16–17, 6.3 million at 18–19 and 13.1 million pooled, built from 620,000, 554,000 and 1.17 million teen-months, each control unit’s teens entering the blocks of every event for which the unit is a clean control.</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in weighting observations rather than events, and in the individual controls, so the two need not coincide exactly. Without the controls the regression is numerically the regression on unit-month cell means, and the controls move no school–work coefficient by more than a quarter of a point and no wage or earnings coefficient by more than about a point. Appendix C reports the two-way fixed effects regression of the outcome on the log minimum wage, the specification of Neumark and Shupe (2019) and Smith (2021), and shows where it agrees with the event design and where it does not.</w:t>
      </w:r>
    </w:p>
    <w:bookmarkEnd w:id="34"/>
    <w:bookmarkEnd w:id="35"/>
    <w:bookmarkStart w:id="68" w:name="results"/>
    <w:p>
      <w:pPr>
        <w:pStyle w:val="Heading1"/>
      </w:pPr>
      <w:r>
        <w:t xml:space="preserve">5 Results</w:t>
      </w:r>
    </w:p>
    <w:bookmarkStart w:id="39"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neither enrolled nor employed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0.3</m:t>
        </m:r>
      </m:oMath>
      <w:r>
        <w:t xml:space="preserve"> </w:t>
      </w:r>
      <w:r>
        <w:t xml:space="preserve">(0.4) and</w:t>
      </w:r>
      <w:r>
        <w:t xml:space="preserve"> </w:t>
      </w:r>
      <m:oMath>
        <m:r>
          <m:rPr>
            <m:sty m:val="p"/>
          </m:rPr>
          <m:t>+</m:t>
        </m:r>
        <m:r>
          <m:t>0.1</m:t>
        </m:r>
      </m:oMath>
      <w:r>
        <w:t xml:space="preserve"> </w:t>
      </w:r>
      <w:r>
        <w:t xml:space="preserve">(0.9), so the 95 percent intervals exclude a fall larger than 1.1 points at the younger ages and 1.6 at the older; employment by</w:t>
      </w:r>
      <w:r>
        <w:t xml:space="preserve"> </w:t>
      </w:r>
      <m:oMath>
        <m:r>
          <m:rPr>
            <m:sty m:val="p"/>
          </m:rPr>
          <m:t>−</m:t>
        </m:r>
        <m:r>
          <m:t>0.1</m:t>
        </m:r>
      </m:oMath>
      <w:r>
        <w:t xml:space="preserve"> </w:t>
      </w:r>
      <w:r>
        <w:t xml:space="preserve">(0.5) and</w:t>
      </w:r>
      <w:r>
        <w:t xml:space="preserve"> </w:t>
      </w:r>
      <m:oMath>
        <m:r>
          <m:rPr>
            <m:sty m:val="p"/>
          </m:rPr>
          <m:t>+</m:t>
        </m:r>
        <m:r>
          <m:t>1.0</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0.1</m:t>
        </m:r>
      </m:oMath>
      <w:r>
        <w:t xml:space="preserve"> </w:t>
      </w:r>
      <w:r>
        <w:t xml:space="preserve">(0.5) and</w:t>
      </w:r>
      <w:r>
        <w:t xml:space="preserve"> </w:t>
      </w:r>
      <m:oMath>
        <m:r>
          <m:rPr>
            <m:sty m:val="p"/>
          </m:rPr>
          <m:t>−</m:t>
        </m:r>
        <m:r>
          <m:t>0.7</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0.1</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73 events from 2010</w:t>
      </w:r>
    </w:p>
    <w:tbl>
      <w:tblPr>
        <w:tblStyle w:val="Table"/>
        <w:tblW w:type="dxa" w:w="9360"/>
        <w:tblLook w:firstRow="1" w:lastRow="0" w:firstColumn="0" w:lastColumn="0" w:noHBand="0" w:noVBand="0" w:val="0020"/>
        <w:jc w:val="start"/>
        <w:tblCaption w:val="Table 2: Stacked difference-in-differences estimates for teen school–work statu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jc w:val="left"/>
            </w:pPr>
            <w:r>
              <w:t xml:space="preserve">Enrolled</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teen observations stacked over the 73 events with their clean controls, 36 months before to 47 months after the increase, event-by-unit and event-by-month fixed effects, dummies for age, sex, race and Hispanic origin and family income category, survey weights.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2051538"/>
                  <wp:effectExtent b="0" l="0" r="0" t="0"/>
                  <wp:docPr descr="" title="" id="37" name="Picture"/>
                  <a:graphic>
                    <a:graphicData uri="http://schemas.openxmlformats.org/drawingml/2006/picture">
                      <pic:pic>
                        <pic:nvPicPr>
                          <pic:cNvPr descr="figures/figR1_groups.png" id="38" name="Picture"/>
                          <pic:cNvPicPr>
                            <a:picLocks noChangeArrowheads="1" noChangeAspect="1"/>
                          </pic:cNvPicPr>
                        </pic:nvPicPr>
                        <pic:blipFill>
                          <a:blip r:embed="rId36"/>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73 events from 2010</w:t>
      </w:r>
    </w:p>
    <w:bookmarkEnd w:id="39"/>
    <w:bookmarkStart w:id="43"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(45 percent of teens were below $50,000 in 2007,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0.6</m:t>
        </m:r>
      </m:oMath>
      <w:r>
        <w:t xml:space="preserve"> </w:t>
      </w:r>
      <w:r>
        <w:t xml:space="preserve">(0.8) at 18–19, enrolled-only by</w:t>
      </w:r>
      <w:r>
        <w:t xml:space="preserve"> </w:t>
      </w:r>
      <m:oMath>
        <m:r>
          <m:rPr>
            <m:sty m:val="p"/>
          </m:rPr>
          <m:t>−</m:t>
        </m:r>
        <m:r>
          <m:t>0.5</m:t>
        </m:r>
      </m:oMath>
      <w:r>
        <w:t xml:space="preserve"> </w:t>
      </w:r>
      <w:r>
        <w:t xml:space="preserve">(1.0) and</w:t>
      </w:r>
      <w:r>
        <w:t xml:space="preserve"> </w:t>
      </w:r>
      <m:oMath>
        <m:r>
          <m:rPr>
            <m:sty m:val="p"/>
          </m:rPr>
          <m:t>−</m:t>
        </m:r>
        <m:r>
          <m:t>0.2</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0.6</m:t>
        </m:r>
      </m:oMath>
      <w:r>
        <w:t xml:space="preserve"> </w:t>
      </w:r>
      <w:r>
        <w:t xml:space="preserve">(1.1), neither by</w:t>
      </w:r>
      <w:r>
        <w:t xml:space="preserve"> </w:t>
      </w:r>
      <m:oMath>
        <m:r>
          <m:rPr>
            <m:sty m:val="p"/>
          </m:rPr>
          <m:t>+</m:t>
        </m:r>
        <m:r>
          <m:t>0.3</m:t>
        </m:r>
      </m:oMath>
      <w:r>
        <w:t xml:space="preserve"> </w:t>
      </w:r>
      <w:r>
        <w:t xml:space="preserve">(0.5) and</w:t>
      </w:r>
      <w:r>
        <w:t xml:space="preserve"> </w:t>
      </w:r>
      <m:oMath>
        <m:r>
          <m:rPr>
            <m:sty m:val="p"/>
          </m:rPr>
          <m:t>−</m:t>
        </m:r>
        <m:r>
          <m:t>1.0</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0.9</m:t>
        </m:r>
      </m:oMath>
      <w:r>
        <w:t xml:space="preserve"> </w:t>
      </w:r>
      <w:r>
        <w:t xml:space="preserve">(0.9),</w:t>
      </w:r>
      <w:r>
        <w:t xml:space="preserve"> </w:t>
      </w:r>
      <m:oMath>
        <m:r>
          <m:rPr>
            <m:sty m:val="p"/>
          </m:rPr>
          <m:t>+</m:t>
        </m:r>
        <m:r>
          <m:t>0.2</m:t>
        </m:r>
      </m:oMath>
      <w:r>
        <w:t xml:space="preserve"> </w:t>
      </w:r>
      <w:r>
        <w:t xml:space="preserve">(0.6) and</w:t>
      </w:r>
      <w:r>
        <w:t xml:space="preserve"> </w:t>
      </w:r>
      <m:oMath>
        <m:r>
          <m:rPr>
            <m:sty m:val="p"/>
          </m:rPr>
          <m:t>−</m:t>
        </m:r>
        <m:r>
          <m:t>0.6</m:t>
        </m:r>
      </m:oMath>
      <w:r>
        <w:t xml:space="preserve"> </w:t>
      </w:r>
      <w:r>
        <w:t xml:space="preserve">(0.8),</w:t>
      </w:r>
      <w:r>
        <w:t xml:space="preserve"> </w:t>
      </w:r>
      <m:oMath>
        <m:r>
          <m:rPr>
            <m:sty m:val="p"/>
          </m:rPr>
          <m:t>+</m:t>
        </m:r>
        <m:r>
          <m:t>0.5</m:t>
        </m:r>
      </m:oMath>
      <w:r>
        <w:t xml:space="preserve"> </w:t>
      </w:r>
      <w:r>
        <w:t xml:space="preserve">(0.3) and</w:t>
      </w:r>
      <w:r>
        <w:t xml:space="preserve"> </w:t>
      </w:r>
      <m:oMath>
        <m:r>
          <m:rPr>
            <m:sty m:val="p"/>
          </m:rPr>
          <m:t>+</m:t>
        </m:r>
        <m:r>
          <m:t>0.3</m:t>
        </m:r>
      </m:oMath>
      <w:r>
        <w:t xml:space="preserve"> </w:t>
      </w:r>
      <w:r>
        <w:t xml:space="preserve">(0.9),</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(0.6). Enrollment among low-income teens changes by</w:t>
      </w:r>
      <w:r>
        <w:t xml:space="preserve"> </w:t>
      </w:r>
      <m:oMath>
        <m:r>
          <m:rPr>
            <m:sty m:val="p"/>
          </m:rPr>
          <m:t>−</m:t>
        </m:r>
        <m:r>
          <m:t>0.1</m:t>
        </m:r>
      </m:oMath>
      <w:r>
        <w:t xml:space="preserve"> </w:t>
      </w:r>
      <w:r>
        <w:t xml:space="preserve">(0.6) at 16–17 and</w:t>
      </w:r>
      <w:r>
        <w:t xml:space="preserve"> </w:t>
      </w:r>
      <m:oMath>
        <m:r>
          <m:rPr>
            <m:sty m:val="p"/>
          </m:rPr>
          <m:t>+</m:t>
        </m:r>
        <m:r>
          <m:t>0.4</m:t>
        </m:r>
      </m:oMath>
      <w:r>
        <w:t xml:space="preserve"> </w:t>
      </w:r>
      <w:r>
        <w:t xml:space="preserve">(1.2) at 18–19. The low-minus-high differences are within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1.1 points.</w:t>
      </w:r>
    </w:p>
    <w:p>
      <w:pPr>
        <w:pStyle w:val="BodyText"/>
      </w:pPr>
      <w:r>
        <w:t xml:space="preserve">The stacked coefficients in Table 3 repeat the pattern within each income group. The only coefficient beyond two standard errors is employed-only among high-income 16–17 year olds,</w:t>
      </w:r>
      <w:r>
        <w:t xml:space="preserve"> </w:t>
      </w:r>
      <m:oMath>
        <m:r>
          <m:rPr>
            <m:sty m:val="p"/>
          </m:rPr>
          <m:t>+</m:t>
        </m:r>
        <m:r>
          <m:t>0.5</m:t>
        </m:r>
      </m:oMath>
      <w:r>
        <w:t xml:space="preserve"> </w:t>
      </w:r>
      <w:r>
        <w:t xml:space="preserve">points (s.e. 0.2), a rise; the neither share changes by</w:t>
      </w:r>
      <w:r>
        <w:t xml:space="preserve"> </w:t>
      </w:r>
      <m:oMath>
        <m:r>
          <m:rPr>
            <m:sty m:val="p"/>
          </m:rPr>
          <m:t>−</m:t>
        </m:r>
        <m:r>
          <m:t>0.3</m:t>
        </m:r>
      </m:oMath>
      <w:r>
        <w:t xml:space="preserve"> </w:t>
      </w:r>
      <w:r>
        <w:t xml:space="preserve">(0.5) for low-income and</w:t>
      </w:r>
      <w:r>
        <w:t xml:space="preserve"> </w:t>
      </w:r>
      <m:oMath>
        <m:r>
          <m:rPr>
            <m:sty m:val="p"/>
          </m:rPr>
          <m:t>−</m:t>
        </m:r>
        <m:r>
          <m:t>0.1</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dxa" w:w="9360"/>
        <w:tblLook w:firstRow="0" w:lastRow="0" w:firstColumn="0" w:lastColumn="0" w:noHBand="0" w:noVBand="0" w:val="0000"/>
        <w:jc w:val="start"/>
        <w:tblCaption w:val="Table 3: Stacked difference-in-differences estimates for school–work statu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0.005</w:t>
            </w:r>
            <w:r>
              <w:rPr>
                <w:vertAlign w:val="superscript"/>
              </w:rPr>
              <w:t xml:space="preserve">**</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1" name="Picture"/>
            <a:graphic>
              <a:graphicData uri="http://schemas.openxmlformats.org/drawingml/2006/picture">
                <pic:pic>
                  <pic:nvPicPr>
                    <pic:cNvPr descr="figures/figR2_groups_ses.png" id="42" name="Picture"/>
                    <pic:cNvPicPr>
                      <a:picLocks noChangeArrowheads="1" noChangeAspect="1"/>
                    </pic:cNvPicPr>
                  </pic:nvPicPr>
                  <pic:blipFill>
                    <a:blip r:embed="rId40"/>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3"/>
    <w:bookmarkStart w:id="47" w:name="school-and-work-by-sex"/>
    <w:p>
      <w:pPr>
        <w:pStyle w:val="Heading2"/>
      </w:pPr>
      <w:r>
        <w:t xml:space="preserve">5.3 School and work by sex</w:t>
      </w:r>
    </w:p>
    <w:p>
      <w:pPr>
        <w:pStyle w:val="FirstParagraph"/>
      </w:pPr>
      <w:r>
        <w:t xml:space="preserve">Girls and boys differ on both margins that the theory of Section 2 turns on. Over 2010–2026, 77 percent of 16–19 year old girls are enrolled and 31 percent employed, against 74 and 29 percent of boys, and hourly-paid girls earn $10.84 an hour against $11.71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cell in the paper where the shares move is girls aged 16–17. Their share enrolled and employed falls by 1.3 points (s.e. 0.5) and their employment by the same 1.3 (0.5), with pre-event averages of 0.0, and their share enrolled only rises by 1.2 (0.7), so enrollment is unchanged (</w:t>
      </w:r>
      <m:oMath>
        <m:r>
          <m:rPr>
            <m:sty m:val="p"/>
          </m:rPr>
          <m:t>−</m:t>
        </m:r>
        <m:r>
          <m:t>0.1</m:t>
        </m:r>
      </m:oMath>
      <w:r>
        <w:t xml:space="preserve">, s.e. 0.5) and the movement is out of work and into school only, the shift that Neumark and Shupe (2019) describe. Boys of the same age move the other way,</w:t>
      </w:r>
      <w:r>
        <w:t xml:space="preserve"> </w:t>
      </w:r>
      <m:oMath>
        <m:r>
          <m:rPr>
            <m:sty m:val="p"/>
          </m:rPr>
          <m:t>+</m:t>
        </m:r>
        <m:r>
          <m:t>0.8</m:t>
        </m:r>
      </m:oMath>
      <w:r>
        <w:t xml:space="preserve"> </w:t>
      </w:r>
      <w:r>
        <w:t xml:space="preserve">(1.0) on enrolled-and-employed and</w:t>
      </w:r>
      <w:r>
        <w:t xml:space="preserve"> </w:t>
      </w:r>
      <m:oMath>
        <m:r>
          <m:rPr>
            <m:sty m:val="p"/>
          </m:rPr>
          <m:t>+</m:t>
        </m:r>
        <m:r>
          <m:t>1.2</m:t>
        </m:r>
      </m:oMath>
      <w:r>
        <w:t xml:space="preserve"> </w:t>
      </w:r>
      <w:r>
        <w:t xml:space="preserve">(0.9) on employment, so the girl–boy difference on employment is</w:t>
      </w:r>
      <w:r>
        <w:t xml:space="preserve"> </w:t>
      </w:r>
      <m:oMath>
        <m:r>
          <m:rPr>
            <m:sty m:val="p"/>
          </m:rPr>
          <m:t>−</m:t>
        </m:r>
        <m:r>
          <m:t>2.5</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0.5</m:t>
        </m:r>
      </m:oMath>
      <w:r>
        <w:t xml:space="preserve"> </w:t>
      </w:r>
      <w:r>
        <w:t xml:space="preserve">(0.9),</w:t>
      </w:r>
      <w:r>
        <w:t xml:space="preserve"> </w:t>
      </w:r>
      <m:oMath>
        <m:r>
          <m:rPr>
            <m:sty m:val="p"/>
          </m:rPr>
          <m:t>−</m:t>
        </m:r>
        <m:r>
          <m:t>0.2</m:t>
        </m:r>
      </m:oMath>
      <w:r>
        <w:t xml:space="preserve"> </w:t>
      </w:r>
      <w:r>
        <w:t xml:space="preserve">(0.9) and</w:t>
      </w:r>
      <w:r>
        <w:t xml:space="preserve"> </w:t>
      </w:r>
      <m:oMath>
        <m:r>
          <m:rPr>
            <m:sty m:val="p"/>
          </m:rPr>
          <m:t>−</m:t>
        </m:r>
        <m:r>
          <m:t>1.1</m:t>
        </m:r>
      </m:oMath>
      <w:r>
        <w:t xml:space="preserve"> </w:t>
      </w:r>
      <w:r>
        <w:t xml:space="preserve">(0.8), with pre-event averages of the same size and sign (</w:t>
      </w:r>
      <m:oMath>
        <m:r>
          <m:rPr>
            <m:sty m:val="p"/>
          </m:rPr>
          <m:t>+</m:t>
        </m:r>
        <m:r>
          <m:t>1.4</m:t>
        </m:r>
      </m:oMath>
      <w:r>
        <w:t xml:space="preserve">,</w:t>
      </w:r>
      <w:r>
        <w:t xml:space="preserve"> </w:t>
      </w:r>
      <m:oMath>
        <m:r>
          <m:rPr>
            <m:sty m:val="p"/>
          </m:rPr>
          <m:t>+</m:t>
        </m:r>
        <m:r>
          <m:t>1.8</m:t>
        </m:r>
      </m:oMath>
      <w:r>
        <w:t xml:space="preserve">,</w:t>
      </w:r>
      <w:r>
        <w:t xml:space="preserve"> </w:t>
      </w:r>
      <m:oMath>
        <m:r>
          <m:rPr>
            <m:sty m:val="p"/>
          </m:rPr>
          <m:t>−</m:t>
        </m:r>
        <m:r>
          <m:t>1.8</m:t>
        </m:r>
      </m:oMath>
      <w:r>
        <w:t xml:space="preserve">,</w:t>
      </w:r>
      <w:r>
        <w:t xml:space="preserve"> </w:t>
      </w:r>
      <m:oMath>
        <m:r>
          <m:rPr>
            <m:sty m:val="p"/>
          </m:rPr>
          <m:t>−</m:t>
        </m:r>
        <m:r>
          <m:t>1.4</m:t>
        </m:r>
      </m:oMath>
      <w:r>
        <w:t xml:space="preserve">), which is drift rather than response, and boys’ by</w:t>
      </w:r>
      <w:r>
        <w:t xml:space="preserve"> </w:t>
      </w:r>
      <m:oMath>
        <m:r>
          <m:rPr>
            <m:sty m:val="p"/>
          </m:rPr>
          <m:t>+</m:t>
        </m:r>
        <m:r>
          <m:t>0.5</m:t>
        </m:r>
      </m:oMath>
      <w:r>
        <w:t xml:space="preserve"> </w:t>
      </w:r>
      <w:r>
        <w:t xml:space="preserve">(0.7),</w:t>
      </w:r>
      <w:r>
        <w:t xml:space="preserve"> </w:t>
      </w:r>
      <m:oMath>
        <m:r>
          <m:rPr>
            <m:sty m:val="p"/>
          </m:rPr>
          <m:t>−</m:t>
        </m:r>
        <m:r>
          <m:t>1.6</m:t>
        </m:r>
      </m:oMath>
      <w:r>
        <w:t xml:space="preserve"> </w:t>
      </w:r>
      <w:r>
        <w:t xml:space="preserve">(0.9),</w:t>
      </w:r>
      <w:r>
        <w:t xml:space="preserve"> </w:t>
      </w:r>
      <m:oMath>
        <m:r>
          <m:rPr>
            <m:sty m:val="p"/>
          </m:rPr>
          <m:t>+</m:t>
        </m:r>
        <m:r>
          <m:t>0.9</m:t>
        </m:r>
      </m:oMath>
      <w:r>
        <w:t xml:space="preserve"> </w:t>
      </w:r>
      <w:r>
        <w:t xml:space="preserve">(0.9) and</w:t>
      </w:r>
      <w:r>
        <w:t xml:space="preserve"> </w:t>
      </w:r>
      <m:oMath>
        <m:r>
          <m:rPr>
            <m:sty m:val="p"/>
          </m:rPr>
          <m:t>+</m:t>
        </m:r>
        <m:r>
          <m:t>0.1</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(0.6). The girls’ estimate at 16–17 is one of 36 cells in the sex split and the only one beyond two standard errors; the wage first stage for girls at that age, 5.4 percent (1.9), is no larger than boys’ 4.7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1.2</m:t>
        </m:r>
      </m:oMath>
      <w:r>
        <w:t xml:space="preserve"> </w:t>
      </w:r>
      <w:r>
        <w:t xml:space="preserve">points (s.e. 0.6) and enrolled-only by</w:t>
      </w:r>
      <w:r>
        <w:t xml:space="preserve"> </w:t>
      </w:r>
      <m:oMath>
        <m:r>
          <m:rPr>
            <m:sty m:val="p"/>
          </m:rPr>
          <m:t>+</m:t>
        </m:r>
        <m:r>
          <m:t>1.0</m:t>
        </m:r>
      </m:oMath>
      <w:r>
        <w:t xml:space="preserve"> </w:t>
      </w:r>
      <w:r>
        <w:t xml:space="preserve">(0.7); boys’ by</w:t>
      </w:r>
      <w:r>
        <w:t xml:space="preserve"> </w:t>
      </w:r>
      <m:oMath>
        <m:r>
          <m:rPr>
            <m:sty m:val="p"/>
          </m:rPr>
          <m:t>+</m:t>
        </m:r>
        <m:r>
          <m:t>1.0</m:t>
        </m:r>
      </m:oMath>
      <w:r>
        <w:t xml:space="preserve"> </w:t>
      </w:r>
      <w:r>
        <w:t xml:space="preserve">(0.6) and</w:t>
      </w:r>
      <w:r>
        <w:t xml:space="preserve"> </w:t>
      </w:r>
      <m:oMath>
        <m:r>
          <m:rPr>
            <m:sty m:val="p"/>
          </m:rPr>
          <m:t>−</m:t>
        </m:r>
        <m:r>
          <m:t>1.2</m:t>
        </m:r>
      </m:oMath>
      <w:r>
        <w:t xml:space="preserve"> </w:t>
      </w:r>
      <w:r>
        <w:t xml:space="preserve">(0.6). At 18–19 girls’ four shares change by</w:t>
      </w:r>
      <w:r>
        <w:t xml:space="preserve"> </w:t>
      </w:r>
      <m:oMath>
        <m:r>
          <m:rPr>
            <m:sty m:val="p"/>
          </m:rPr>
          <m:t>−</m:t>
        </m:r>
        <m:r>
          <m:t>0.2</m:t>
        </m:r>
      </m:oMath>
      <w:r>
        <w:t xml:space="preserve"> </w:t>
      </w:r>
      <w:r>
        <w:t xml:space="preserve">(0.6),</w:t>
      </w:r>
      <w:r>
        <w:t xml:space="preserve"> </w:t>
      </w:r>
      <m:oMath>
        <m:r>
          <m:rPr>
            <m:sty m:val="p"/>
          </m:rPr>
          <m:t>−</m:t>
        </m:r>
        <m:r>
          <m:t>0.4</m:t>
        </m:r>
      </m:oMath>
      <w:r>
        <w:t xml:space="preserve"> </w:t>
      </w:r>
      <w:r>
        <w:t xml:space="preserve">(0.8),</w:t>
      </w:r>
      <w:r>
        <w:t xml:space="preserve"> </w:t>
      </w:r>
      <m:oMath>
        <m:r>
          <m:rPr>
            <m:sty m:val="p"/>
          </m:rPr>
          <m:t>+</m:t>
        </m:r>
        <m:r>
          <m:t>0.7</m:t>
        </m:r>
      </m:oMath>
      <w:r>
        <w:t xml:space="preserve"> </w:t>
      </w:r>
      <w:r>
        <w:t xml:space="preserve">(0.7) and</w:t>
      </w:r>
      <w:r>
        <w:t xml:space="preserve"> </w:t>
      </w:r>
      <m:oMath>
        <m:r>
          <m:rPr>
            <m:sty m:val="p"/>
          </m:rPr>
          <m:t>−</m:t>
        </m:r>
        <m:r>
          <m:t>0.1</m:t>
        </m:r>
      </m:oMath>
      <w:r>
        <w:t xml:space="preserve"> </w:t>
      </w:r>
      <w:r>
        <w:t xml:space="preserve">(0.5), and boys’ by</w:t>
      </w:r>
      <w:r>
        <w:t xml:space="preserve"> </w:t>
      </w:r>
      <m:oMath>
        <m:r>
          <m:rPr>
            <m:sty m:val="p"/>
          </m:rPr>
          <m:t>+</m:t>
        </m:r>
        <m:r>
          <m:t>1.0</m:t>
        </m:r>
      </m:oMath>
      <w:r>
        <w:t xml:space="preserve"> </w:t>
      </w:r>
      <w:r>
        <w:t xml:space="preserve">(0.6),</w:t>
      </w:r>
      <w:r>
        <w:t xml:space="preserve"> </w:t>
      </w:r>
      <m:oMath>
        <m:r>
          <m:rPr>
            <m:sty m:val="p"/>
          </m:rPr>
          <m:t>−</m:t>
        </m:r>
        <m:r>
          <m:t>0.9</m:t>
        </m:r>
      </m:oMath>
      <w:r>
        <w:t xml:space="preserve"> </w:t>
      </w:r>
      <w:r>
        <w:t xml:space="preserve">(0.7),</w:t>
      </w:r>
      <w:r>
        <w:t xml:space="preserve"> </w:t>
      </w:r>
      <m:oMath>
        <m:r>
          <m:rPr>
            <m:sty m:val="p"/>
          </m:rPr>
          <m:t>+</m:t>
        </m:r>
        <m:r>
          <m:t>0.3</m:t>
        </m:r>
      </m:oMath>
      <w:r>
        <w:t xml:space="preserve"> </w:t>
      </w:r>
      <w:r>
        <w:t xml:space="preserve">(0.7) and</w:t>
      </w:r>
      <w:r>
        <w:t xml:space="preserve"> </w:t>
      </w:r>
      <m:oMath>
        <m:r>
          <m:rPr>
            <m:sty m:val="p"/>
          </m:rPr>
          <m:t>−</m:t>
        </m:r>
        <m:r>
          <m:t>0.4</m:t>
        </m:r>
      </m:oMath>
      <w:r>
        <w:t xml:space="preserve"> </w:t>
      </w:r>
      <w:r>
        <w:t xml:space="preserve">(0.5). Pooling the ages, boys shift about a point from enrolled-only to enrolled-and-employed (</w:t>
      </w:r>
      <m:oMath>
        <m:r>
          <m:rPr>
            <m:sty m:val="p"/>
          </m:rPr>
          <m:t>+</m:t>
        </m:r>
        <m:r>
          <m:t>1.0</m:t>
        </m:r>
      </m:oMath>
      <w:r>
        <w:t xml:space="preserve">, s.e. 0.5, and</w:t>
      </w:r>
      <w:r>
        <w:t xml:space="preserve"> </w:t>
      </w:r>
      <m:oMath>
        <m:r>
          <m:rPr>
            <m:sty m:val="p"/>
          </m:rPr>
          <m:t>−</m:t>
        </m:r>
        <m:r>
          <m:t>1.1</m:t>
        </m:r>
      </m:oMath>
      <w:r>
        <w:t xml:space="preserve">, 0.5) and girls about half a point the other way (</w:t>
      </w:r>
      <m:oMath>
        <m:r>
          <m:rPr>
            <m:sty m:val="p"/>
          </m:rPr>
          <m:t>−</m:t>
        </m:r>
        <m:r>
          <m:t>0.7</m:t>
        </m:r>
      </m:oMath>
      <w:r>
        <w:t xml:space="preserve">, 0.4, and</w:t>
      </w:r>
      <w:r>
        <w:t xml:space="preserve"> </w:t>
      </w:r>
      <m:oMath>
        <m:r>
          <m:rPr>
            <m:sty m:val="p"/>
          </m:rPr>
          <m:t>+</m:t>
        </m:r>
        <m:r>
          <m:t>0.3</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dxa" w:w="9360"/>
        <w:tblLook w:firstRow="0" w:lastRow="0" w:firstColumn="0" w:lastColumn="0" w:noHBand="0" w:noVBand="0" w:val="0000"/>
        <w:jc w:val="start"/>
        <w:tblCaption w:val="Table 4: Stacked difference-in-differences estimates for school–work statu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0.010</w:t>
            </w:r>
            <w:r>
              <w:rPr>
                <w:vertAlign w:val="superscript"/>
              </w:rPr>
              <w:t xml:space="preserve">*</w:t>
            </w:r>
          </w:p>
        </w:tc>
        <w:tc>
          <w:tcPr/>
          <w:p>
            <w:pPr>
              <w:pStyle w:val="Compact"/>
              <w:jc w:val="left"/>
            </w:pPr>
            <w:r>
              <w:t xml:space="preserve">-0.002</w:t>
            </w:r>
          </w:p>
        </w:tc>
        <w:tc>
          <w:tcPr/>
          <w:p>
            <w:pPr>
              <w:pStyle w:val="Compact"/>
              <w:jc w:val="left"/>
            </w:pPr>
            <w:r>
              <w:t xml:space="preserve">0.010</w:t>
            </w:r>
          </w:p>
        </w:tc>
        <w:tc>
          <w:tcPr/>
          <w:p>
            <w:pPr>
              <w:pStyle w:val="Compact"/>
              <w:jc w:val="left"/>
            </w:pPr>
            <w:r>
              <w:t xml:space="preserve">-0.007</w:t>
            </w:r>
            <w:r>
              <w:rPr>
                <w:vertAlign w:val="superscript"/>
              </w:rPr>
              <w:t xml:space="preserve">*</w:t>
            </w:r>
          </w:p>
        </w:tc>
        <w:tc>
          <w:tcPr/>
          <w:p>
            <w:pPr>
              <w:pStyle w:val="Compact"/>
              <w:jc w:val="left"/>
            </w:pPr>
            <w:r>
              <w:t xml:space="preserve">0.010</w:t>
            </w:r>
            <w:r>
              <w:rPr>
                <w:vertAlign w:val="superscript"/>
              </w:rPr>
              <w:t xml:space="preserve">**</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0.010</w:t>
            </w:r>
          </w:p>
        </w:tc>
        <w:tc>
          <w:tcPr/>
          <w:p>
            <w:pPr>
              <w:pStyle w:val="Compact"/>
              <w:jc w:val="left"/>
            </w:pPr>
            <w:r>
              <w:t xml:space="preserve">-0.012</w:t>
            </w:r>
            <w:r>
              <w:rPr>
                <w:vertAlign w:val="superscript"/>
              </w:rPr>
              <w:t xml:space="preserve">**</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0.006</w:t>
            </w:r>
            <w:r>
              <w:rPr>
                <w:vertAlign w:val="superscript"/>
              </w:rPr>
              <w:t xml:space="preserve">**</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(0.003)</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5" name="Picture"/>
            <a:graphic>
              <a:graphicData uri="http://schemas.openxmlformats.org/drawingml/2006/picture">
                <pic:pic>
                  <pic:nvPicPr>
                    <pic:cNvPr descr="figures/figR2_groups_sex.png" id="46" name="Picture"/>
                    <pic:cNvPicPr>
                      <a:picLocks noChangeArrowheads="1" noChangeAspect="1"/>
                    </pic:cNvPicPr>
                  </pic:nvPicPr>
                  <pic:blipFill>
                    <a:blip r:embed="rId4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7"/>
    <w:bookmarkStart w:id="51" w:name="school-and-work-by-race"/>
    <w:p>
      <w:pPr>
        <w:pStyle w:val="Heading2"/>
      </w:pPr>
      <w:r>
        <w:t xml:space="preserve">5.4 School and work by race</w:t>
      </w:r>
    </w:p>
    <w:p>
      <w:pPr>
        <w:pStyle w:val="FirstParagraph"/>
      </w:pPr>
      <w:r>
        <w:t xml:space="preserve">Non-Hispanic white teens are 53 percent of 16–19 year olds over 2010–2026; the rest are Hispanic (half of the non-white group), Black (a third) and other. The two groups enroll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(1.0),</w:t>
      </w:r>
      <w:r>
        <w:t xml:space="preserve"> </w:t>
      </w:r>
      <m:oMath>
        <m:r>
          <m:rPr>
            <m:sty m:val="p"/>
          </m:rPr>
          <m:t>−</m:t>
        </m:r>
        <m:r>
          <m:t>0.9</m:t>
        </m:r>
      </m:oMath>
      <w:r>
        <w:t xml:space="preserve"> </w:t>
      </w:r>
      <w:r>
        <w:t xml:space="preserve">(0.8),</w:t>
      </w:r>
      <w:r>
        <w:t xml:space="preserve"> </w:t>
      </w:r>
      <m:oMath>
        <m:r>
          <m:rPr>
            <m:sty m:val="p"/>
          </m:rPr>
          <m:t>+</m:t>
        </m:r>
        <m:r>
          <m:t>0.6</m:t>
        </m:r>
      </m:oMath>
      <w:r>
        <w:t xml:space="preserve"> </w:t>
      </w:r>
      <w:r>
        <w:t xml:space="preserve">(1.0) and</w:t>
      </w:r>
      <w:r>
        <w:t xml:space="preserve"> </w:t>
      </w:r>
      <m:oMath>
        <m:r>
          <m:rPr>
            <m:sty m:val="p"/>
          </m:rPr>
          <m:t>+</m:t>
        </m:r>
        <m:r>
          <m:t>0.3</m:t>
        </m:r>
      </m:oMath>
      <w:r>
        <w:t xml:space="preserve"> </w:t>
      </w:r>
      <w:r>
        <w:t xml:space="preserve">(0.7) at 18–19; for non-white teens by</w:t>
      </w:r>
      <w:r>
        <w:t xml:space="preserve"> </w:t>
      </w:r>
      <m:oMath>
        <m:r>
          <m:rPr>
            <m:sty m:val="p"/>
          </m:rPr>
          <m:t>−</m:t>
        </m:r>
        <m:r>
          <m:t>1.2</m:t>
        </m:r>
      </m:oMath>
      <w:r>
        <w:t xml:space="preserve"> </w:t>
      </w:r>
      <w:r>
        <w:t xml:space="preserve">(0.7),</w:t>
      </w:r>
      <w:r>
        <w:t xml:space="preserve"> </w:t>
      </w:r>
      <m:oMath>
        <m:r>
          <m:rPr>
            <m:sty m:val="p"/>
          </m:rPr>
          <m:t>+</m:t>
        </m:r>
        <m:r>
          <m:t>0.7</m:t>
        </m:r>
      </m:oMath>
      <w:r>
        <w:t xml:space="preserve"> </w:t>
      </w:r>
      <w:r>
        <w:t xml:space="preserve">(1.2),</w:t>
      </w:r>
      <w:r>
        <w:t xml:space="preserve"> </w:t>
      </w:r>
      <m:oMath>
        <m:r>
          <m:rPr>
            <m:sty m:val="p"/>
          </m:rPr>
          <m:t>+</m:t>
        </m:r>
        <m:r>
          <m:t>0.1</m:t>
        </m:r>
      </m:oMath>
      <w:r>
        <w:t xml:space="preserve"> </w:t>
      </w:r>
      <w:r>
        <w:t xml:space="preserve">(0.4) and</w:t>
      </w:r>
      <w:r>
        <w:t xml:space="preserve"> </w:t>
      </w:r>
      <m:oMath>
        <m:r>
          <m:rPr>
            <m:sty m:val="p"/>
          </m:rPr>
          <m:t>+</m:t>
        </m:r>
        <m:r>
          <m:t>0.3</m:t>
        </m:r>
      </m:oMath>
      <w:r>
        <w:t xml:space="preserve"> </w:t>
      </w:r>
      <w:r>
        <w:t xml:space="preserve">(0.5), and by</w:t>
      </w:r>
      <w:r>
        <w:t xml:space="preserve"> </w:t>
      </w:r>
      <m:oMath>
        <m:r>
          <m:rPr>
            <m:sty m:val="p"/>
          </m:rPr>
          <m:t>+</m:t>
        </m:r>
        <m:r>
          <m:t>1.1</m:t>
        </m:r>
      </m:oMath>
      <w:r>
        <w:t xml:space="preserve"> </w:t>
      </w:r>
      <w:r>
        <w:t xml:space="preserve">(0.7),</w:t>
      </w:r>
      <w:r>
        <w:t xml:space="preserve"> </w:t>
      </w:r>
      <m:oMath>
        <m:r>
          <m:rPr>
            <m:sty m:val="p"/>
          </m:rPr>
          <m:t>+</m:t>
        </m:r>
        <m:r>
          <m:t>0.2</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1.2</m:t>
        </m:r>
      </m:oMath>
      <w:r>
        <w:t xml:space="preserve"> </w:t>
      </w:r>
      <w:r>
        <w:t xml:space="preserve">(0.8). Enrollment of non-white teens changes by</w:t>
      </w:r>
      <w:r>
        <w:t xml:space="preserve"> </w:t>
      </w:r>
      <m:oMath>
        <m:r>
          <m:rPr>
            <m:sty m:val="p"/>
          </m:rPr>
          <m:t>−</m:t>
        </m:r>
        <m:r>
          <m:t>0.4</m:t>
        </m:r>
      </m:oMath>
      <w:r>
        <w:t xml:space="preserve"> </w:t>
      </w:r>
      <w:r>
        <w:t xml:space="preserve">(0.7) at 16–17 and</w:t>
      </w:r>
      <w:r>
        <w:t xml:space="preserve"> </w:t>
      </w:r>
      <m:oMath>
        <m:r>
          <m:rPr>
            <m:sty m:val="p"/>
          </m:rPr>
          <m:t>+</m:t>
        </m:r>
        <m:r>
          <m:t>1.2</m:t>
        </m:r>
      </m:oMath>
      <w:r>
        <w:t xml:space="preserve"> </w:t>
      </w:r>
      <w:r>
        <w:t xml:space="preserve">(1.0) at 18–19, employment by</w:t>
      </w:r>
      <w:r>
        <w:t xml:space="preserve"> </w:t>
      </w:r>
      <m:oMath>
        <m:r>
          <m:rPr>
            <m:sty m:val="p"/>
          </m:rPr>
          <m:t>−</m:t>
        </m:r>
        <m:r>
          <m:t>1.1</m:t>
        </m:r>
      </m:oMath>
      <w:r>
        <w:t xml:space="preserve"> </w:t>
      </w:r>
      <w:r>
        <w:t xml:space="preserve">(0.9) and</w:t>
      </w:r>
      <w:r>
        <w:t xml:space="preserve"> </w:t>
      </w:r>
      <m:oMath>
        <m:r>
          <m:rPr>
            <m:sty m:val="p"/>
          </m:rPr>
          <m:t>+</m:t>
        </m:r>
        <m:r>
          <m:t>1.0</m:t>
        </m:r>
      </m:oMath>
      <w:r>
        <w:t xml:space="preserve"> </w:t>
      </w:r>
      <w:r>
        <w:t xml:space="preserve">(1.3), and the pooled estimates are within half a point of zero for every share. The non-white enrolled-and-employed estimate at 16–17 has the sign of the girls’ estimate of Section 5.3, but it is under two standard errors, its pre-event average is</w:t>
      </w:r>
      <w:r>
        <w:t xml:space="preserve"> </w:t>
      </w:r>
      <m:oMath>
        <m:r>
          <m:rPr>
            <m:sty m:val="p"/>
          </m:rPr>
          <m:t>−</m:t>
        </m:r>
        <m:r>
          <m:t>0.3</m:t>
        </m:r>
      </m:oMath>
      <w:r>
        <w:t xml:space="preserve">, and the enrolled-only estimate beside it is</w:t>
      </w:r>
      <w:r>
        <w:t xml:space="preserve"> </w:t>
      </w:r>
      <m:oMath>
        <m:r>
          <m:rPr>
            <m:sty m:val="p"/>
          </m:rPr>
          <m:t>+</m:t>
        </m:r>
        <m:r>
          <m:t>0.7</m:t>
        </m:r>
      </m:oMath>
      <w:r>
        <w:t xml:space="preserve"> </w:t>
      </w:r>
      <w:r>
        <w:t xml:space="preserve">(1.2). The liquidity channel’s prediction, a rise in enrollment among the group with lower family incomes, does not appear: the non-white enrollment interval at 16–17 excludes a rise larger than 1.0 point. The stacked coefficients (Table 5) agree. At 16–17 the white shares change by</w:t>
      </w:r>
      <w:r>
        <w:t xml:space="preserve"> </w:t>
      </w:r>
      <m:oMath>
        <m:r>
          <m:rPr>
            <m:sty m:val="p"/>
          </m:rPr>
          <m:t>+</m:t>
        </m:r>
        <m:r>
          <m:t>0.4</m:t>
        </m:r>
      </m:oMath>
      <w:r>
        <w:t xml:space="preserve"> </w:t>
      </w:r>
      <w:r>
        <w:t xml:space="preserve">(s.e. 0.5),</w:t>
      </w:r>
      <w:r>
        <w:t xml:space="preserve"> </w:t>
      </w:r>
      <m:oMath>
        <m:r>
          <m:rPr>
            <m:sty m:val="p"/>
          </m:rPr>
          <m:t>−</m:t>
        </m:r>
        <m:r>
          <m:t>0.7</m:t>
        </m:r>
      </m:oMath>
      <w:r>
        <w:t xml:space="preserve"> </w:t>
      </w:r>
      <w:r>
        <w:t xml:space="preserve">(0.7),</w:t>
      </w:r>
      <w:r>
        <w:t xml:space="preserve"> </w:t>
      </w:r>
      <m:oMath>
        <m:r>
          <m:rPr>
            <m:sty m:val="p"/>
          </m:rPr>
          <m:t>+</m:t>
        </m:r>
        <m:r>
          <m:t>0.3</m:t>
        </m:r>
      </m:oMath>
      <w:r>
        <w:t xml:space="preserve"> </w:t>
      </w:r>
      <w:r>
        <w:t xml:space="preserve">(0.3) and</w:t>
      </w:r>
      <w:r>
        <w:t xml:space="preserve"> </w:t>
      </w:r>
      <m:oMath>
        <m:r>
          <m:rPr>
            <m:sty m:val="p"/>
          </m:rPr>
          <m:t>−</m:t>
        </m:r>
        <m:r>
          <m:t>0.0</m:t>
        </m:r>
      </m:oMath>
      <w:r>
        <w:t xml:space="preserve"> </w:t>
      </w:r>
      <w:r>
        <w:t xml:space="preserve">(0.4), and the non-white shares by</w:t>
      </w:r>
      <w:r>
        <w:t xml:space="preserve"> </w:t>
      </w:r>
      <m:oMath>
        <m:r>
          <m:rPr>
            <m:sty m:val="p"/>
          </m:rPr>
          <m:t>−</m:t>
        </m:r>
        <m:r>
          <m:t>0.6</m:t>
        </m:r>
      </m:oMath>
      <w:r>
        <w:t xml:space="preserve"> </w:t>
      </w:r>
      <w:r>
        <w:t xml:space="preserve">(0.5),</w:t>
      </w:r>
      <w:r>
        <w:t xml:space="preserve"> </w:t>
      </w:r>
      <m:oMath>
        <m:r>
          <m:rPr>
            <m:sty m:val="p"/>
          </m:rPr>
          <m:t>+</m:t>
        </m:r>
        <m:r>
          <m:t>0.6</m:t>
        </m:r>
      </m:oMath>
      <w:r>
        <w:t xml:space="preserve"> </w:t>
      </w:r>
      <w:r>
        <w:t xml:space="preserve">(0.8),</w:t>
      </w:r>
      <w:r>
        <w:t xml:space="preserve"> </w:t>
      </w:r>
      <m:oMath>
        <m:r>
          <m:rPr>
            <m:sty m:val="p"/>
          </m:rPr>
          <m:t>+</m:t>
        </m:r>
        <m:r>
          <m:t>0.3</m:t>
        </m:r>
      </m:oMath>
      <w:r>
        <w:t xml:space="preserve"> </w:t>
      </w:r>
      <w:r>
        <w:t xml:space="preserve">(0.3) and</w:t>
      </w:r>
      <w:r>
        <w:t xml:space="preserve"> </w:t>
      </w:r>
      <m:oMath>
        <m:r>
          <m:rPr>
            <m:sty m:val="p"/>
          </m:rPr>
          <m:t>−</m:t>
        </m:r>
        <m:r>
          <m:t>0.3</m:t>
        </m:r>
      </m:oMath>
      <w:r>
        <w:t xml:space="preserve"> </w:t>
      </w:r>
      <w:r>
        <w:t xml:space="preserve">(0.4). The one coefficient beyond two standard errors is non-white enrolled-and-employed at 18–19,</w:t>
      </w:r>
      <w:r>
        <w:t xml:space="preserve"> </w:t>
      </w:r>
      <m:oMath>
        <m:r>
          <m:rPr>
            <m:sty m:val="p"/>
          </m:rPr>
          <m:t>+</m:t>
        </m:r>
        <m:r>
          <m:t>1.6</m:t>
        </m:r>
      </m:oMath>
      <w:r>
        <w:t xml:space="preserve"> </w:t>
      </w:r>
      <w:r>
        <w:t xml:space="preserve">(0.3), a rise, beside</w:t>
      </w:r>
      <w:r>
        <w:t xml:space="preserve"> </w:t>
      </w:r>
      <m:oMath>
        <m:r>
          <m:rPr>
            <m:sty m:val="p"/>
          </m:rPr>
          <m:t>−</m:t>
        </m:r>
        <m:r>
          <m:t>0.7</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dxa" w:w="9360"/>
        <w:tblLook w:firstRow="0" w:lastRow="0" w:firstColumn="0" w:lastColumn="0" w:noHBand="0" w:noVBand="0" w:val="0000"/>
        <w:jc w:val="start"/>
        <w:tblCaption w:val="Table 5: Stacked difference-in-differences estimates for school–work statu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0.016</w:t>
            </w:r>
            <w:r>
              <w:rPr>
                <w:vertAlign w:val="superscript"/>
              </w:rPr>
              <w:t xml:space="preserve">***</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0.007</w:t>
            </w:r>
            <w:r>
              <w:rPr>
                <w:vertAlign w:val="superscript"/>
              </w:rPr>
              <w:t xml:space="preserve">*</w:t>
            </w:r>
          </w:p>
        </w:tc>
        <w:tc>
          <w:tcPr/>
          <w:p>
            <w:pPr>
              <w:pStyle w:val="Compact"/>
              <w:jc w:val="left"/>
            </w:pPr>
            <w:r>
              <w:t xml:space="preserve">-0.000</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9" name="Picture"/>
            <a:graphic>
              <a:graphicData uri="http://schemas.openxmlformats.org/drawingml/2006/picture">
                <pic:pic>
                  <pic:nvPicPr>
                    <pic:cNvPr descr="figures/figR2_groups_race.png" id="50" name="Picture"/>
                    <pic:cNvPicPr>
                      <a:picLocks noChangeArrowheads="1" noChangeAspect="1"/>
                    </pic:cNvPicPr>
                  </pic:nvPicPr>
                  <pic:blipFill>
                    <a:blip r:embed="rId48"/>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1"/>
    <w:bookmarkStart w:id="55"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1.8 percent in the year of the increase, 6.8 percent in the first full year after it, 5.5 percent in the second and 7.0 percent in the third for 16–17 year olds, and by 0.7, 3.6, 2.8 and 5.0 percent for 18–19 year olds; pooling the ages, by 0.9, 4.6, 3.6 and 6.0 percent. The post-event averages are 5.3 percent (s.e. 1.2), 3.0 percent (0.9) and 3.8 percent (0.9). The year-0 effect is small because that year averages up to eleven pre-increase months with the first months after, and because most schedules add their later steps in years 1 to 3; from year 1 the wage effect is five to seven standard errors from zero and grows with the schedule. The pre-event coefficients are within about one standard error of zero. Weekly earnings of all teen workers, which combine the wage with hours, rise by 4.9 percent (3.2) at 16–17 and 4.2 percent (2.4)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5.1 percent (s.e. 0.8) at 16–17, 3.0 (0.8) at 18–19 and 3.8 (0.7) pooled, next to the event-study averages of 5.3, 3.0 and 3.8; for weekly earnings they are 5.2 (2.4), 4.4 (1.4) and 4.8 (1.7).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73 events from 2010</w:t>
      </w:r>
    </w:p>
    <w:tbl>
      <w:tblPr>
        <w:tblStyle w:val="Table"/>
        <w:tblW w:type="dxa" w:w="9360"/>
        <w:tblLook w:firstRow="1" w:lastRow="0" w:firstColumn="0" w:lastColumn="0" w:noHBand="0" w:noVBand="0" w:val="0020"/>
        <w:jc w:val="start"/>
        <w:tblCaption w:val="Table 6: Stacked difference-in-differences estimates for teen wages and earning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0.051</w:t>
            </w:r>
            <w:r>
              <w:rPr>
                <w:vertAlign w:val="superscript"/>
              </w:rPr>
              <w:t xml:space="preserve">***</w:t>
            </w:r>
          </w:p>
        </w:tc>
        <w:tc>
          <w:tcPr/>
          <w:p>
            <w:pPr>
              <w:pStyle w:val="Compact"/>
              <w:jc w:val="left"/>
            </w:pPr>
            <w:r>
              <w:t xml:space="preserve">0.030</w:t>
            </w:r>
            <w:r>
              <w:rPr>
                <w:vertAlign w:val="superscript"/>
              </w:rPr>
              <w:t xml:space="preserve">***</w:t>
            </w:r>
          </w:p>
        </w:tc>
        <w:tc>
          <w:tcPr/>
          <w:p>
            <w:pPr>
              <w:pStyle w:val="Compact"/>
              <w:jc w:val="left"/>
            </w:pPr>
            <w:r>
              <w:t xml:space="preserve">0.038</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0.052</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0.048</w:t>
            </w:r>
            <w:r>
              <w:rPr>
                <w:vertAlign w:val="superscript"/>
              </w:rPr>
              <w:t xml:space="preserve">***</w:t>
            </w:r>
          </w:p>
        </w:tc>
      </w:tr>
      <w:tr>
        <w:tc>
          <w:tcPr/>
          <w:p>
            <w:pPr>
              <w:pStyle w:val="Compact"/>
            </w:pPr>
          </w:p>
        </w:tc>
        <w:tc>
          <w:tcPr/>
          <w:p>
            <w:pPr>
              <w:pStyle w:val="Compact"/>
              <w:jc w:val="left"/>
            </w:pPr>
            <w:r>
              <w:t xml:space="preserve">(0.024)</w:t>
            </w:r>
          </w:p>
        </w:tc>
        <w:tc>
          <w:tcPr/>
          <w:p>
            <w:pPr>
              <w:pStyle w:val="Compact"/>
              <w:jc w:val="left"/>
            </w:pPr>
            <w:r>
              <w:t xml:space="preserve">(0.014)</w:t>
            </w:r>
          </w:p>
        </w:tc>
        <w:tc>
          <w:tcPr/>
          <w:p>
            <w:pPr>
              <w:pStyle w:val="Compact"/>
              <w:jc w:val="left"/>
            </w:pPr>
            <w:r>
              <w:t xml:space="preserve">(0.017)</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3" name="Picture"/>
            <a:graphic>
              <a:graphicData uri="http://schemas.openxmlformats.org/drawingml/2006/picture">
                <pic:pic>
                  <pic:nvPicPr>
                    <pic:cNvPr descr="figures/figR3_wage.png" id="54" name="Picture"/>
                    <pic:cNvPicPr>
                      <a:picLocks noChangeArrowheads="1" noChangeAspect="1"/>
                    </pic:cNvPicPr>
                  </pic:nvPicPr>
                  <pic:blipFill>
                    <a:blip r:embed="rId52"/>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5"/>
    <w:bookmarkStart w:id="59"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4.4 percent (s.e. 1.1) and of high-income teens 3.6 percent (0.9). At 18–19 the gain is larger for low-income teens, 4.8 percent (1.2)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5.0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dxa" w:w="9360"/>
        <w:tblLook w:firstRow="0" w:lastRow="0" w:firstColumn="0" w:lastColumn="0" w:noHBand="0" w:noVBand="0" w:val="0000"/>
        <w:jc w:val="start"/>
        <w:tblCaption w:val="Table 7: Wages and earnings by family income: below versus at or above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0.058</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0.036</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(0.013)</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7.7 percent (s.e. 1.3) for low-income against 4.4 (0.9) for high-income teens at 16–17, 4.1 (1.1) against 2.3 (0.9) at 18–19, and 5.1 (1.1) against 3.2 (0.8) pooled.</w:t>
      </w:r>
    </w:p>
    <w:p>
      <w:pPr>
        <w:pStyle w:val="TableCaption"/>
      </w:pPr>
      <w:r>
        <w:t xml:space="preserve">Table 8: Stacked difference-in-differences estimates for wages and earnings by family income</w:t>
      </w:r>
    </w:p>
    <w:tbl>
      <w:tblPr>
        <w:tblStyle w:val="Table"/>
        <w:tblW w:type="dxa" w:w="9360"/>
        <w:tblLook w:firstRow="0" w:lastRow="0" w:firstColumn="0" w:lastColumn="0" w:noHBand="0" w:noVBand="0" w:val="0000"/>
        <w:jc w:val="start"/>
        <w:tblCaption w:val="Table 8: Stacked difference-in-differences estimates for wages and earning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0.077</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0.032</w:t>
            </w:r>
            <w:r>
              <w:rPr>
                <w:vertAlign w:val="superscript"/>
              </w:rPr>
              <w:t xml:space="preserve">***</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0.064</w:t>
            </w:r>
            <w:r>
              <w:rPr>
                <w:vertAlign w:val="superscript"/>
              </w:rPr>
              <w:t xml:space="preserve">*</w:t>
            </w:r>
          </w:p>
        </w:tc>
        <w:tc>
          <w:tcPr/>
          <w:p>
            <w:pPr>
              <w:pStyle w:val="Compact"/>
              <w:jc w:val="left"/>
            </w:pPr>
            <w:r>
              <w:t xml:space="preserve">0.060</w:t>
            </w:r>
            <w:r>
              <w:rPr>
                <w:vertAlign w:val="superscript"/>
              </w:rPr>
              <w:t xml:space="preserve">**</w:t>
            </w:r>
          </w:p>
        </w:tc>
        <w:tc>
          <w:tcPr/>
          <w:p>
            <w:pPr>
              <w:pStyle w:val="Compact"/>
              <w:jc w:val="left"/>
            </w:pPr>
            <w:r>
              <w:t xml:space="preserve">0.045</w:t>
            </w:r>
          </w:p>
        </w:tc>
        <w:tc>
          <w:tcPr/>
          <w:p>
            <w:pPr>
              <w:pStyle w:val="Compact"/>
              <w:jc w:val="left"/>
            </w:pPr>
            <w:r>
              <w:t xml:space="preserve">0.035</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(0.036)</w:t>
            </w:r>
          </w:p>
        </w:tc>
        <w:tc>
          <w:tcPr/>
          <w:p>
            <w:pPr>
              <w:pStyle w:val="Compact"/>
              <w:jc w:val="left"/>
            </w:pPr>
            <w:r>
              <w:t xml:space="preserve">(0.025)</w:t>
            </w:r>
          </w:p>
        </w:tc>
        <w:tc>
          <w:tcPr/>
          <w:p>
            <w:pPr>
              <w:pStyle w:val="Compact"/>
              <w:jc w:val="left"/>
            </w:pPr>
            <w:r>
              <w:t xml:space="preserve">(0.029)</w:t>
            </w:r>
          </w:p>
        </w:tc>
        <w:tc>
          <w:tcPr/>
          <w:p>
            <w:pPr>
              <w:pStyle w:val="Compact"/>
              <w:jc w:val="left"/>
            </w:pPr>
            <w:r>
              <w:t xml:space="preserve">(0.015)</w:t>
            </w:r>
          </w:p>
        </w:tc>
        <w:tc>
          <w:tcPr/>
          <w:p>
            <w:pPr>
              <w:pStyle w:val="Compact"/>
              <w:jc w:val="left"/>
            </w:pPr>
            <w:r>
              <w:t xml:space="preserve">(0.026)</w:t>
            </w:r>
          </w:p>
        </w:tc>
        <w:tc>
          <w:tcPr/>
          <w:p>
            <w:pPr>
              <w:pStyle w:val="Compact"/>
              <w:jc w:val="left"/>
            </w:pPr>
            <w:r>
              <w:t xml:space="preserve">(0.017)</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7" name="Picture"/>
            <a:graphic>
              <a:graphicData uri="http://schemas.openxmlformats.org/drawingml/2006/picture">
                <pic:pic>
                  <pic:nvPicPr>
                    <pic:cNvPr descr="figures/figR4_wage_ses.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9"/>
    <w:bookmarkStart w:id="63"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3.4 (0.9) at 18–19 and 4.1 (1.0) pooled; boys’ 4.7 (1.7), 2.5 (1.4) and 3.5 (1.2). The girls’ gain is larger at every age, as their lower starting wage implies, but by less than a standard error, and by the third year after the increase both are at about 6 percent. Weekly earnings rise 5.5 (3.2) at 16–17 and 4.5 (2.6) at 18–19 for girls and 5.4 (4.8) and 3.7 (3.4) for boys, so hours did not fall for either. The employment estimate for girls at 16–17 in Section 5.3 therefore does not come with a smaller wage gain or a fall in the earnings of those who work. The stacked coefficients (Table 10) are 5.5 percent (s.e. 1.2), 2.6 (0.8) and 3.8 (0.8) for girls and 4.8 (0.9), 3.5 (1.0) and 4.1 (0.8) for boys.</w:t>
      </w:r>
    </w:p>
    <w:p>
      <w:pPr>
        <w:pStyle w:val="TableCaption"/>
      </w:pPr>
      <w:r>
        <w:t xml:space="preserve">Table 9: Wages and earnings by sex: post-event averages</w:t>
      </w:r>
    </w:p>
    <w:tbl>
      <w:tblPr>
        <w:tblStyle w:val="Table"/>
        <w:tblW w:type="dxa" w:w="9360"/>
        <w:tblLook w:firstRow="0" w:lastRow="0" w:firstColumn="0" w:lastColumn="0" w:noHBand="0" w:noVBand="0" w:val="0000"/>
        <w:jc w:val="start"/>
        <w:tblCaption w:val="Table 9: Wages and earnings by sex: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0.047</w:t>
            </w:r>
            <w:r>
              <w:rPr>
                <w:vertAlign w:val="superscript"/>
              </w:rPr>
              <w:t xml:space="preserve">***</w:t>
            </w:r>
          </w:p>
        </w:tc>
        <w:tc>
          <w:tcPr/>
          <w:p>
            <w:pPr>
              <w:pStyle w:val="Compact"/>
              <w:jc w:val="left"/>
            </w:pPr>
            <w:r>
              <w:t xml:space="preserve">0.034</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0.035</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0.055</w:t>
            </w:r>
            <w:r>
              <w:rPr>
                <w:vertAlign w:val="superscript"/>
              </w:rPr>
              <w:t xml:space="preserve">*</w:t>
            </w:r>
          </w:p>
        </w:tc>
        <w:tc>
          <w:tcPr/>
          <w:p>
            <w:pPr>
              <w:pStyle w:val="Compact"/>
              <w:jc w:val="left"/>
            </w:pPr>
            <w:r>
              <w:t xml:space="preserve">0.054</w:t>
            </w:r>
          </w:p>
        </w:tc>
        <w:tc>
          <w:tcPr/>
          <w:p>
            <w:pPr>
              <w:pStyle w:val="Compact"/>
              <w:jc w:val="left"/>
            </w:pPr>
            <w:r>
              <w:t xml:space="preserve">0.045</w:t>
            </w:r>
            <w:r>
              <w:rPr>
                <w:vertAlign w:val="superscript"/>
              </w:rPr>
              <w:t xml:space="preserve">*</w:t>
            </w:r>
          </w:p>
        </w:tc>
        <w:tc>
          <w:tcPr/>
          <w:p>
            <w:pPr>
              <w:pStyle w:val="Compact"/>
              <w:jc w:val="left"/>
            </w:pPr>
            <w:r>
              <w:t xml:space="preserve">0.037</w:t>
            </w:r>
          </w:p>
        </w:tc>
        <w:tc>
          <w:tcPr/>
          <w:p>
            <w:pPr>
              <w:pStyle w:val="Compact"/>
              <w:jc w:val="left"/>
            </w:pPr>
            <w:r>
              <w:t xml:space="preserve">0.043</w:t>
            </w:r>
            <w:r>
              <w:rPr>
                <w:vertAlign w:val="superscript"/>
              </w:rPr>
              <w:t xml:space="preserve">*</w:t>
            </w:r>
          </w:p>
        </w:tc>
        <w:tc>
          <w:tcPr/>
          <w:p>
            <w:pPr>
              <w:pStyle w:val="Compact"/>
              <w:jc w:val="left"/>
            </w:pPr>
            <w:r>
              <w:t xml:space="preserve">0.041</w:t>
            </w:r>
          </w:p>
        </w:tc>
      </w:tr>
      <w:tr>
        <w:tc>
          <w:tcPr/>
          <w:p>
            <w:pPr>
              <w:pStyle w:val="Compact"/>
            </w:pPr>
          </w:p>
        </w:tc>
        <w:tc>
          <w:tcPr/>
          <w:p>
            <w:pPr>
              <w:pStyle w:val="Compact"/>
              <w:jc w:val="left"/>
            </w:pPr>
            <w:r>
              <w:t xml:space="preserve">(0.032)</w:t>
            </w:r>
          </w:p>
        </w:tc>
        <w:tc>
          <w:tcPr/>
          <w:p>
            <w:pPr>
              <w:pStyle w:val="Compact"/>
              <w:jc w:val="left"/>
            </w:pPr>
            <w:r>
              <w:t xml:space="preserve">(0.048)</w:t>
            </w:r>
          </w:p>
        </w:tc>
        <w:tc>
          <w:tcPr/>
          <w:p>
            <w:pPr>
              <w:pStyle w:val="Compact"/>
              <w:jc w:val="left"/>
            </w:pPr>
            <w:r>
              <w:t xml:space="preserve">(0.026)</w:t>
            </w:r>
          </w:p>
        </w:tc>
        <w:tc>
          <w:tcPr/>
          <w:p>
            <w:pPr>
              <w:pStyle w:val="Compact"/>
              <w:jc w:val="left"/>
            </w:pPr>
            <w:r>
              <w:t xml:space="preserve">(0.034)</w:t>
            </w:r>
          </w:p>
        </w:tc>
        <w:tc>
          <w:tcPr/>
          <w:p>
            <w:pPr>
              <w:pStyle w:val="Compact"/>
              <w:jc w:val="left"/>
            </w:pPr>
            <w:r>
              <w:t xml:space="preserve">(0.022)</w:t>
            </w:r>
          </w:p>
        </w:tc>
        <w:tc>
          <w:tcPr/>
          <w:p>
            <w:pPr>
              <w:pStyle w:val="Compact"/>
              <w:jc w:val="left"/>
            </w:pPr>
            <w:r>
              <w:t xml:space="preserve">(0.036)</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dxa" w:w="9360"/>
        <w:tblLook w:firstRow="0" w:lastRow="0" w:firstColumn="0" w:lastColumn="0" w:noHBand="0" w:noVBand="0" w:val="0000"/>
        <w:jc w:val="start"/>
        <w:tblCaption w:val="Table 10: Stacked difference-in-differences estimates for wages and earning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0.055</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0.047</w:t>
            </w:r>
          </w:p>
        </w:tc>
        <w:tc>
          <w:tcPr/>
          <w:p>
            <w:pPr>
              <w:pStyle w:val="Compact"/>
              <w:jc w:val="left"/>
            </w:pPr>
            <w:r>
              <w:t xml:space="preserve">0.056</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0.051</w:t>
            </w:r>
            <w:r>
              <w:rPr>
                <w:vertAlign w:val="superscript"/>
              </w:rPr>
              <w:t xml:space="preserve">**</w:t>
            </w:r>
          </w:p>
        </w:tc>
      </w:tr>
      <w:tr>
        <w:tc>
          <w:tcPr/>
          <w:p>
            <w:pPr>
              <w:pStyle w:val="Compact"/>
            </w:pPr>
          </w:p>
        </w:tc>
        <w:tc>
          <w:tcPr/>
          <w:p>
            <w:pPr>
              <w:pStyle w:val="Compact"/>
              <w:jc w:val="left"/>
            </w:pPr>
            <w:r>
              <w:t xml:space="preserve">(0.031)</w:t>
            </w:r>
          </w:p>
        </w:tc>
        <w:tc>
          <w:tcPr/>
          <w:p>
            <w:pPr>
              <w:pStyle w:val="Compact"/>
              <w:jc w:val="left"/>
            </w:pPr>
            <w:r>
              <w:t xml:space="preserve">(0.032)</w:t>
            </w:r>
          </w:p>
        </w:tc>
        <w:tc>
          <w:tcPr/>
          <w:p>
            <w:pPr>
              <w:pStyle w:val="Compact"/>
              <w:jc w:val="left"/>
            </w:pPr>
            <w:r>
              <w:t xml:space="preserve">(0.018)</w:t>
            </w:r>
          </w:p>
        </w:tc>
        <w:tc>
          <w:tcPr/>
          <w:p>
            <w:pPr>
              <w:pStyle w:val="Compact"/>
              <w:jc w:val="left"/>
            </w:pPr>
            <w:r>
              <w:t xml:space="preserve">(0.018)</w:t>
            </w:r>
          </w:p>
        </w:tc>
        <w:tc>
          <w:tcPr/>
          <w:p>
            <w:pPr>
              <w:pStyle w:val="Compact"/>
              <w:jc w:val="left"/>
            </w:pPr>
            <w:r>
              <w:t xml:space="preserve">(0.020)</w:t>
            </w:r>
          </w:p>
        </w:tc>
        <w:tc>
          <w:tcPr/>
          <w:p>
            <w:pPr>
              <w:pStyle w:val="Compact"/>
              <w:jc w:val="left"/>
            </w:pPr>
            <w:r>
              <w:t xml:space="preserve">(0.020)</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1" name="Picture"/>
            <a:graphic>
              <a:graphicData uri="http://schemas.openxmlformats.org/drawingml/2006/picture">
                <pic:pic>
                  <pic:nvPicPr>
                    <pic:cNvPr descr="figures/figR4_wage_sex.png" id="62" name="Picture"/>
                    <pic:cNvPicPr>
                      <a:picLocks noChangeArrowheads="1" noChangeAspect="1"/>
                    </pic:cNvPicPr>
                  </pic:nvPicPr>
                  <pic:blipFill>
                    <a:blip r:embed="rId60"/>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3"/>
    <w:bookmarkStart w:id="67" w:name="wages-by-race"/>
    <w:p>
      <w:pPr>
        <w:pStyle w:val="Heading2"/>
      </w:pPr>
      <w:r>
        <w:t xml:space="preserve">5.8 Wages by race</w:t>
      </w:r>
    </w:p>
    <w:p>
      <w:pPr>
        <w:pStyle w:val="FirstParagraph"/>
      </w:pPr>
      <w:r>
        <w:t xml:space="preserve">Table 11 and Figure 10 split the wage effect by race. Non-white teens gain more: 7.4 percent (s.e. 1.6) at 16–17 against 4.9 (1.8) for white teens, 3.5 (1.4) against 2.8 (1.3) at 18–19, and 4.3 (1.2) against 3.6 (1.3) pooled. The 2.5-point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4.7</m:t>
        </m:r>
      </m:oMath>
      <w:r>
        <w:t xml:space="preserve"> </w:t>
      </w:r>
      <w:r>
        <w:t xml:space="preserve">(7.4) at 16–17 and</w:t>
      </w:r>
      <w:r>
        <w:t xml:space="preserve"> </w:t>
      </w:r>
      <m:oMath>
        <m:r>
          <m:rPr>
            <m:sty m:val="p"/>
          </m:rPr>
          <m:t>+</m:t>
        </m:r>
        <m:r>
          <m:t>3.1</m:t>
        </m:r>
      </m:oMath>
      <w:r>
        <w:t xml:space="preserve"> </w:t>
      </w:r>
      <w:r>
        <w:t xml:space="preserve">(3.8) at 18–19, against</w:t>
      </w:r>
      <w:r>
        <w:t xml:space="preserve"> </w:t>
      </w:r>
      <m:oMath>
        <m:r>
          <m:rPr>
            <m:sty m:val="p"/>
          </m:rPr>
          <m:t>+</m:t>
        </m:r>
        <m:r>
          <m:t>5.8</m:t>
        </m:r>
      </m:oMath>
      <w:r>
        <w:t xml:space="preserve"> </w:t>
      </w:r>
      <w:r>
        <w:t xml:space="preserve">(3.3) and</w:t>
      </w:r>
      <w:r>
        <w:t xml:space="preserve"> </w:t>
      </w:r>
      <m:oMath>
        <m:r>
          <m:rPr>
            <m:sty m:val="p"/>
          </m:rPr>
          <m:t>+</m:t>
        </m:r>
        <m:r>
          <m:t>6.0</m:t>
        </m:r>
      </m:oMath>
      <w:r>
        <w:t xml:space="preserve"> </w:t>
      </w:r>
      <w:r>
        <w:t xml:space="preserve">(3.1) for white teens. The first stage is present, and larger, for the group whose families have lower incomes, and Section 5.4 shows that their time allocation did not respond to it. The stacked coefficients (Table 12) are 4.8 percent (s.e. 1.1), 2.5 (1.2) and 3.5 (0.9) for white teens and 6.1 (1.2), 3.8 (1.1) and 4.5 (0.9) for non-white teens.</w:t>
      </w:r>
    </w:p>
    <w:p>
      <w:pPr>
        <w:pStyle w:val="TableCaption"/>
      </w:pPr>
      <w:r>
        <w:t xml:space="preserve">Table 11: Wages and earnings by race: post-event averages</w:t>
      </w:r>
    </w:p>
    <w:tbl>
      <w:tblPr>
        <w:tblStyle w:val="Table"/>
        <w:tblW w:type="dxa" w:w="9360"/>
        <w:tblLook w:firstRow="0" w:lastRow="0" w:firstColumn="0" w:lastColumn="0" w:noHBand="0" w:noVBand="0" w:val="0000"/>
        <w:jc w:val="start"/>
        <w:tblCaption w:val="Table 11: Wages and earnings by rac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0.049</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0.058</w:t>
            </w:r>
            <w:r>
              <w:rPr>
                <w:vertAlign w:val="superscript"/>
              </w:rPr>
              <w:t xml:space="preserve">*</w:t>
            </w:r>
          </w:p>
        </w:tc>
        <w:tc>
          <w:tcPr/>
          <w:p>
            <w:pPr>
              <w:pStyle w:val="Compact"/>
              <w:jc w:val="left"/>
            </w:pPr>
            <w:r>
              <w:t xml:space="preserve">0.047</w:t>
            </w:r>
          </w:p>
        </w:tc>
        <w:tc>
          <w:tcPr/>
          <w:p>
            <w:pPr>
              <w:pStyle w:val="Compact"/>
              <w:jc w:val="left"/>
            </w:pPr>
            <w:r>
              <w:t xml:space="preserve">0.060</w:t>
            </w:r>
            <w:r>
              <w:rPr>
                <w:vertAlign w:val="superscript"/>
              </w:rPr>
              <w:t xml:space="preserve">*</w:t>
            </w:r>
          </w:p>
        </w:tc>
        <w:tc>
          <w:tcPr/>
          <w:p>
            <w:pPr>
              <w:pStyle w:val="Compact"/>
              <w:jc w:val="left"/>
            </w:pPr>
            <w:r>
              <w:t xml:space="preserve">0.031</w:t>
            </w:r>
          </w:p>
        </w:tc>
        <w:tc>
          <w:tcPr/>
          <w:p>
            <w:pPr>
              <w:pStyle w:val="Compact"/>
              <w:jc w:val="left"/>
            </w:pPr>
            <w:r>
              <w:t xml:space="preserve">0.060</w:t>
            </w:r>
            <w:r>
              <w:rPr>
                <w:vertAlign w:val="superscript"/>
              </w:rPr>
              <w:t xml:space="preserve">**</w:t>
            </w:r>
          </w:p>
        </w:tc>
        <w:tc>
          <w:tcPr/>
          <w:p>
            <w:pPr>
              <w:pStyle w:val="Compact"/>
              <w:jc w:val="left"/>
            </w:pPr>
            <w:r>
              <w:t xml:space="preserve">0.029</w:t>
            </w:r>
          </w:p>
        </w:tc>
      </w:tr>
      <w:tr>
        <w:tc>
          <w:tcPr/>
          <w:p>
            <w:pPr>
              <w:pStyle w:val="Compact"/>
            </w:pPr>
          </w:p>
        </w:tc>
        <w:tc>
          <w:tcPr/>
          <w:p>
            <w:pPr>
              <w:pStyle w:val="Compact"/>
              <w:jc w:val="left"/>
            </w:pPr>
            <w:r>
              <w:t xml:space="preserve">(0.033)</w:t>
            </w:r>
          </w:p>
        </w:tc>
        <w:tc>
          <w:tcPr/>
          <w:p>
            <w:pPr>
              <w:pStyle w:val="Compact"/>
              <w:jc w:val="left"/>
            </w:pPr>
            <w:r>
              <w:t xml:space="preserve">(0.074)</w:t>
            </w:r>
          </w:p>
        </w:tc>
        <w:tc>
          <w:tcPr/>
          <w:p>
            <w:pPr>
              <w:pStyle w:val="Compact"/>
              <w:jc w:val="left"/>
            </w:pPr>
            <w:r>
              <w:t xml:space="preserve">(0.031)</w:t>
            </w:r>
          </w:p>
        </w:tc>
        <w:tc>
          <w:tcPr/>
          <w:p>
            <w:pPr>
              <w:pStyle w:val="Compact"/>
              <w:jc w:val="left"/>
            </w:pPr>
            <w:r>
              <w:t xml:space="preserve">(0.038)</w:t>
            </w:r>
          </w:p>
        </w:tc>
        <w:tc>
          <w:tcPr/>
          <w:p>
            <w:pPr>
              <w:pStyle w:val="Compact"/>
              <w:jc w:val="left"/>
            </w:pPr>
            <w:r>
              <w:t xml:space="preserve">(0.026)</w:t>
            </w:r>
          </w:p>
        </w:tc>
        <w:tc>
          <w:tcPr/>
          <w:p>
            <w:pPr>
              <w:pStyle w:val="Compact"/>
              <w:jc w:val="left"/>
            </w:pPr>
            <w:r>
              <w:t xml:space="preserve">(0.039)</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dxa" w:w="9360"/>
        <w:tblLook w:firstRow="0" w:lastRow="0" w:firstColumn="0" w:lastColumn="0" w:noHBand="0" w:noVBand="0" w:val="0000"/>
        <w:jc w:val="start"/>
        <w:tblCaption w:val="Table 12: Stacked difference-in-differences estimates for wages and earning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0.048</w:t>
            </w:r>
            <w:r>
              <w:rPr>
                <w:vertAlign w:val="superscript"/>
              </w:rPr>
              <w:t xml:space="preserve">***</w:t>
            </w:r>
          </w:p>
        </w:tc>
        <w:tc>
          <w:tcPr/>
          <w:p>
            <w:pPr>
              <w:pStyle w:val="Compact"/>
              <w:jc w:val="left"/>
            </w:pPr>
            <w:r>
              <w:t xml:space="preserve">0.061</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0.050</w:t>
            </w:r>
            <w:r>
              <w:rPr>
                <w:vertAlign w:val="superscript"/>
              </w:rPr>
              <w:t xml:space="preserve">**</w:t>
            </w:r>
          </w:p>
        </w:tc>
        <w:tc>
          <w:tcPr/>
          <w:p>
            <w:pPr>
              <w:pStyle w:val="Compact"/>
              <w:jc w:val="left"/>
            </w:pPr>
            <w:r>
              <w:t xml:space="preserve">0.070</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0.035</w:t>
            </w:r>
          </w:p>
        </w:tc>
        <w:tc>
          <w:tcPr/>
          <w:p>
            <w:pPr>
              <w:pStyle w:val="Compact"/>
              <w:jc w:val="left"/>
            </w:pPr>
            <w:r>
              <w:t xml:space="preserve">0.052</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(0.023)</w:t>
            </w:r>
          </w:p>
        </w:tc>
        <w:tc>
          <w:tcPr/>
          <w:p>
            <w:pPr>
              <w:pStyle w:val="Compact"/>
              <w:jc w:val="left"/>
            </w:pPr>
            <w:r>
              <w:t xml:space="preserve">(0.037)</w:t>
            </w:r>
          </w:p>
        </w:tc>
        <w:tc>
          <w:tcPr/>
          <w:p>
            <w:pPr>
              <w:pStyle w:val="Compact"/>
              <w:jc w:val="left"/>
            </w:pPr>
            <w:r>
              <w:t xml:space="preserve">(0.020)</w:t>
            </w:r>
          </w:p>
        </w:tc>
        <w:tc>
          <w:tcPr/>
          <w:p>
            <w:pPr>
              <w:pStyle w:val="Compact"/>
              <w:jc w:val="left"/>
            </w:pPr>
            <w:r>
              <w:t xml:space="preserve">(0.024)</w:t>
            </w:r>
          </w:p>
        </w:tc>
        <w:tc>
          <w:tcPr/>
          <w:p>
            <w:pPr>
              <w:pStyle w:val="Compact"/>
              <w:jc w:val="left"/>
            </w:pPr>
            <w:r>
              <w:t xml:space="preserve">(0.018)</w:t>
            </w:r>
          </w:p>
        </w:tc>
        <w:tc>
          <w:tcPr/>
          <w:p>
            <w:pPr>
              <w:pStyle w:val="Compact"/>
              <w:jc w:val="left"/>
            </w:pPr>
            <w:r>
              <w:t xml:space="preserve">(0.024)</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5" name="Picture"/>
            <a:graphic>
              <a:graphicData uri="http://schemas.openxmlformats.org/drawingml/2006/picture">
                <pic:pic>
                  <pic:nvPicPr>
                    <pic:cNvPr descr="figures/figR4_wage_race.png" id="66" name="Picture"/>
                    <pic:cNvPicPr>
                      <a:picLocks noChangeArrowheads="1" noChangeAspect="1"/>
                    </pic:cNvPicPr>
                  </pic:nvPicPr>
                  <pic:blipFill>
                    <a:blip r:embed="rId64"/>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7"/>
    <w:bookmarkEnd w:id="68"/>
    <w:bookmarkStart w:id="78"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0.3</m:t>
        </m:r>
      </m:oMath>
      <w:r>
        <w:t xml:space="preserve"> </w:t>
      </w:r>
      <w:r>
        <w:t xml:space="preserve">(s.e. 0.4) and</w:t>
      </w:r>
      <w:r>
        <w:t xml:space="preserve"> </w:t>
      </w:r>
      <m:oMath>
        <m:r>
          <m:rPr>
            <m:sty m:val="p"/>
          </m:rPr>
          <m:t>−</m:t>
        </m:r>
        <m:r>
          <m:t>0.4</m:t>
        </m:r>
      </m:oMath>
      <w:r>
        <w:t xml:space="preserve"> </w:t>
      </w:r>
      <w:r>
        <w:t xml:space="preserve">(s.e. 0.9) from 39 state events, the same as the unit design; Figures 11 and 12 are the state-design counterparts of the main figures. Within the unit design, the 39 state-remainder events alone give</w:t>
      </w:r>
      <w:r>
        <w:t xml:space="preserve"> </w:t>
      </w:r>
      <m:oMath>
        <m:r>
          <m:rPr>
            <m:sty m:val="p"/>
          </m:rPr>
          <m:t>−</m:t>
        </m:r>
        <m:r>
          <m:t>0.5</m:t>
        </m:r>
      </m:oMath>
      <w:r>
        <w:t xml:space="preserve"> </w:t>
      </w:r>
      <w:r>
        <w:t xml:space="preserve">(0.5) and</w:t>
      </w:r>
      <w:r>
        <w:t xml:space="preserve"> </w:t>
      </w:r>
      <m:oMath>
        <m:r>
          <m:rPr>
            <m:sty m:val="p"/>
          </m:rPr>
          <m:t>−</m:t>
        </m:r>
        <m:r>
          <m:t>0.9</m:t>
        </m:r>
      </m:oMath>
      <w:r>
        <w:t xml:space="preserve"> </w:t>
      </w:r>
      <w:r>
        <w:t xml:space="preserve">(1.0).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0.0</m:t>
        </m:r>
      </m:oMath>
      <w:r>
        <w:t xml:space="preserve">. Restricting controls to units with no increase of any kind or to the states at the federal floor, dropping 2020 and 2021, and using September to May only all leave the estimates within one standard error of zero. Equal weighting of events gives</w:t>
      </w:r>
      <w:r>
        <w:t xml:space="preserve"> </w:t>
      </w:r>
      <m:oMath>
        <m:r>
          <m:rPr>
            <m:sty m:val="p"/>
          </m:rPr>
          <m:t>+</m:t>
        </m:r>
        <m:r>
          <m:t>0.3</m:t>
        </m:r>
      </m:oMath>
      <w:r>
        <w:t xml:space="preserve"> </w:t>
      </w:r>
      <w:r>
        <w:t xml:space="preserve">(0.5) and</w:t>
      </w:r>
      <w:r>
        <w:t xml:space="preserve"> </w:t>
      </w:r>
      <m:oMath>
        <m:r>
          <m:rPr>
            <m:sty m:val="p"/>
          </m:rPr>
          <m:t>+</m:t>
        </m:r>
        <m:r>
          <m:t>1.8</m:t>
        </m:r>
      </m:oMath>
      <w:r>
        <w:t xml:space="preserve"> </w:t>
      </w:r>
      <w:r>
        <w:t xml:space="preserve">(0.9) at 18–19, the latter with a pre-event average of</w:t>
      </w:r>
      <w:r>
        <w:t xml:space="preserve"> </w:t>
      </w:r>
      <m:oMath>
        <m:r>
          <m:rPr>
            <m:sty m:val="p"/>
          </m:rPr>
          <m:t>+</m:t>
        </m:r>
        <m:r>
          <m:t>2.1</m:t>
        </m:r>
      </m:oMath>
      <w:r>
        <w:t xml:space="preserve">, because equal weights give the small county units, whose enrollment was already rising, the same weight as California. No employment estimate in the table is more than one standard error below zero.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8.5 percent (s.e. 4.4)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7.5</m:t>
        </m:r>
      </m:oMath>
      <w:r>
        <w:t xml:space="preserve"> </w:t>
      </w:r>
      <w:r>
        <w:t xml:space="preserve">(3.4) for the 16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5.3</m:t>
        </m:r>
      </m:oMath>
      <w:r>
        <w:t xml:space="preserve">: enrollment of 18–19 year olds in the big-city counties was rising relative to other states’ units before the increases. Net of the pre-event trend the post-event change is about two points in both sets, with county samples of 13 to 40 teens a month. The aggregate estimates, in which these events carry a fifth of the weight, are unaffected by them. Figure 13 shows the event-by-event enrollment estimates at 18–19: 30 of the 73 are negative and 43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dxa" w:w="9360"/>
        <w:tblLook w:firstRow="0" w:lastRow="0" w:firstColumn="0" w:lastColumn="0" w:noHBand="0" w:noVBand="0" w:val="0000"/>
        <w:jc w:val="start"/>
        <w:tblCaption w:val="Table 13: Robustness: post-event averages under alternative units, event sets, controls, weights and samples"/>
      </w:tblPr>
      <w:tblGrid>
        <w:gridCol w:w="2808"/>
        <w:gridCol w:w="819"/>
        <w:gridCol w:w="819"/>
        <w:gridCol w:w="819"/>
        <w:gridCol w:w="819"/>
        <w:gridCol w:w="819"/>
        <w:gridCol w:w="819"/>
        <w:gridCol w:w="819"/>
        <w:gridCol w:w="819"/>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73 events from 2010, clean controls, population weights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39 events (Appendix)</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(39)</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0.015</w:t>
            </w:r>
            <w:r>
              <w:rPr>
                <w:vertAlign w:val="superscript"/>
              </w:rPr>
              <w:t xml:space="preserve">*</w:t>
            </w:r>
          </w:p>
        </w:tc>
        <w:tc>
          <w:tcPr/>
          <w:p>
            <w:pPr>
              <w:pStyle w:val="Compact"/>
            </w:pPr>
          </w:p>
        </w:tc>
        <w:tc>
          <w:tcPr/>
          <w:p>
            <w:pPr>
              <w:pStyle w:val="Compact"/>
            </w:pP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w:r>
              <w:rPr>
                <w:vertAlign w:val="superscript"/>
              </w:rPr>
              <w:t xml:space="preserve">***</w:t>
            </w:r>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(16)</w:t>
            </w:r>
          </w:p>
        </w:tc>
        <w:tc>
          <w:tcPr/>
          <w:p>
            <w:pPr>
              <w:pStyle w:val="Compact"/>
              <w:jc w:val="left"/>
            </w:pPr>
            <w:r>
              <w:t xml:space="preserve">0.016</w:t>
            </w:r>
          </w:p>
        </w:tc>
        <w:tc>
          <w:tcPr/>
          <w:p>
            <w:pPr>
              <w:pStyle w:val="Compact"/>
              <w:jc w:val="left"/>
            </w:pPr>
            <w:r>
              <w:t xml:space="preserve">0.075</w:t>
            </w:r>
            <w:r>
              <w:rPr>
                <w:vertAlign w:val="superscript"/>
              </w:rPr>
              <w:t xml:space="preserve">**</w:t>
            </w:r>
          </w:p>
        </w:tc>
        <w:tc>
          <w:tcPr/>
          <w:p>
            <w:pPr>
              <w:pStyle w:val="Compact"/>
              <w:jc w:val="left"/>
            </w:pPr>
            <w:r>
              <w:t xml:space="preserve">-0.016</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16</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(0.028)</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0.018</w:t>
            </w:r>
            <w:r>
              <w:rPr>
                <w:vertAlign w:val="superscript"/>
              </w:rPr>
              <w:t xml:space="preserve">*</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73 events from 2010</w:t>
      </w:r>
    </w:p>
    <w:tbl>
      <w:tblPr>
        <w:tblStyle w:val="Table"/>
        <w:tblW w:type="dxa" w:w="9360"/>
        <w:tblLook w:firstRow="0" w:lastRow="0" w:firstColumn="0" w:lastColumn="0" w:noHBand="0" w:noVBand="0" w:val="0000"/>
        <w:jc w:val="start"/>
        <w:tblCaption w:val="Table 14: Event-time coefficients: log hourly wage, enrollment and employment,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-0.021</w:t>
            </w:r>
            <w:r>
              <w:rPr>
                <w:vertAlign w:val="superscript"/>
              </w:rPr>
              <w:t xml:space="preserve">**</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0.018</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0.068</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0.009</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(0.012)</w:t>
            </w:r>
          </w:p>
        </w:tc>
      </w:tr>
      <w:tr>
        <w:tc>
          <w:tcPr/>
          <w:p>
            <w:pPr>
              <w:pStyle w:val="Compact"/>
              <w:jc w:val="left"/>
            </w:pPr>
            <w:r>
              <w:t xml:space="preserve">Year 2</w:t>
            </w:r>
          </w:p>
        </w:tc>
        <w:tc>
          <w:tcPr/>
          <w:p>
            <w:pPr>
              <w:pStyle w:val="Compact"/>
              <w:jc w:val="left"/>
            </w:pPr>
            <w:r>
              <w:t xml:space="preserve">0.055</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(0.015)</w:t>
            </w:r>
          </w:p>
        </w:tc>
        <w:tc>
          <w:tcPr/>
          <w:p>
            <w:pPr>
              <w:pStyle w:val="Compact"/>
              <w:jc w:val="left"/>
            </w:pPr>
            <w:r>
              <w:t xml:space="preserve">(0.015)</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(0.021)</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(0.010)</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70" name="Picture"/>
            <a:graphic>
              <a:graphicData uri="http://schemas.openxmlformats.org/drawingml/2006/picture">
                <pic:pic>
                  <pic:nvPicPr>
                    <pic:cNvPr descr="figures/figA1_state_first_stage.png" id="71" name="Picture"/>
                    <pic:cNvPicPr>
                      <a:picLocks noChangeArrowheads="1" noChangeAspect="1"/>
                    </pic:cNvPicPr>
                  </pic:nvPicPr>
                  <pic:blipFill>
                    <a:blip r:embed="rId69"/>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3" name="Picture"/>
            <a:graphic>
              <a:graphicData uri="http://schemas.openxmlformats.org/drawingml/2006/picture">
                <pic:pic>
                  <pic:nvPicPr>
                    <pic:cNvPr descr="figures/figA2_state_event_main.png" id="74" name="Picture"/>
                    <pic:cNvPicPr>
                      <a:picLocks noChangeArrowheads="1" noChangeAspect="1"/>
                    </pic:cNvPicPr>
                  </pic:nvPicPr>
                  <pic:blipFill>
                    <a:blip r:embed="rId72"/>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5216524"/>
                  <wp:effectExtent b="0" l="0" r="0" t="0"/>
                  <wp:docPr descr="" title="" id="76" name="Picture"/>
                  <a:graphic>
                    <a:graphicData uri="http://schemas.openxmlformats.org/drawingml/2006/picture">
                      <pic:pic>
                        <pic:nvPicPr>
                          <pic:cNvPr descr="figures/fig6_byevent.png" id="77" name="Picture"/>
                          <pic:cNvPicPr>
                            <a:picLocks noChangeArrowheads="1" noChangeAspect="1"/>
                          </pic:cNvPicPr>
                        </pic:nvPicPr>
                        <pic:blipFill>
                          <a:blip r:embed="rId75"/>
                          <a:stretch>
                            <a:fillRect/>
                          </a:stretch>
                        </pic:blipFill>
                        <pic:spPr bwMode="auto">
                          <a:xfrm>
                            <a:off x="0" y="0"/>
                            <a:ext cx="2266740" cy="5216524"/>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8"/>
    <w:bookmarkStart w:id="79"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before the period studied here, between 2000 and 2010 in the published CPS series, before the large state and local schedules that give the minimum wage its modern bite; within the window, the fall from 36 percent in 2007 to 27 percent in 2010 precedes all but four of the 73 events. The period of the largest increases, 2014–2025, is one in which teen employment rose, from 27 percent in 2010 to 33 percent in 2022. The main estimates imply no contribution at all, and even the most negative cell in Table 13,</w:t>
      </w:r>
      <w:r>
        <w:t xml:space="preserve"> </w:t>
      </w:r>
      <m:oMath>
        <m:r>
          <m:rPr>
            <m:sty m:val="p"/>
          </m:rPr>
          <m:t>−</m:t>
        </m:r>
        <m:r>
          <m:t>4.7</m:t>
        </m:r>
      </m:oMath>
      <w:r>
        <w:t xml:space="preserve"> </w:t>
      </w:r>
      <w:r>
        <w:t xml:space="preserve">points (s.e. 5.1) for 18–19 year olds in the 16 local-only county events, applied to every teen in the country, would account for a quarter of the eighteen-point fall, most of which happened before the increases.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9"/>
    <w:bookmarkStart w:id="80"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73 large increases since 2010.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80"/>
    <w:bookmarkStart w:id="81"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Card, David, and Alan B. Krueger. 1995.</w:t>
      </w:r>
      <w:r>
        <w:t xml:space="preserve"> </w:t>
      </w:r>
      <w:r>
        <w:rPr>
          <w:iCs/>
          <w:i/>
        </w:rPr>
        <w:t xml:space="preserve">Myth and Measurement: The New Economics of the Minimum Wage</w:t>
      </w:r>
      <w:r>
        <w:t xml:space="preserve">. Princeton: Princeton University Press.</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Robinson, Joan. 1933.</w:t>
      </w:r>
      <w:r>
        <w:t xml:space="preserve"> </w:t>
      </w:r>
      <w:r>
        <w:rPr>
          <w:iCs/>
          <w:i/>
        </w:rPr>
        <w:t xml:space="preserve">The Economics of Imperfect Competition</w:t>
      </w:r>
      <w:r>
        <w:t xml:space="preserve">. London: Macmillan.</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1"/>
    <w:bookmarkStart w:id="82"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73 events from 2010,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73 events from 2010</w:t>
      </w:r>
    </w:p>
    <w:tbl>
      <w:tblPr>
        <w:tblStyle w:val="Table"/>
        <w:tblW w:type="dxa" w:w="9360"/>
        <w:tblLook w:firstRow="0" w:lastRow="0" w:firstColumn="0" w:lastColumn="0" w:noHBand="0" w:noVBand="0" w:val="0000"/>
        <w:jc w:val="start"/>
        <w:tblCaption w:val="Table 15: Effects of minimum wage increases on teen school–work statu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16: Effects on school–work status, teens from families with income below $50,000: post-event averages</w:t>
      </w:r>
    </w:p>
    <w:tbl>
      <w:tblPr>
        <w:tblStyle w:val="Table"/>
        <w:tblW w:type="dxa" w:w="9360"/>
        <w:tblLook w:firstRow="0" w:lastRow="0" w:firstColumn="0" w:lastColumn="0" w:noHBand="0" w:noVBand="0" w:val="0000"/>
        <w:jc w:val="start"/>
        <w:tblCaption w:val="Table 16: Effects on school–work status, teens from families with income below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dxa" w:w="9360"/>
        <w:tblLook w:firstRow="0" w:lastRow="0" w:firstColumn="0" w:lastColumn="0" w:noHBand="0" w:noVBand="0" w:val="0000"/>
        <w:jc w:val="start"/>
        <w:tblCaption w:val="Table 17: Effects on school–work status, teens from families with income of $50,000 or mor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73 events from 2010</w:t>
      </w:r>
    </w:p>
    <w:tbl>
      <w:tblPr>
        <w:tblStyle w:val="Table"/>
        <w:tblW w:type="dxa" w:w="9360"/>
        <w:tblLook w:firstRow="0" w:lastRow="0" w:firstColumn="0" w:lastColumn="0" w:noHBand="0" w:noVBand="0" w:val="0000"/>
        <w:jc w:val="start"/>
        <w:tblCaption w:val="Table 18: Effects of minimum wage increases on teen wages and earning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0.053</w:t>
            </w:r>
            <w:r>
              <w:rPr>
                <w:vertAlign w:val="superscript"/>
              </w:rPr>
              <w:t xml:space="preserve">***</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-0.000</w:t>
            </w:r>
          </w:p>
        </w:tc>
        <w:tc>
          <w:tcPr/>
          <w:p>
            <w:pPr>
              <w:pStyle w:val="Compact"/>
              <w:jc w:val="left"/>
            </w:pPr>
            <w:r>
              <w:t xml:space="preserve">0.038</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0.049</w:t>
            </w:r>
          </w:p>
        </w:tc>
        <w:tc>
          <w:tcPr/>
          <w:p>
            <w:pPr>
              <w:pStyle w:val="Compact"/>
              <w:jc w:val="left"/>
            </w:pPr>
            <w:r>
              <w:t xml:space="preserve">-0.007</w:t>
            </w:r>
          </w:p>
        </w:tc>
        <w:tc>
          <w:tcPr/>
          <w:p>
            <w:pPr>
              <w:pStyle w:val="Compact"/>
              <w:jc w:val="left"/>
            </w:pPr>
            <w:r>
              <w:t xml:space="preserve">0.042</w:t>
            </w:r>
            <w:r>
              <w:rPr>
                <w:vertAlign w:val="superscript"/>
              </w:rPr>
              <w:t xml:space="preserve">*</w:t>
            </w:r>
          </w:p>
        </w:tc>
        <w:tc>
          <w:tcPr/>
          <w:p>
            <w:pPr>
              <w:pStyle w:val="Compact"/>
              <w:jc w:val="left"/>
            </w:pPr>
            <w:r>
              <w:t xml:space="preserve">0.005</w:t>
            </w:r>
          </w:p>
        </w:tc>
        <w:tc>
          <w:tcPr/>
          <w:p>
            <w:pPr>
              <w:pStyle w:val="Compact"/>
              <w:jc w:val="left"/>
            </w:pPr>
            <w:r>
              <w:t xml:space="preserve">0.046</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(0.032)</w:t>
            </w:r>
          </w:p>
        </w:tc>
        <w:tc>
          <w:tcPr/>
          <w:p>
            <w:pPr>
              <w:pStyle w:val="Compact"/>
            </w:pPr>
          </w:p>
        </w:tc>
        <w:tc>
          <w:tcPr/>
          <w:p>
            <w:pPr>
              <w:pStyle w:val="Compact"/>
              <w:jc w:val="left"/>
            </w:pPr>
            <w:r>
              <w:t xml:space="preserve">(0.024)</w:t>
            </w:r>
          </w:p>
        </w:tc>
        <w:tc>
          <w:tcPr/>
          <w:p>
            <w:pPr>
              <w:pStyle w:val="Compact"/>
            </w:pPr>
          </w:p>
        </w:tc>
        <w:tc>
          <w:tcPr/>
          <w:p>
            <w:pPr>
              <w:pStyle w:val="Compact"/>
              <w:jc w:val="left"/>
            </w:pPr>
            <w:r>
              <w:t xml:space="preserve">(0.024)</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dxa" w:w="9360"/>
        <w:tblLook w:firstRow="0" w:lastRow="0" w:firstColumn="0" w:lastColumn="0" w:noHBand="0" w:noVBand="0" w:val="0000"/>
        <w:jc w:val="start"/>
        <w:tblCaption w:val="Table 19: Effects on school–work status, girl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0.012</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0.018</w:t>
            </w:r>
          </w:p>
        </w:tc>
        <w:tc>
          <w:tcPr/>
          <w:p>
            <w:pPr>
              <w:pStyle w:val="Compact"/>
              <w:jc w:val="left"/>
            </w:pPr>
            <w:r>
              <w:t xml:space="preserve">0.012</w:t>
            </w:r>
            <w:r>
              <w:rPr>
                <w:vertAlign w:val="superscript"/>
              </w:rPr>
              <w:t xml:space="preserve">*</w:t>
            </w:r>
          </w:p>
        </w:tc>
        <w:tc>
          <w:tcPr/>
          <w:p>
            <w:pPr>
              <w:pStyle w:val="Compact"/>
              <w:jc w:val="left"/>
            </w:pPr>
            <w:r>
              <w:t xml:space="preserve">0.016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-0.018</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-0.014</w:t>
            </w:r>
          </w:p>
        </w:tc>
        <w:tc>
          <w:tcPr/>
          <w:p>
            <w:pPr>
              <w:pStyle w:val="Compact"/>
              <w:jc w:val="left"/>
            </w:pPr>
            <w:r>
              <w:t xml:space="preserve">-0.005</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0.008</w:t>
            </w:r>
          </w:p>
        </w:tc>
        <w:tc>
          <w:tcPr/>
          <w:p>
            <w:pPr>
              <w:pStyle w:val="Compact"/>
              <w:jc w:val="left"/>
            </w:pPr>
            <w:r>
              <w:t xml:space="preserve">0.020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dxa" w:w="9360"/>
        <w:tblLook w:firstRow="0" w:lastRow="0" w:firstColumn="0" w:lastColumn="0" w:noHBand="0" w:noVBand="0" w:val="0000"/>
        <w:jc w:val="start"/>
        <w:tblCaption w:val="Table 20: Effects on school–work status, boy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r>
              <w:rPr>
                <w:vertAlign w:val="superscript"/>
              </w:rPr>
              <w:t xml:space="preserve">*</w:t>
            </w:r>
          </w:p>
        </w:tc>
        <w:tc>
          <w:tcPr/>
          <w:p>
            <w:pPr>
              <w:pStyle w:val="Compact"/>
              <w:jc w:val="left"/>
            </w:pPr>
            <w:r>
              <w:t xml:space="preserve">-0.014</w:t>
            </w:r>
          </w:p>
        </w:tc>
        <w:tc>
          <w:tcPr/>
          <w:p>
            <w:pPr>
              <w:pStyle w:val="Compact"/>
              <w:jc w:val="left"/>
            </w:pPr>
            <w:r>
              <w:t xml:space="preserve">-0.014</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-0.020</w:t>
            </w:r>
          </w:p>
        </w:tc>
        <w:tc>
          <w:tcPr/>
          <w:p>
            <w:pPr>
              <w:pStyle w:val="Compact"/>
              <w:jc w:val="left"/>
            </w:pPr>
            <w:r>
              <w:t xml:space="preserve">-0.007</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0.015</w:t>
            </w:r>
          </w:p>
        </w:tc>
        <w:tc>
          <w:tcPr/>
          <w:p>
            <w:pPr>
              <w:pStyle w:val="Compact"/>
              <w:jc w:val="left"/>
            </w:pPr>
            <w:r>
              <w:t xml:space="preserve">0.003</w:t>
            </w:r>
          </w:p>
        </w:tc>
        <w:tc>
          <w:tcPr/>
          <w:p>
            <w:pPr>
              <w:pStyle w:val="Compact"/>
              <w:jc w:val="left"/>
            </w:pPr>
            <w:r>
              <w:t xml:space="preserve">0.013</w:t>
            </w:r>
            <w:r>
              <w:rPr>
                <w:vertAlign w:val="superscript"/>
              </w:rPr>
              <w:t xml:space="preserve">**</w:t>
            </w:r>
          </w:p>
        </w:tc>
        <w:tc>
          <w:tcPr/>
          <w:p>
            <w:pPr>
              <w:pStyle w:val="Compact"/>
              <w:jc w:val="left"/>
            </w:pPr>
            <w:r>
              <w:t xml:space="preserve">-0.004</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dxa" w:w="9360"/>
        <w:tblLook w:firstRow="0" w:lastRow="0" w:firstColumn="0" w:lastColumn="0" w:noHBand="0" w:noVBand="0" w:val="0000"/>
        <w:jc w:val="start"/>
        <w:tblCaption w:val="Table 21: Effects on school–work status, non-Hispanic 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0.008</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dxa" w:w="9360"/>
        <w:tblLook w:firstRow="0" w:lastRow="0" w:firstColumn="0" w:lastColumn="0" w:noHBand="0" w:noVBand="0" w:val="0000"/>
        <w:jc w:val="start"/>
        <w:tblCaption w:val="Table 22: Effects on school–work status, Black, Hispanic and other non-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2"/>
    <w:bookmarkStart w:id="83" w:name="b-the-events"/>
    <w:p>
      <w:pPr>
        <w:pStyle w:val="Heading1"/>
      </w:pPr>
      <w:r>
        <w:t xml:space="preserve">B The events</w:t>
      </w:r>
    </w:p>
    <w:p>
      <w:pPr>
        <w:pStyle w:val="TableCaption"/>
      </w:pPr>
      <w:r>
        <w:t xml:space="preserve">Table 23: Unit events from January 2010 with CPS teens in the unit</w:t>
      </w:r>
    </w:p>
    <w:tbl>
      <w:tblPr>
        <w:tblStyle w:val="Table"/>
        <w:tblW w:type="dxa" w:w="9360"/>
        <w:tblLook w:firstRow="1" w:lastRow="0" w:firstColumn="0" w:lastColumn="0" w:noHBand="0" w:noVBand="0" w:val="0020"/>
        <w:jc w:val="start"/>
        <w:tblCaption w:val="Table 23: Unit events from January 2010 with CPS teens in the unit"/>
      </w:tblPr>
      <w:tblGrid>
        <w:gridCol w:w="2808"/>
        <w:gridCol w:w="819"/>
        <w:gridCol w:w="819"/>
        <w:gridCol w:w="819"/>
        <w:gridCol w:w="819"/>
        <w:gridCol w:w="819"/>
        <w:gridCol w:w="819"/>
        <w:gridCol w:w="819"/>
        <w:gridCol w:w="819"/>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2010-01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7.75</w:t>
            </w:r>
          </w:p>
        </w:tc>
        <w:tc>
          <w:tcPr/>
          <w:p>
            <w:pPr>
              <w:pStyle w:val="Compact"/>
              <w:jc w:val="right"/>
            </w:pPr>
            <w:r>
              <w:t xml:space="preserve">7</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2025-03</w:t>
            </w:r>
          </w:p>
        </w:tc>
        <w:tc>
          <w:tcPr/>
          <w:p>
            <w:pPr>
              <w:pStyle w:val="Compact"/>
              <w:jc w:val="right"/>
            </w:pPr>
            <w:r>
              <w:t xml:space="preserve">10.56</w:t>
            </w:r>
          </w:p>
        </w:tc>
        <w:tc>
          <w:tcPr/>
          <w:p>
            <w:pPr>
              <w:pStyle w:val="Compact"/>
              <w:jc w:val="right"/>
            </w:pPr>
            <w:r>
              <w:t xml:space="preserve">12.48</w:t>
            </w:r>
          </w:p>
        </w:tc>
        <w:tc>
          <w:tcPr/>
          <w:p>
            <w:pPr>
              <w:pStyle w:val="Compact"/>
              <w:jc w:val="right"/>
            </w:pPr>
            <w:r>
              <w:t xml:space="preserve">12.48</w:t>
            </w:r>
          </w:p>
        </w:tc>
        <w:tc>
          <w:tcPr/>
          <w:p>
            <w:pPr>
              <w:pStyle w:val="Compact"/>
              <w:jc w:val="right"/>
            </w:pPr>
            <w:r>
              <w:t xml:space="preserve">18</w:t>
            </w:r>
          </w:p>
        </w:tc>
        <w:tc>
          <w:tcPr/>
          <w:p>
            <w:pPr>
              <w:pStyle w:val="Compact"/>
              <w:jc w:val="right"/>
            </w:pPr>
            <w:r>
              <w:t xml:space="preserve">1</w:t>
            </w:r>
          </w:p>
        </w:tc>
        <w:tc>
          <w:tcPr/>
          <w:p>
            <w:pPr>
              <w:pStyle w:val="Compact"/>
              <w:jc w:val="right"/>
            </w:pPr>
            <w:r>
              <w:t xml:space="preserve">73</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2012-03</w:t>
            </w:r>
          </w:p>
        </w:tc>
        <w:tc>
          <w:tcPr/>
          <w:p>
            <w:pPr>
              <w:pStyle w:val="Compact"/>
              <w:jc w:val="right"/>
            </w:pPr>
            <w:r>
              <w:t xml:space="preserve">9.50</w:t>
            </w:r>
          </w:p>
        </w:tc>
        <w:tc>
          <w:tcPr/>
          <w:p>
            <w:pPr>
              <w:pStyle w:val="Compact"/>
              <w:jc w:val="right"/>
            </w:pPr>
            <w:r>
              <w:t xml:space="preserve">10.29</w:t>
            </w:r>
          </w:p>
        </w:tc>
        <w:tc>
          <w:tcPr/>
          <w:p>
            <w:pPr>
              <w:pStyle w:val="Compact"/>
              <w:jc w:val="right"/>
            </w:pPr>
            <w:r>
              <w:t xml:space="preserve">10.84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54</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3"/>
    <w:bookmarkStart w:id="84"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with unit and year-month fixed effects, controls for single year of age, sex, race and Hispanic origin, survey weights, and standard errors clustered by state.</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63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2026,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dxa" w:w="9360"/>
        <w:tblLook w:firstRow="1" w:lastRow="0" w:firstColumn="0" w:lastColumn="0" w:noHBand="0" w:noVBand="0" w:val="0020"/>
        <w:jc w:val="start"/>
        <w:tblCaption w:val="Table 24: Two-way fixed effects estimates for teen school–work statu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25: Two-way fixed effects estimates for school–work status by family income, school months</w:t>
      </w:r>
    </w:p>
    <w:tbl>
      <w:tblPr>
        <w:tblStyle w:val="Table"/>
        <w:tblW w:type="dxa" w:w="9360"/>
        <w:tblLook w:firstRow="0" w:lastRow="0" w:firstColumn="0" w:lastColumn="0" w:noHBand="0" w:noVBand="0" w:val="0000"/>
        <w:jc w:val="start"/>
        <w:tblCaption w:val="Table 25: Two-way fixed effects estimates for school–work statu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w:r>
              <w:rPr>
                <w:vertAlign w:val="superscript"/>
              </w:rPr>
              <w:t xml:space="preserve">*</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w:r>
              <w:rPr>
                <w:vertAlign w:val="superscript"/>
              </w:rPr>
              <w:t xml:space="preserve">*</w:t>
            </w:r>
          </w:p>
        </w:tc>
        <w:tc>
          <w:tcPr/>
          <w:p>
            <w:pPr>
              <w:pStyle w:val="Compact"/>
              <w:jc w:val="left"/>
            </w:pPr>
            <w:r>
              <w:t xml:space="preserve">0.008</w:t>
            </w:r>
          </w:p>
        </w:tc>
        <w:tc>
          <w:tcPr/>
          <w:p>
            <w:pPr>
              <w:pStyle w:val="Compact"/>
              <w:jc w:val="left"/>
            </w:pPr>
            <w:r>
              <w:t xml:space="preserve">0.013</w:t>
            </w:r>
            <w:r>
              <w:rPr>
                <w:vertAlign w:val="superscript"/>
              </w:rPr>
              <w:t xml:space="preserve">*</w:t>
            </w:r>
          </w:p>
        </w:tc>
        <w:tc>
          <w:tcPr/>
          <w:p>
            <w:pPr>
              <w:pStyle w:val="Compact"/>
              <w:jc w:val="left"/>
            </w:pPr>
            <w:r>
              <w:t xml:space="preserve">0.007</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dxa" w:w="9360"/>
        <w:tblLook w:firstRow="1" w:lastRow="0" w:firstColumn="0" w:lastColumn="0" w:noHBand="0" w:noVBand="0" w:val="0020"/>
        <w:jc w:val="start"/>
        <w:tblCaption w:val="Table 26: Two-way fixed effects estimates for teen wages and earning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w:r>
              <w:rPr>
                <w:vertAlign w:val="superscript"/>
              </w:rPr>
              <w:t xml:space="preserve">***</w:t>
            </w:r>
          </w:p>
        </w:tc>
        <w:tc>
          <w:tcPr/>
          <w:p>
            <w:pPr>
              <w:pStyle w:val="Compact"/>
              <w:jc w:val="left"/>
            </w:pPr>
            <w:r>
              <w:t xml:space="preserve">0.166</w:t>
            </w:r>
            <w:r>
              <w:rPr>
                <w:vertAlign w:val="superscript"/>
              </w:rPr>
              <w:t xml:space="preserve">***</w:t>
            </w:r>
          </w:p>
        </w:tc>
        <w:tc>
          <w:tcPr/>
          <w:p>
            <w:pPr>
              <w:pStyle w:val="Compact"/>
              <w:jc w:val="left"/>
            </w:pPr>
            <w:r>
              <w:t xml:space="preserve">0.192</w:t>
            </w:r>
            <w:r>
              <w:rPr>
                <w:vertAlign w:val="superscript"/>
              </w:rPr>
              <w:t xml:space="preserve">***</w:t>
            </w:r>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w:r>
              <w:rPr>
                <w:vertAlign w:val="superscript"/>
              </w:rPr>
              <w:t xml:space="preserve">***</w:t>
            </w:r>
          </w:p>
        </w:tc>
        <w:tc>
          <w:tcPr/>
          <w:p>
            <w:pPr>
              <w:pStyle w:val="Compact"/>
              <w:jc w:val="left"/>
            </w:pPr>
            <w:r>
              <w:t xml:space="preserve">0.167</w:t>
            </w:r>
            <w:r>
              <w:rPr>
                <w:vertAlign w:val="superscript"/>
              </w:rPr>
              <w:t xml:space="preserve">***</w:t>
            </w:r>
          </w:p>
        </w:tc>
        <w:tc>
          <w:tcPr/>
          <w:p>
            <w:pPr>
              <w:pStyle w:val="Compact"/>
              <w:jc w:val="left"/>
            </w:pPr>
            <w:r>
              <w:t xml:space="preserve">0.184</w:t>
            </w:r>
            <w:r>
              <w:rPr>
                <w:vertAlign w:val="superscript"/>
              </w:rPr>
              <w:t xml:space="preserve">***</w:t>
            </w:r>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dxa" w:w="9360"/>
        <w:tblLook w:firstRow="0" w:lastRow="0" w:firstColumn="0" w:lastColumn="0" w:noHBand="0" w:noVBand="0" w:val="0000"/>
        <w:jc w:val="start"/>
        <w:tblCaption w:val="Table 27: Two-way fixed effects estimates for wages and earning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w:r>
              <w:rPr>
                <w:vertAlign w:val="superscript"/>
              </w:rPr>
              <w:t xml:space="preserve">***</w:t>
            </w:r>
          </w:p>
        </w:tc>
        <w:tc>
          <w:tcPr/>
          <w:p>
            <w:pPr>
              <w:pStyle w:val="Compact"/>
              <w:jc w:val="left"/>
            </w:pPr>
            <w:r>
              <w:t xml:space="preserve">0.217</w:t>
            </w:r>
            <w:r>
              <w:rPr>
                <w:vertAlign w:val="superscript"/>
              </w:rPr>
              <w:t xml:space="preserve">***</w:t>
            </w:r>
          </w:p>
        </w:tc>
        <w:tc>
          <w:tcPr/>
          <w:p>
            <w:pPr>
              <w:pStyle w:val="Compact"/>
              <w:jc w:val="left"/>
            </w:pPr>
            <w:r>
              <w:t xml:space="preserve">0.193</w:t>
            </w:r>
            <w:r>
              <w:rPr>
                <w:vertAlign w:val="superscript"/>
              </w:rPr>
              <w:t xml:space="preserve">***</w:t>
            </w:r>
          </w:p>
        </w:tc>
        <w:tc>
          <w:tcPr/>
          <w:p>
            <w:pPr>
              <w:pStyle w:val="Compact"/>
              <w:jc w:val="left"/>
            </w:pPr>
            <w:r>
              <w:t xml:space="preserve">0.161</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0.189</w:t>
            </w:r>
            <w:r>
              <w:rPr>
                <w:vertAlign w:val="superscript"/>
              </w:rPr>
              <w:t xml:space="preserve">***</w:t>
            </w:r>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w:r>
              <w:rPr>
                <w:vertAlign w:val="superscript"/>
              </w:rPr>
              <w:t xml:space="preserve">*</w:t>
            </w:r>
          </w:p>
        </w:tc>
        <w:tc>
          <w:tcPr/>
          <w:p>
            <w:pPr>
              <w:pStyle w:val="Compact"/>
              <w:jc w:val="left"/>
            </w:pPr>
            <w:r>
              <w:t xml:space="preserve">0.185</w:t>
            </w:r>
            <w:r>
              <w:rPr>
                <w:vertAlign w:val="superscript"/>
              </w:rPr>
              <w:t xml:space="preserve">**</w:t>
            </w:r>
          </w:p>
        </w:tc>
        <w:tc>
          <w:tcPr/>
          <w:p>
            <w:pPr>
              <w:pStyle w:val="Compact"/>
              <w:jc w:val="left"/>
            </w:pPr>
            <w:r>
              <w:t xml:space="preserve">0.241</w:t>
            </w:r>
            <w:r>
              <w:rPr>
                <w:vertAlign w:val="superscript"/>
              </w:rPr>
              <w:t xml:space="preserve">***</w:t>
            </w:r>
          </w:p>
        </w:tc>
        <w:tc>
          <w:tcPr/>
          <w:p>
            <w:pPr>
              <w:pStyle w:val="Compact"/>
              <w:jc w:val="left"/>
            </w:pPr>
            <w:r>
              <w:t xml:space="preserve">0.116</w:t>
            </w:r>
            <w:r>
              <w:rPr>
                <w:vertAlign w:val="superscript"/>
              </w:rPr>
              <w:t xml:space="preserve">*</w:t>
            </w:r>
          </w:p>
        </w:tc>
        <w:tc>
          <w:tcPr/>
          <w:p>
            <w:pPr>
              <w:pStyle w:val="Compact"/>
              <w:jc w:val="left"/>
            </w:pPr>
            <w:r>
              <w:t xml:space="preserve">0.232</w:t>
            </w:r>
            <w:r>
              <w:rPr>
                <w:vertAlign w:val="superscript"/>
              </w:rPr>
              <w:t xml:space="preserve">***</w:t>
            </w:r>
          </w:p>
        </w:tc>
        <w:tc>
          <w:tcPr/>
          <w:p>
            <w:pPr>
              <w:pStyle w:val="Compact"/>
              <w:jc w:val="left"/>
            </w:pPr>
            <w:r>
              <w:t xml:space="preserve">0.151</w:t>
            </w:r>
            <w:r>
              <w:rPr>
                <w:vertAlign w:val="superscript"/>
              </w:rPr>
              <w:t xml:space="preserve">***</w:t>
            </w:r>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dxa" w:w="9360"/>
        <w:tblLook w:firstRow="0" w:lastRow="0" w:firstColumn="0" w:lastColumn="0" w:noHBand="0" w:noVBand="0" w:val="0000"/>
        <w:jc w:val="start"/>
        <w:tblCaption w:val="Table 28: Two-way fixed effects estimates for school–work statu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w:r>
              <w:rPr>
                <w:vertAlign w:val="superscript"/>
              </w:rPr>
              <w:t xml:space="preserve">*</w:t>
            </w:r>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0.004</w:t>
            </w:r>
          </w:p>
        </w:tc>
        <w:tc>
          <w:tcPr/>
          <w:p>
            <w:pPr>
              <w:pStyle w:val="Compact"/>
              <w:jc w:val="left"/>
            </w:pPr>
            <w:r>
              <w:t xml:space="preserve">0.018</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dxa" w:w="9360"/>
        <w:tblLook w:firstRow="0" w:lastRow="0" w:firstColumn="0" w:lastColumn="0" w:noHBand="0" w:noVBand="0" w:val="0000"/>
        <w:jc w:val="start"/>
        <w:tblCaption w:val="Table 29: Two-way fixed effects estimates for school–work statu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w:r>
              <w:rPr>
                <w:vertAlign w:val="superscript"/>
              </w:rPr>
              <w:t xml:space="preserve">*</w:t>
            </w:r>
          </w:p>
        </w:tc>
        <w:tc>
          <w:tcPr/>
          <w:p>
            <w:pPr>
              <w:pStyle w:val="Compact"/>
              <w:jc w:val="left"/>
            </w:pPr>
            <w:r>
              <w:t xml:space="preserve">0.002</w:t>
            </w:r>
          </w:p>
        </w:tc>
        <w:tc>
          <w:tcPr/>
          <w:p>
            <w:pPr>
              <w:pStyle w:val="Compact"/>
              <w:jc w:val="left"/>
            </w:pPr>
            <w:r>
              <w:t xml:space="preserve">0.040</w:t>
            </w:r>
            <w:r>
              <w:rPr>
                <w:vertAlign w:val="superscript"/>
              </w:rPr>
              <w:t xml:space="preserve">***</w:t>
            </w:r>
          </w:p>
        </w:tc>
        <w:tc>
          <w:tcPr/>
          <w:p>
            <w:pPr>
              <w:pStyle w:val="Compact"/>
              <w:jc w:val="left"/>
            </w:pPr>
            <w:r>
              <w:t xml:space="preserve">0.000</w:t>
            </w:r>
          </w:p>
        </w:tc>
        <w:tc>
          <w:tcPr/>
          <w:p>
            <w:pPr>
              <w:pStyle w:val="Compact"/>
              <w:jc w:val="left"/>
            </w:pPr>
            <w:r>
              <w:t xml:space="preserve">0.024</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dxa" w:w="9360"/>
        <w:tblLook w:firstRow="0" w:lastRow="0" w:firstColumn="0" w:lastColumn="0" w:noHBand="0" w:noVBand="0" w:val="0000"/>
        <w:jc w:val="start"/>
        <w:tblCaption w:val="Table 30: Two-way fixed effects estimates for wages and earning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w:r>
              <w:rPr>
                <w:vertAlign w:val="superscript"/>
              </w:rPr>
              <w:t xml:space="preserve">***</w:t>
            </w:r>
          </w:p>
        </w:tc>
        <w:tc>
          <w:tcPr/>
          <w:p>
            <w:pPr>
              <w:pStyle w:val="Compact"/>
              <w:jc w:val="left"/>
            </w:pPr>
            <w:r>
              <w:t xml:space="preserve">0.226</w:t>
            </w:r>
            <w:r>
              <w:rPr>
                <w:vertAlign w:val="superscript"/>
              </w:rPr>
              <w:t xml:space="preserve">***</w:t>
            </w:r>
          </w:p>
        </w:tc>
        <w:tc>
          <w:tcPr/>
          <w:p>
            <w:pPr>
              <w:pStyle w:val="Compact"/>
              <w:jc w:val="left"/>
            </w:pPr>
            <w:r>
              <w:t xml:space="preserve">0.179</w:t>
            </w:r>
            <w:r>
              <w:rPr>
                <w:vertAlign w:val="superscript"/>
              </w:rPr>
              <w:t xml:space="preserve">***</w:t>
            </w:r>
          </w:p>
        </w:tc>
        <w:tc>
          <w:tcPr/>
          <w:p>
            <w:pPr>
              <w:pStyle w:val="Compact"/>
              <w:jc w:val="left"/>
            </w:pPr>
            <w:r>
              <w:t xml:space="preserve">0.154</w:t>
            </w:r>
            <w:r>
              <w:rPr>
                <w:vertAlign w:val="superscript"/>
              </w:rPr>
              <w:t xml:space="preserve">***</w:t>
            </w:r>
          </w:p>
        </w:tc>
        <w:tc>
          <w:tcPr/>
          <w:p>
            <w:pPr>
              <w:pStyle w:val="Compact"/>
              <w:jc w:val="left"/>
            </w:pPr>
            <w:r>
              <w:t xml:space="preserve">0.197</w:t>
            </w:r>
            <w:r>
              <w:rPr>
                <w:vertAlign w:val="superscript"/>
              </w:rPr>
              <w:t xml:space="preserve">***</w:t>
            </w:r>
          </w:p>
        </w:tc>
        <w:tc>
          <w:tcPr/>
          <w:p>
            <w:pPr>
              <w:pStyle w:val="Compact"/>
              <w:jc w:val="left"/>
            </w:pPr>
            <w:r>
              <w:t xml:space="preserve">0.185</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0.107</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0.159</w:t>
            </w:r>
            <w:r>
              <w:rPr>
                <w:vertAlign w:val="superscript"/>
              </w:rPr>
              <w:t xml:space="preserve">***</w:t>
            </w:r>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dxa" w:w="9360"/>
        <w:tblLook w:firstRow="0" w:lastRow="0" w:firstColumn="0" w:lastColumn="0" w:noHBand="0" w:noVBand="0" w:val="0000"/>
        <w:jc w:val="start"/>
        <w:tblCaption w:val="Table 31: Two-way fixed effects estimates for wages and earning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w:r>
              <w:rPr>
                <w:vertAlign w:val="superscript"/>
              </w:rPr>
              <w:t xml:space="preserve">***</w:t>
            </w:r>
          </w:p>
        </w:tc>
        <w:tc>
          <w:tcPr/>
          <w:p>
            <w:pPr>
              <w:pStyle w:val="Compact"/>
              <w:jc w:val="left"/>
            </w:pPr>
            <w:r>
              <w:t xml:space="preserve">0.149</w:t>
            </w:r>
            <w:r>
              <w:rPr>
                <w:vertAlign w:val="superscript"/>
              </w:rPr>
              <w:t xml:space="preserve">***</w:t>
            </w:r>
          </w:p>
        </w:tc>
        <w:tc>
          <w:tcPr/>
          <w:p>
            <w:pPr>
              <w:pStyle w:val="Compact"/>
              <w:jc w:val="left"/>
            </w:pPr>
            <w:r>
              <w:t xml:space="preserve">0.172</w:t>
            </w:r>
            <w:r>
              <w:rPr>
                <w:vertAlign w:val="superscript"/>
              </w:rPr>
              <w:t xml:space="preserve">***</w:t>
            </w:r>
          </w:p>
        </w:tc>
        <w:tc>
          <w:tcPr/>
          <w:p>
            <w:pPr>
              <w:pStyle w:val="Compact"/>
              <w:jc w:val="left"/>
            </w:pPr>
            <w:r>
              <w:t xml:space="preserve">0.164</w:t>
            </w:r>
            <w:r>
              <w:rPr>
                <w:vertAlign w:val="superscript"/>
              </w:rPr>
              <w:t xml:space="preserve">***</w:t>
            </w:r>
          </w:p>
        </w:tc>
        <w:tc>
          <w:tcPr/>
          <w:p>
            <w:pPr>
              <w:pStyle w:val="Compact"/>
              <w:jc w:val="left"/>
            </w:pPr>
            <w:r>
              <w:t xml:space="preserve">0.213</w:t>
            </w:r>
            <w:r>
              <w:rPr>
                <w:vertAlign w:val="superscript"/>
              </w:rPr>
              <w:t xml:space="preserve">***</w:t>
            </w:r>
          </w:p>
        </w:tc>
        <w:tc>
          <w:tcPr/>
          <w:p>
            <w:pPr>
              <w:pStyle w:val="Compact"/>
              <w:jc w:val="left"/>
            </w:pPr>
            <w:r>
              <w:t xml:space="preserve">0.168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w:r>
              <w:rPr>
                <w:vertAlign w:val="superscript"/>
              </w:rPr>
              <w:t xml:space="preserve">*</w:t>
            </w:r>
          </w:p>
        </w:tc>
        <w:tc>
          <w:tcPr/>
          <w:p>
            <w:pPr>
              <w:pStyle w:val="Compact"/>
              <w:jc w:val="left"/>
            </w:pPr>
            <w:r>
              <w:t xml:space="preserve">0.231</w:t>
            </w:r>
            <w:r>
              <w:rPr>
                <w:vertAlign w:val="superscript"/>
              </w:rPr>
              <w:t xml:space="preserve">***</w:t>
            </w:r>
          </w:p>
        </w:tc>
        <w:tc>
          <w:tcPr/>
          <w:p>
            <w:pPr>
              <w:pStyle w:val="Compact"/>
              <w:jc w:val="left"/>
            </w:pPr>
            <w:r>
              <w:t xml:space="preserve">0.175</w:t>
            </w:r>
            <w:r>
              <w:rPr>
                <w:vertAlign w:val="superscript"/>
              </w:rPr>
              <w:t xml:space="preserve">***</w:t>
            </w:r>
          </w:p>
        </w:tc>
        <w:tc>
          <w:tcPr/>
          <w:p>
            <w:pPr>
              <w:pStyle w:val="Compact"/>
              <w:jc w:val="left"/>
            </w:pPr>
            <w:r>
              <w:t xml:space="preserve">0.168</w:t>
            </w:r>
            <w:r>
              <w:rPr>
                <w:vertAlign w:val="superscript"/>
              </w:rPr>
              <w:t xml:space="preserve">*</w:t>
            </w:r>
          </w:p>
        </w:tc>
        <w:tc>
          <w:tcPr/>
          <w:p>
            <w:pPr>
              <w:pStyle w:val="Compact"/>
              <w:jc w:val="left"/>
            </w:pPr>
            <w:r>
              <w:t xml:space="preserve">0.174</w:t>
            </w:r>
            <w:r>
              <w:rPr>
                <w:vertAlign w:val="superscript"/>
              </w:rPr>
              <w:t xml:space="preserve">***</w:t>
            </w:r>
          </w:p>
        </w:tc>
        <w:tc>
          <w:tcPr/>
          <w:p>
            <w:pPr>
              <w:pStyle w:val="Compact"/>
              <w:jc w:val="left"/>
            </w:pPr>
            <w:r>
              <w:t xml:space="preserve">0.200</w:t>
            </w:r>
            <w:r>
              <w:rPr>
                <w:vertAlign w:val="superscript"/>
              </w:rPr>
              <w:t xml:space="preserve">***</w:t>
            </w:r>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dxa" w:w="9360"/>
        <w:tblLook w:firstRow="0" w:lastRow="0" w:firstColumn="0" w:lastColumn="0" w:noHBand="0" w:noVBand="0" w:val="0000"/>
        <w:jc w:val="start"/>
        <w:tblCaption w:val="Table 32: Two-way fixed effects coefficient on the log minimum wage under variations of sample and fixed effects"/>
      </w:tblPr>
      <w:tblGrid>
        <w:gridCol w:w="2808"/>
        <w:gridCol w:w="1092"/>
        <w:gridCol w:w="1092"/>
        <w:gridCol w:w="1092"/>
        <w:gridCol w:w="1092"/>
        <w:gridCol w:w="1092"/>
        <w:gridCol w:w="1092"/>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w:r>
              <w:rPr>
                <w:vertAlign w:val="superscript"/>
              </w:rPr>
              <w:t xml:space="preserve">**</w:t>
            </w:r>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0.020</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w:r>
              <w:rPr>
                <w:vertAlign w:val="superscript"/>
              </w:rPr>
              <w:t xml:space="preserve">**</w:t>
            </w:r>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w:r>
              <w:rPr>
                <w:vertAlign w:val="superscript"/>
              </w:rPr>
              <w:t xml:space="preserve">***</w:t>
            </w:r>
          </w:p>
        </w:tc>
        <w:tc>
          <w:tcPr/>
          <w:p>
            <w:pPr>
              <w:pStyle w:val="Compact"/>
              <w:jc w:val="left"/>
            </w:pPr>
            <w:r>
              <w:t xml:space="preserve">0.017</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w:r>
              <w:rPr>
                <w:vertAlign w:val="superscript"/>
              </w:rPr>
              <w:t xml:space="preserve">*</w:t>
            </w:r>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w:r>
              <w:rPr>
                <w:vertAlign w:val="superscript"/>
              </w:rPr>
              <w:t xml:space="preserve">*</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w:r>
              <w:rPr>
                <w:vertAlign w:val="superscript"/>
              </w:rPr>
              <w:t xml:space="preserve">**</w:t>
            </w:r>
          </w:p>
        </w:tc>
        <w:tc>
          <w:tcPr/>
          <w:p>
            <w:pPr>
              <w:pStyle w:val="Compact"/>
              <w:jc w:val="left"/>
            </w:pPr>
            <w:r>
              <w:t xml:space="preserve">0.013</w:t>
            </w:r>
            <w:r>
              <w:rPr>
                <w:vertAlign w:val="superscript"/>
              </w:rPr>
              <w:t xml:space="preserve">*</w:t>
            </w:r>
          </w:p>
        </w:tc>
        <w:tc>
          <w:tcPr/>
          <w:p>
            <w:pPr>
              <w:pStyle w:val="Compact"/>
              <w:jc w:val="left"/>
            </w:pPr>
            <w:r>
              <w:t xml:space="preserve">0.018</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w:r>
              <w:rPr>
                <w:vertAlign w:val="superscript"/>
              </w:rPr>
              <w:t xml:space="preserve">**</w:t>
            </w:r>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0.019</w:t>
            </w:r>
            <w:r>
              <w:rPr>
                <w:vertAlign w:val="superscript"/>
              </w:rPr>
              <w:t xml:space="preserve">***</w:t>
            </w:r>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w:r>
              <w:rPr>
                <w:vertAlign w:val="superscript"/>
              </w:rPr>
              <w:t xml:space="preserve">**</w:t>
            </w:r>
          </w:p>
        </w:tc>
        <w:tc>
          <w:tcPr/>
          <w:p>
            <w:pPr>
              <w:pStyle w:val="Compact"/>
              <w:jc w:val="left"/>
            </w:pPr>
            <w:r>
              <w:t xml:space="preserve">0.117</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0.001</w:t>
            </w:r>
          </w:p>
        </w:tc>
        <w:tc>
          <w:tcPr/>
          <w:p>
            <w:pPr>
              <w:pStyle w:val="Compact"/>
              <w:jc w:val="left"/>
            </w:pPr>
            <w:r>
              <w:t xml:space="preserve">-0.026</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bookmarkEnd w:id="84"/>
    <w:bookmarkStart w:id="88"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5.0 percent (s.e. 1.9) at 16–17 and 4.2 (1.3) at 18–19 for the poorer half against 5.2 (1.4) and 2.2 (0.8) for the richer half, and no school–work share moves in either group at either age.</w:t>
      </w:r>
    </w:p>
    <w:p>
      <w:pPr>
        <w:pStyle w:val="TableCaption"/>
      </w:pPr>
      <w:r>
        <w:t xml:space="preserve">Table 33: School–work status by family income, within-year median split, post-event averages</w:t>
      </w:r>
    </w:p>
    <w:tbl>
      <w:tblPr>
        <w:tblStyle w:val="Table"/>
        <w:tblW w:type="dxa" w:w="9360"/>
        <w:tblLook w:firstRow="0" w:lastRow="0" w:firstColumn="0" w:lastColumn="0" w:noHBand="0" w:noVBand="0" w:val="0000"/>
        <w:jc w:val="start"/>
        <w:tblCaption w:val="Table 33: School–work statu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0.016</w:t>
            </w:r>
          </w:p>
        </w:tc>
        <w:tc>
          <w:tcPr/>
          <w:p>
            <w:pPr>
              <w:pStyle w:val="Compact"/>
              <w:jc w:val="left"/>
            </w:pPr>
            <w:r>
              <w:t xml:space="preserve">0.007</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dxa" w:w="9360"/>
        <w:tblLook w:firstRow="0" w:lastRow="0" w:firstColumn="0" w:lastColumn="0" w:noHBand="0" w:noVBand="0" w:val="0000"/>
        <w:jc w:val="start"/>
        <w:tblCaption w:val="Table 34: Wages and earning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0.050</w:t>
            </w:r>
            <w:r>
              <w:rPr>
                <w:vertAlign w:val="superscript"/>
              </w:rPr>
              <w:t xml:space="preserve">***</w:t>
            </w:r>
          </w:p>
        </w:tc>
        <w:tc>
          <w:tcPr/>
          <w:p>
            <w:pPr>
              <w:pStyle w:val="Compact"/>
              <w:jc w:val="left"/>
            </w:pPr>
            <w:r>
              <w:t xml:space="preserve">0.052</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0.022</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0.034</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6" name="Picture"/>
            <a:graphic>
              <a:graphicData uri="http://schemas.openxmlformats.org/drawingml/2006/picture">
                <pic:pic>
                  <pic:nvPicPr>
                    <pic:cNvPr descr="figures/figA_groups_sesrel.png" id="87" name="Picture"/>
                    <pic:cNvPicPr>
                      <a:picLocks noChangeArrowheads="1" noChangeAspect="1"/>
                    </pic:cNvPicPr>
                  </pic:nvPicPr>
                  <pic:blipFill>
                    <a:blip r:embed="rId85"/>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8"/>
    <w:bookmarkStart w:id="89"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(34 percent of 16–18 year olds against 6.4 percent in school months), so the table uses September to May, with the all-month estimate in the last column. Dropout does not fall. At ages 16–18, Smith’s age range, the post-event average is</w:t>
      </w:r>
      <w:r>
        <w:t xml:space="preserve"> </w:t>
      </w:r>
      <m:oMath>
        <m:r>
          <m:rPr>
            <m:sty m:val="p"/>
          </m:rPr>
          <m:t>+</m:t>
        </m:r>
        <m:r>
          <m:t>0.5</m:t>
        </m:r>
      </m:oMath>
      <w:r>
        <w:t xml:space="preserve"> </w:t>
      </w:r>
      <w:r>
        <w:t xml:space="preserve">points (s.e. 0.4) on a base of 6.4 percent, with a pre-event average of</w:t>
      </w:r>
      <w:r>
        <w:t xml:space="preserve"> </w:t>
      </w:r>
      <m:oMath>
        <m:r>
          <m:rPr>
            <m:sty m:val="p"/>
          </m:rPr>
          <m:t>+</m:t>
        </m:r>
        <m:r>
          <m:t>0.3</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0.5</m:t>
        </m:r>
      </m:oMath>
      <w:r>
        <w:t xml:space="preserve">, and at 18–19</w:t>
      </w:r>
      <w:r>
        <w:t xml:space="preserve"> </w:t>
      </w:r>
      <m:oMath>
        <m:r>
          <m:rPr>
            <m:sty m:val="p"/>
          </m:rPr>
          <m:t>+</m:t>
        </m:r>
        <m:r>
          <m:t>0.1</m:t>
        </m:r>
      </m:oMath>
      <w:r>
        <w:t xml:space="preserve"> </w:t>
      </w:r>
      <w:r>
        <w:t xml:space="preserve">(0.4).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each with a pre-event average of about</w:t>
      </w:r>
      <w:r>
        <w:t xml:space="preserve"> </w:t>
      </w:r>
      <m:oMath>
        <m:r>
          <m:rPr>
            <m:sty m:val="p"/>
          </m:rPr>
          <m:t>+</m:t>
        </m:r>
        <m:r>
          <m:t>0.5</m:t>
        </m:r>
      </m:oMath>
      <w:r>
        <w:t xml:space="preserve">, and</w:t>
      </w:r>
      <w:r>
        <w:t xml:space="preserve"> </w:t>
      </w:r>
      <m:oMath>
        <m:r>
          <m:rPr>
            <m:sty m:val="p"/>
          </m:rPr>
          <m:t>−</m:t>
        </m:r>
        <m:r>
          <m:t>0.6</m:t>
        </m:r>
      </m:oMath>
      <w:r>
        <w:t xml:space="preserve"> </w:t>
      </w:r>
      <w:r>
        <w:t xml:space="preserve">(0.8) and</w:t>
      </w:r>
      <w:r>
        <w:t xml:space="preserve"> </w:t>
      </w:r>
      <m:oMath>
        <m:r>
          <m:rPr>
            <m:sty m:val="p"/>
          </m:rPr>
          <m:t>+</m:t>
        </m:r>
        <m:r>
          <m:t>0.2</m:t>
        </m:r>
      </m:oMath>
      <w:r>
        <w:t xml:space="preserve"> </w:t>
      </w:r>
      <w:r>
        <w:t xml:space="preserve">(0.4) at 18–19; the within-year median split gives the same. Net of the pre-event trend the post-event change is within a quarter of a point of zero in every cell. Smith’s estimate, a 0.5 to 1.0 point fall in low-SES dropout per 10 percent rise in the minimum, implies a fall of 2 to 4 points for the increases studied here; the low-income intervals exclude a fall larger than about 0.5 points at 16–17 and 2 points at 18–19.</w:t>
      </w:r>
    </w:p>
    <w:p>
      <w:pPr>
        <w:pStyle w:val="TableCaption"/>
      </w:pPr>
      <w:r>
        <w:t xml:space="preserve">Table 35: High school dropout (not enrolled, no diploma or GED): post-event averages, 73 events from 2010</w:t>
      </w:r>
    </w:p>
    <w:tbl>
      <w:tblPr>
        <w:tblStyle w:val="Table"/>
        <w:tblW w:type="dxa" w:w="9360"/>
        <w:tblLook w:firstRow="0" w:lastRow="0" w:firstColumn="0" w:lastColumn="0" w:noHBand="0" w:noVBand="0" w:val="0000"/>
        <w:jc w:val="start"/>
        <w:tblCaption w:val="Table 35: High school dropout (not enrolled, no diploma or GED): post-event averages, 73 events from 2010"/>
      </w:tblPr>
      <w:tblGrid>
        <w:gridCol w:w="2808"/>
        <w:gridCol w:w="1092"/>
        <w:gridCol w:w="1092"/>
        <w:gridCol w:w="1092"/>
        <w:gridCol w:w="1092"/>
        <w:gridCol w:w="1092"/>
        <w:gridCol w:w="1092"/>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w:r>
              <w:rPr>
                <w:vertAlign w:val="superscript"/>
              </w:rPr>
              <w:t xml:space="preserve">**</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2007–2026;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 w:id="22">
    <w:p>
      <w:pPr>
        <w:pStyle w:val="FootnoteText"/>
      </w:pPr>
      <w:r>
        <w:rPr>
          <w:rStyle w:val="FootnoteReference"/>
        </w:rPr>
        <w:footnoteRef/>
      </w:r>
      <w:r>
        <w:t xml:space="preserve"> </w:t>
      </w:r>
      <w:r>
        <w:t xml:space="preserve">Equation (4) is the wage-setting condition of a single employer facing an upward-sloping labor supply curve</w:t>
      </w:r>
      <w:r>
        <w:t xml:space="preserve"> </w:t>
      </w:r>
      <m:oMath>
        <m:r>
          <m:t>L</m:t>
        </m:r>
        <m:d>
          <m:dPr>
            <m:begChr m:val="("/>
            <m:endChr m:val=")"/>
            <m:sepChr m:val=""/>
            <m:grow/>
          </m:dPr>
          <m:e>
            <m:r>
              <m:t>w</m:t>
            </m:r>
          </m:e>
        </m:d>
      </m:oMath>
      <w:r>
        <w:t xml:space="preserve"> </w:t>
      </w:r>
      <w:r>
        <w:t xml:space="preserve">and unable to pay different wages to identical workers. The employer chooses</w:t>
      </w:r>
      <w:r>
        <w:t xml:space="preserve"> </w:t>
      </w:r>
      <m:oMath>
        <m:r>
          <m:t>w</m:t>
        </m:r>
      </m:oMath>
      <w:r>
        <w:t xml:space="preserve"> </w:t>
      </w:r>
      <w:r>
        <w:t xml:space="preserve">to maximize</w:t>
      </w:r>
      <w:r>
        <w:t xml:space="preserve"> </w:t>
      </w:r>
      <m:oMath>
        <m:d>
          <m:dPr>
            <m:begChr m:val="("/>
            <m:endChr m:val=")"/>
            <m:sepChr m:val=""/>
            <m:grow/>
          </m:dPr>
          <m:e>
            <m:r>
              <m:rPr>
                <m:nor/>
                <m:sty m:val="p"/>
              </m:rPr>
              <m:t>MRP</m:t>
            </m:r>
            <m:r>
              <m:rPr>
                <m:sty m:val="p"/>
              </m:rPr>
              <m:t>−</m:t>
            </m:r>
            <m:r>
              <m:t>w</m:t>
            </m:r>
          </m:e>
        </m:d>
        <m:r>
          <m:t>L</m:t>
        </m:r>
        <m:d>
          <m:dPr>
            <m:begChr m:val="("/>
            <m:endChr m:val=")"/>
            <m:sepChr m:val=""/>
            <m:grow/>
          </m:dPr>
          <m:e>
            <m:r>
              <m:t>w</m:t>
            </m:r>
          </m:e>
        </m:d>
      </m:oMath>
      <w:r>
        <w:t xml:space="preserve">; the first-order condition equates the marginal cost of a hire, the wage plus the raise paid to the existing workforce, to the marginal revenue product,</w:t>
      </w:r>
      <w:r>
        <w:t xml:space="preserve"> </w:t>
      </w:r>
      <m:oMath>
        <m:r>
          <m:rPr>
            <m:nor/>
            <m:sty m:val="p"/>
          </m:rPr>
          <m:t>MRP</m:t>
        </m:r>
        <m:r>
          <m:rPr>
            <m:sty m:val="p"/>
          </m:rPr>
          <m:t>=</m:t>
        </m:r>
        <m:r>
          <m:t>w</m:t>
        </m:r>
        <m:r>
          <m:rPr>
            <m:sty m:val="p"/>
          </m:rPr>
          <m:t>+</m:t>
        </m:r>
        <m:r>
          <m:t>L</m:t>
        </m:r>
        <m:r>
          <m:t> </m:t>
        </m:r>
        <m:r>
          <m:t>d</m:t>
        </m:r>
        <m:r>
          <m:t>w</m:t>
        </m:r>
        <m:r>
          <m:rPr>
            <m:sty m:val="p"/>
          </m:rPr>
          <m:t>/</m:t>
        </m:r>
        <m:r>
          <m:t>d</m:t>
        </m:r>
        <m:r>
          <m:t>L</m:t>
        </m:r>
        <m:r>
          <m:rPr>
            <m:sty m:val="p"/>
          </m:rPr>
          <m:t>=</m:t>
        </m:r>
        <m:r>
          <m:t>w</m:t>
        </m:r>
        <m:d>
          <m:dPr>
            <m:begChr m:val="("/>
            <m:endChr m:val=")"/>
            <m:sepChr m:val=""/>
            <m:grow/>
          </m:dPr>
          <m:e>
            <m:r>
              <m:t>1</m:t>
            </m:r>
            <m:r>
              <m:rPr>
                <m:sty m:val="p"/>
              </m:rPr>
              <m:t>+</m:t>
            </m:r>
            <m:r>
              <m:t>1</m:t>
            </m:r>
            <m:r>
              <m:rPr>
                <m:sty m:val="p"/>
              </m:rPr>
              <m:t>/</m:t>
            </m:r>
            <m:r>
              <m:t>ε</m:t>
            </m:r>
          </m:e>
        </m:d>
      </m:oMath>
      <w:r>
        <w:t xml:space="preserve">, where</w:t>
      </w:r>
      <w:r>
        <w:t xml:space="preserve"> </w:t>
      </w:r>
      <m:oMath>
        <m:r>
          <m:t>ε</m:t>
        </m:r>
        <m:r>
          <m:rPr>
            <m:sty m:val="p"/>
          </m:rPr>
          <m:t>=</m:t>
        </m:r>
        <m:d>
          <m:dPr>
            <m:begChr m:val="("/>
            <m:endChr m:val=")"/>
            <m:sepChr m:val=""/>
            <m:grow/>
          </m:dPr>
          <m:e>
            <m:r>
              <m:t>d</m:t>
            </m:r>
            <m:r>
              <m:t>L</m:t>
            </m:r>
            <m:r>
              <m:rPr>
                <m:sty m:val="p"/>
              </m:rPr>
              <m:t>/</m:t>
            </m:r>
            <m:r>
              <m:t>d</m:t>
            </m:r>
            <m:r>
              <m:t>w</m:t>
            </m:r>
          </m:e>
        </m:d>
        <m:d>
          <m:dPr>
            <m:begChr m:val="("/>
            <m:endChr m:val=")"/>
            <m:sepChr m:val=""/>
            <m:grow/>
          </m:dPr>
          <m:e>
            <m:r>
              <m:t>w</m:t>
            </m:r>
            <m:r>
              <m:rPr>
                <m:sty m:val="p"/>
              </m:rPr>
              <m:t>/</m:t>
            </m:r>
            <m:r>
              <m:t>L</m:t>
            </m:r>
          </m:e>
        </m:d>
      </m:oMath>
      <w:r>
        <w:t xml:space="preserve"> </w:t>
      </w:r>
      <w:r>
        <w:t xml:space="preserve">is the elasticity of labor supply to the firm. Solving for</w:t>
      </w:r>
      <w:r>
        <w:t xml:space="preserve"> </w:t>
      </w:r>
      <m:oMath>
        <m:r>
          <m:t>w</m:t>
        </m:r>
      </m:oMath>
      <w:r>
        <w:t xml:space="preserve"> </w:t>
      </w:r>
      <w:r>
        <w:t xml:space="preserve">gives (4); the proportional gap between the marginal product and the wage is</w:t>
      </w:r>
      <w:r>
        <w:t xml:space="preserve"> </w:t>
      </w:r>
      <m:oMath>
        <m:r>
          <m:t>1</m:t>
        </m:r>
        <m:r>
          <m:rPr>
            <m:sty m:val="p"/>
          </m:rPr>
          <m:t>/</m:t>
        </m:r>
        <m:r>
          <m:t>ε</m:t>
        </m:r>
      </m:oMath>
      <w:r>
        <w:t xml:space="preserve">, and it vanishes as</w:t>
      </w:r>
      <w:r>
        <w:t xml:space="preserve"> </w:t>
      </w:r>
      <m:oMath>
        <m:r>
          <m:t>ε</m:t>
        </m:r>
        <m:r>
          <m:rPr>
            <m:sty m:val="p"/>
          </m:rPr>
          <m:t>→</m:t>
        </m:r>
        <m:r>
          <m:rPr>
            <m:sty m:val="p"/>
          </m:rPr>
          <m:t>∞</m:t>
        </m:r>
      </m:oMath>
      <w:r>
        <w:t xml:space="preserve">. The condition is due to Robinson (1933); the observation that a minimum wage between</w:t>
      </w:r>
      <w:r>
        <w:t xml:space="preserve"> </w:t>
      </w:r>
      <m:oMath>
        <m:sSub>
          <m:e>
            <m:r>
              <m:t>w</m:t>
            </m:r>
          </m:e>
          <m:sub>
            <m:r>
              <m:t>m</m:t>
            </m:r>
          </m:sub>
        </m:sSub>
      </m:oMath>
      <w:r>
        <w:t xml:space="preserve"> </w:t>
      </w:r>
      <w:r>
        <w:t xml:space="preserve">and MRP raises employment is Stigler (1946);</w:t>
      </w:r>
      <w:r>
        <w:t xml:space="preserve"> </w:t>
      </w:r>
      <w:r>
        <w:t xml:space="preserve"> </w:t>
      </w:r>
      <w:r>
        <w:t xml:space="preserve">gives the modern statement, and Card and Krueger (1995) apply it to the minimum wage.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2026-09-17T18:13:58Z</dcterms:created>
  <dcterms:modified xsi:type="dcterms:W3CDTF">2026-09-17T18:13:58Z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73 events in 2010–2025, compared with clean control units in other states, in monthly Current Population Survey data on 3.1 million 16–24 year olds from 2007 to 2026.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