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74.png" ContentType="image/png"/>
  <Override PartName="/word/media/rId68.png" ContentType="image/png"/>
  <Override PartName="/word/media/rId71.png" ContentType="image/png"/>
  <Override PartName="/word/media/rId84.png" ContentType="image/png"/>
  <Override PartName="/word/media/rId35.png" ContentType="image/png"/>
  <Override PartName="/word/media/rId47.png" ContentType="image/png"/>
  <Override PartName="/word/media/rId39.png" ContentType="image/png"/>
  <Override PartName="/word/media/rId43.png" ContentType="image/png"/>
  <Override PartName="/word/media/rId51.png" ContentType="image/png"/>
  <Override PartName="/word/media/rId63.png" ContentType="image/png"/>
  <Override PartName="/word/media/rId5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Minimum</w:t>
      </w:r>
      <w:r>
        <w:t xml:space="preserve"> </w:t>
      </w:r>
      <w:r>
        <w:t xml:space="preserve">Wage</w:t>
      </w:r>
      <w:r>
        <w:t xml:space="preserve"> </w:t>
      </w:r>
      <w:r>
        <w:t xml:space="preserve">and</w:t>
      </w:r>
      <w:r>
        <w:t xml:space="preserve"> </w:t>
      </w:r>
      <w:r>
        <w:t xml:space="preserve">Teen</w:t>
      </w:r>
      <w:r>
        <w:t xml:space="preserve"> </w:t>
      </w:r>
      <w:r>
        <w:t xml:space="preserve">Time</w:t>
      </w:r>
      <w:r>
        <w:t xml:space="preserve"> </w:t>
      </w:r>
      <w:r>
        <w:t xml:space="preserve">Allocation:</w:t>
      </w:r>
      <w:r>
        <w:br/>
      </w:r>
      <w:r>
        <w:t xml:space="preserve">School,</w:t>
      </w:r>
      <w:r>
        <w:t xml:space="preserve"> </w:t>
      </w:r>
      <w:r>
        <w:t xml:space="preserve">Work,</w:t>
      </w:r>
      <w:r>
        <w:t xml:space="preserve"> </w:t>
      </w:r>
      <w:r>
        <w:t xml:space="preserve">and</w:t>
      </w:r>
      <w:r>
        <w:t xml:space="preserve"> </w:t>
      </w:r>
      <w:r>
        <w:t xml:space="preserve">Wages</w:t>
      </w:r>
      <w:r>
        <w:t xml:space="preserve"> </w:t>
      </w:r>
      <w:r>
        <w:t xml:space="preserve">in</w:t>
      </w:r>
      <w:r>
        <w:t xml:space="preserve"> </w:t>
      </w:r>
      <w:r>
        <w:t xml:space="preserve">Stacked</w:t>
      </w:r>
      <w:r>
        <w:t xml:space="preserve"> </w:t>
      </w:r>
      <w:r>
        <w:t xml:space="preserve">Event</w:t>
      </w:r>
      <w:r>
        <w:t xml:space="preserve"> </w:t>
      </w:r>
      <w:r>
        <w:t xml:space="preserve">Studies</w:t>
      </w:r>
    </w:p>
    <w:p>
      <w:pPr>
        <w:pStyle w:val="Author"/>
      </w:pPr>
      <w:r>
        <w:t xml:space="preserve">Eric</w:t>
      </w:r>
      <w:r>
        <w:t xml:space="preserve"> </w:t>
      </w:r>
      <w:r>
        <w:t xml:space="preserve">J.</w:t>
      </w:r>
      <w:r>
        <w:t xml:space="preserve"> </w:t>
      </w:r>
      <w:r>
        <w:t xml:space="preserve">Osborne-Christenson</w:t>
      </w:r>
      <w:r>
        <w:rPr>
          <w:rStyle w:val="FootnoteReference"/>
        </w:rPr>
        <w:footnoteReference w:id="20"/>
      </w:r>
    </w:p>
    <w:p>
      <w:pPr>
        <w:pStyle w:val="Date"/>
      </w:pPr>
      <w:r>
        <w:t xml:space="preserve">September</w:t>
      </w:r>
      <w:r>
        <w:t xml:space="preserve"> </w:t>
      </w:r>
      <w:r>
        <w:t xml:space="preserve">2026</w:t>
      </w:r>
    </w:p>
    <w:p>
      <w:pPr>
        <w:pStyle w:val="AbstractTitle"/>
      </w:pPr>
      <w:r>
        <w:t xml:space="preserve">Abstract</w:t>
      </w:r>
    </w:p>
    <w:p>
      <w:pPr>
        <w:pStyle w:val="Abstract"/>
      </w:pPr>
      <w:r>
        <w:t xml:space="preserve">Teen</w:t>
      </w:r>
      <w:r>
        <w:t xml:space="preserve"> </w:t>
      </w:r>
      <w:r>
        <w:t xml:space="preserve">employment</w:t>
      </w:r>
      <w:r>
        <w:t xml:space="preserve"> </w:t>
      </w:r>
      <w:r>
        <w:t xml:space="preserve">effects</w:t>
      </w:r>
      <w:r>
        <w:t xml:space="preserve"> </w:t>
      </w:r>
      <w:r>
        <w:t xml:space="preserve">are</w:t>
      </w:r>
      <w:r>
        <w:t xml:space="preserve"> </w:t>
      </w:r>
      <w:r>
        <w:t xml:space="preserve">central</w:t>
      </w:r>
      <w:r>
        <w:t xml:space="preserve"> </w:t>
      </w:r>
      <w:r>
        <w:t xml:space="preserve">to</w:t>
      </w:r>
      <w:r>
        <w:t xml:space="preserve"> </w:t>
      </w:r>
      <w:r>
        <w:t xml:space="preserve">the</w:t>
      </w:r>
      <w:r>
        <w:t xml:space="preserve"> </w:t>
      </w:r>
      <w:r>
        <w:t xml:space="preserve">minimum</w:t>
      </w:r>
      <w:r>
        <w:t xml:space="preserve"> </w:t>
      </w:r>
      <w:r>
        <w:t xml:space="preserve">wage</w:t>
      </w:r>
      <w:r>
        <w:t xml:space="preserve"> </w:t>
      </w:r>
      <w:r>
        <w:t xml:space="preserve">debate,</w:t>
      </w:r>
      <w:r>
        <w:t xml:space="preserve"> </w:t>
      </w:r>
      <w:r>
        <w:t xml:space="preserve">and</w:t>
      </w:r>
      <w:r>
        <w:t xml:space="preserve"> </w:t>
      </w:r>
      <w:r>
        <w:t xml:space="preserve">the</w:t>
      </w:r>
      <w:r>
        <w:t xml:space="preserve"> </w:t>
      </w:r>
      <w:r>
        <w:t xml:space="preserve">claim</w:t>
      </w:r>
      <w:r>
        <w:t xml:space="preserve"> </w:t>
      </w:r>
      <w:r>
        <w:t xml:space="preserve">that</w:t>
      </w:r>
      <w:r>
        <w:t xml:space="preserve"> </w:t>
      </w:r>
      <w:r>
        <w:t xml:space="preserve">rising</w:t>
      </w:r>
      <w:r>
        <w:t xml:space="preserve"> </w:t>
      </w:r>
      <w:r>
        <w:t xml:space="preserve">minimum</w:t>
      </w:r>
      <w:r>
        <w:t xml:space="preserve"> </w:t>
      </w:r>
      <w:r>
        <w:t xml:space="preserve">wages</w:t>
      </w:r>
      <w:r>
        <w:t xml:space="preserve"> </w:t>
      </w:r>
      <w:r>
        <w:t xml:space="preserve">priced</w:t>
      </w:r>
      <w:r>
        <w:t xml:space="preserve"> </w:t>
      </w:r>
      <w:r>
        <w:t xml:space="preserve">teenagers</w:t>
      </w:r>
      <w:r>
        <w:t xml:space="preserve"> </w:t>
      </w:r>
      <w:r>
        <w:t xml:space="preserve">out</w:t>
      </w:r>
      <w:r>
        <w:t xml:space="preserve"> </w:t>
      </w:r>
      <w:r>
        <w:t xml:space="preserve">of</w:t>
      </w:r>
      <w:r>
        <w:t xml:space="preserve"> </w:t>
      </w:r>
      <w:r>
        <w:t xml:space="preserve">work</w:t>
      </w:r>
      <w:r>
        <w:t xml:space="preserve"> </w:t>
      </w:r>
      <w:r>
        <w:t xml:space="preserve">and</w:t>
      </w:r>
      <w:r>
        <w:t xml:space="preserve"> </w:t>
      </w:r>
      <w:r>
        <w:t xml:space="preserve">into</w:t>
      </w:r>
      <w:r>
        <w:t xml:space="preserve"> </w:t>
      </w:r>
      <w:r>
        <w:t xml:space="preserve">school</w:t>
      </w:r>
      <w:r>
        <w:t xml:space="preserve"> </w:t>
      </w:r>
      <w:r>
        <w:t xml:space="preserve">has</w:t>
      </w:r>
      <w:r>
        <w:t xml:space="preserve"> </w:t>
      </w:r>
      <w:r>
        <w:t xml:space="preserve">been</w:t>
      </w:r>
      <w:r>
        <w:t xml:space="preserve"> </w:t>
      </w:r>
      <w:r>
        <w:t xml:space="preserve">offered</w:t>
      </w:r>
      <w:r>
        <w:t xml:space="preserve"> </w:t>
      </w:r>
      <w:r>
        <w:t xml:space="preserve">as</w:t>
      </w:r>
      <w:r>
        <w:t xml:space="preserve"> </w:t>
      </w:r>
      <w:r>
        <w:t xml:space="preserve">the</w:t>
      </w:r>
      <w:r>
        <w:t xml:space="preserve"> </w:t>
      </w:r>
      <w:r>
        <w:t xml:space="preserve">leading</w:t>
      </w:r>
      <w:r>
        <w:t xml:space="preserve"> </w:t>
      </w:r>
      <w:r>
        <w:t xml:space="preserve">explanation</w:t>
      </w:r>
      <w:r>
        <w:t xml:space="preserve"> </w:t>
      </w:r>
      <w:r>
        <w:t xml:space="preserve">for</w:t>
      </w:r>
      <w:r>
        <w:t xml:space="preserve"> </w:t>
      </w:r>
      <w:r>
        <w:t xml:space="preserve">the</w:t>
      </w:r>
      <w:r>
        <w:t xml:space="preserve"> </w:t>
      </w:r>
      <w:r>
        <w:t xml:space="preserve">fall</w:t>
      </w:r>
      <w:r>
        <w:t xml:space="preserve"> </w:t>
      </w:r>
      <w:r>
        <w:t xml:space="preserve">in</w:t>
      </w:r>
      <w:r>
        <w:t xml:space="preserve"> </w:t>
      </w:r>
      <w:r>
        <w:t xml:space="preserve">teen</w:t>
      </w:r>
      <w:r>
        <w:t xml:space="preserve"> </w:t>
      </w:r>
      <w:r>
        <w:t xml:space="preserve">employment</w:t>
      </w:r>
      <w:r>
        <w:t xml:space="preserve"> </w:t>
      </w:r>
      <w:r>
        <w:t xml:space="preserve">since</w:t>
      </w:r>
      <w:r>
        <w:t xml:space="preserve"> </w:t>
      </w:r>
      <w:r>
        <w:t xml:space="preserve">2000.</w:t>
      </w:r>
      <w:r>
        <w:t xml:space="preserve"> </w:t>
      </w:r>
      <w:r>
        <w:t xml:space="preserve">I</w:t>
      </w:r>
      <w:r>
        <w:t xml:space="preserve"> </w:t>
      </w:r>
      <w:r>
        <w:t xml:space="preserve">investigate</w:t>
      </w:r>
      <w:r>
        <w:t xml:space="preserve"> </w:t>
      </w:r>
      <w:r>
        <w:t xml:space="preserve">the</w:t>
      </w:r>
      <w:r>
        <w:t xml:space="preserve"> </w:t>
      </w:r>
      <w:r>
        <w:t xml:space="preserve">effect</w:t>
      </w:r>
      <w:r>
        <w:t xml:space="preserve"> </w:t>
      </w:r>
      <w:r>
        <w:t xml:space="preserve">of</w:t>
      </w:r>
      <w:r>
        <w:t xml:space="preserve"> </w:t>
      </w:r>
      <w:r>
        <w:t xml:space="preserve">minimum</w:t>
      </w:r>
      <w:r>
        <w:t xml:space="preserve"> </w:t>
      </w:r>
      <w:r>
        <w:t xml:space="preserve">wage</w:t>
      </w:r>
      <w:r>
        <w:t xml:space="preserve"> </w:t>
      </w:r>
      <w:r>
        <w:t xml:space="preserve">increases</w:t>
      </w:r>
      <w:r>
        <w:t xml:space="preserve"> </w:t>
      </w:r>
      <w:r>
        <w:t xml:space="preserve">on</w:t>
      </w:r>
      <w:r>
        <w:t xml:space="preserve"> </w:t>
      </w:r>
      <w:r>
        <w:t xml:space="preserve">how</w:t>
      </w:r>
      <w:r>
        <w:t xml:space="preserve"> </w:t>
      </w:r>
      <w:r>
        <w:t xml:space="preserve">teenagers</w:t>
      </w:r>
      <w:r>
        <w:t xml:space="preserve"> </w:t>
      </w:r>
      <w:r>
        <w:t xml:space="preserve">divide</w:t>
      </w:r>
      <w:r>
        <w:t xml:space="preserve"> </w:t>
      </w:r>
      <w:r>
        <w:t xml:space="preserve">their</w:t>
      </w:r>
      <w:r>
        <w:t xml:space="preserve"> </w:t>
      </w:r>
      <w:r>
        <w:t xml:space="preserve">time</w:t>
      </w:r>
      <w:r>
        <w:t xml:space="preserve"> </w:t>
      </w:r>
      <w:r>
        <w:t xml:space="preserve">between</w:t>
      </w:r>
      <w:r>
        <w:t xml:space="preserve"> </w:t>
      </w:r>
      <w:r>
        <w:t xml:space="preserve">school</w:t>
      </w:r>
      <w:r>
        <w:t xml:space="preserve"> </w:t>
      </w:r>
      <w:r>
        <w:t xml:space="preserve">and</w:t>
      </w:r>
      <w:r>
        <w:t xml:space="preserve"> </w:t>
      </w:r>
      <w:r>
        <w:t xml:space="preserve">work,</w:t>
      </w:r>
      <w:r>
        <w:t xml:space="preserve"> </w:t>
      </w:r>
      <w:r>
        <w:t xml:space="preserve">and</w:t>
      </w:r>
      <w:r>
        <w:t xml:space="preserve"> </w:t>
      </w:r>
      <w:r>
        <w:t xml:space="preserve">on</w:t>
      </w:r>
      <w:r>
        <w:t xml:space="preserve"> </w:t>
      </w:r>
      <w:r>
        <w:t xml:space="preserve">their</w:t>
      </w:r>
      <w:r>
        <w:t xml:space="preserve"> </w:t>
      </w:r>
      <w:r>
        <w:t xml:space="preserve">wages,</w:t>
      </w:r>
      <w:r>
        <w:t xml:space="preserve"> </w:t>
      </w:r>
      <w:r>
        <w:t xml:space="preserve">using</w:t>
      </w:r>
      <w:r>
        <w:t xml:space="preserve"> </w:t>
      </w:r>
      <w:r>
        <w:t xml:space="preserve">the</w:t>
      </w:r>
      <w:r>
        <w:t xml:space="preserve"> </w:t>
      </w:r>
      <w:r>
        <w:t xml:space="preserve">event</w:t>
      </w:r>
      <w:r>
        <w:t xml:space="preserve"> </w:t>
      </w:r>
      <w:r>
        <w:t xml:space="preserve">design</w:t>
      </w:r>
      <w:r>
        <w:t xml:space="preserve"> </w:t>
      </w:r>
      <w:r>
        <w:t xml:space="preserve">the</w:t>
      </w:r>
      <w:r>
        <w:t xml:space="preserve"> </w:t>
      </w:r>
      <w:r>
        <w:t xml:space="preserve">employment</w:t>
      </w:r>
      <w:r>
        <w:t xml:space="preserve"> </w:t>
      </w:r>
      <w:r>
        <w:t xml:space="preserve">literature</w:t>
      </w:r>
      <w:r>
        <w:t xml:space="preserve"> </w:t>
      </w:r>
      <w:r>
        <w:t xml:space="preserve">now</w:t>
      </w:r>
      <w:r>
        <w:t xml:space="preserve"> </w:t>
      </w:r>
      <w:r>
        <w:t xml:space="preserve">uses.</w:t>
      </w:r>
      <w:r>
        <w:t xml:space="preserve"> </w:t>
      </w:r>
      <w:r>
        <w:t xml:space="preserve">Every</w:t>
      </w:r>
      <w:r>
        <w:t xml:space="preserve"> </w:t>
      </w:r>
      <w:r>
        <w:t xml:space="preserve">county</w:t>
      </w:r>
      <w:r>
        <w:t xml:space="preserve"> </w:t>
      </w:r>
      <w:r>
        <w:t xml:space="preserve">with</w:t>
      </w:r>
      <w:r>
        <w:t xml:space="preserve"> </w:t>
      </w:r>
      <w:r>
        <w:t xml:space="preserve">its</w:t>
      </w:r>
      <w:r>
        <w:t xml:space="preserve"> </w:t>
      </w:r>
      <w:r>
        <w:t xml:space="preserve">own</w:t>
      </w:r>
      <w:r>
        <w:t xml:space="preserve"> </w:t>
      </w:r>
      <w:r>
        <w:t xml:space="preserve">minimum</w:t>
      </w:r>
      <w:r>
        <w:t xml:space="preserve"> </w:t>
      </w:r>
      <w:r>
        <w:t xml:space="preserve">wage</w:t>
      </w:r>
      <w:r>
        <w:t xml:space="preserve"> </w:t>
      </w:r>
      <w:r>
        <w:t xml:space="preserve">is</w:t>
      </w:r>
      <w:r>
        <w:t xml:space="preserve"> </w:t>
      </w:r>
      <w:r>
        <w:t xml:space="preserve">a</w:t>
      </w:r>
      <w:r>
        <w:t xml:space="preserve"> </w:t>
      </w:r>
      <w:r>
        <w:t xml:space="preserve">geographic</w:t>
      </w:r>
      <w:r>
        <w:t xml:space="preserve"> </w:t>
      </w:r>
      <w:r>
        <w:t xml:space="preserve">unit</w:t>
      </w:r>
      <w:r>
        <w:t xml:space="preserve"> </w:t>
      </w:r>
      <w:r>
        <w:t xml:space="preserve">with</w:t>
      </w:r>
      <w:r>
        <w:t xml:space="preserve"> </w:t>
      </w:r>
      <w:r>
        <w:t xml:space="preserve">its</w:t>
      </w:r>
      <w:r>
        <w:t xml:space="preserve"> </w:t>
      </w:r>
      <w:r>
        <w:t xml:space="preserve">own</w:t>
      </w:r>
      <w:r>
        <w:t xml:space="preserve"> </w:t>
      </w:r>
      <w:r>
        <w:t xml:space="preserve">wage</w:t>
      </w:r>
      <w:r>
        <w:t xml:space="preserve"> </w:t>
      </w:r>
      <w:r>
        <w:t xml:space="preserve">floor,</w:t>
      </w:r>
      <w:r>
        <w:t xml:space="preserve"> </w:t>
      </w:r>
      <w:r>
        <w:t xml:space="preserve">the</w:t>
      </w:r>
      <w:r>
        <w:t xml:space="preserve"> </w:t>
      </w:r>
      <w:r>
        <w:t xml:space="preserve">rest</w:t>
      </w:r>
      <w:r>
        <w:t xml:space="preserve"> </w:t>
      </w:r>
      <w:r>
        <w:t xml:space="preserve">of</w:t>
      </w:r>
      <w:r>
        <w:t xml:space="preserve"> </w:t>
      </w:r>
      <w:r>
        <w:t xml:space="preserve">each</w:t>
      </w:r>
      <w:r>
        <w:t xml:space="preserve"> </w:t>
      </w:r>
      <w:r>
        <w:t xml:space="preserve">state</w:t>
      </w:r>
      <w:r>
        <w:t xml:space="preserve"> </w:t>
      </w:r>
      <w:r>
        <w:t xml:space="preserve">is</w:t>
      </w:r>
      <w:r>
        <w:t xml:space="preserve"> </w:t>
      </w:r>
      <w:r>
        <w:t xml:space="preserve">another,</w:t>
      </w:r>
      <w:r>
        <w:t xml:space="preserve"> </w:t>
      </w:r>
      <w:r>
        <w:t xml:space="preserve">and</w:t>
      </w:r>
      <w:r>
        <w:t xml:space="preserve"> </w:t>
      </w:r>
      <w:r>
        <w:t xml:space="preserve">an</w:t>
      </w:r>
      <w:r>
        <w:t xml:space="preserve"> </w:t>
      </w:r>
      <w:r>
        <w:t xml:space="preserve">event</w:t>
      </w:r>
      <w:r>
        <w:t xml:space="preserve"> </w:t>
      </w:r>
      <w:r>
        <w:t xml:space="preserve">is</w:t>
      </w:r>
      <w:r>
        <w:t xml:space="preserve"> </w:t>
      </w:r>
      <w:r>
        <w:t xml:space="preserve">a</w:t>
      </w:r>
      <w:r>
        <w:t xml:space="preserve"> </w:t>
      </w:r>
      <w:r>
        <w:t xml:space="preserve">rise</w:t>
      </w:r>
      <w:r>
        <w:t xml:space="preserve"> </w:t>
      </w:r>
      <w:r>
        <w:t xml:space="preserve">of</w:t>
      </w:r>
      <w:r>
        <w:t xml:space="preserve"> </w:t>
      </w:r>
      <w:r>
        <w:t xml:space="preserve">at</w:t>
      </w:r>
      <w:r>
        <w:t xml:space="preserve"> </w:t>
      </w:r>
      <w:r>
        <w:t xml:space="preserve">least</w:t>
      </w:r>
      <w:r>
        <w:t xml:space="preserve"> </w:t>
      </w:r>
      <w:r>
        <w:t xml:space="preserve">5</w:t>
      </w:r>
      <w:r>
        <w:t xml:space="preserve"> </w:t>
      </w:r>
      <w:r>
        <w:t xml:space="preserve">percent</w:t>
      </w:r>
      <w:r>
        <w:t xml:space="preserve"> </w:t>
      </w:r>
      <w:r>
        <w:t xml:space="preserve">in</w:t>
      </w:r>
      <w:r>
        <w:t xml:space="preserve"> </w:t>
      </w:r>
      <w:r>
        <w:t xml:space="preserve">a</w:t>
      </w:r>
      <w:r>
        <w:t xml:space="preserve"> </w:t>
      </w:r>
      <w:r>
        <w:t xml:space="preserve">unit’s</w:t>
      </w:r>
      <w:r>
        <w:t xml:space="preserve"> </w:t>
      </w:r>
      <w:r>
        <w:t xml:space="preserve">minimum</w:t>
      </w:r>
      <w:r>
        <w:t xml:space="preserve"> </w:t>
      </w:r>
      <w:r>
        <w:t xml:space="preserve">after</w:t>
      </w:r>
      <w:r>
        <w:t xml:space="preserve"> </w:t>
      </w:r>
      <w:r>
        <w:t xml:space="preserve">three</w:t>
      </w:r>
      <w:r>
        <w:t xml:space="preserve"> </w:t>
      </w:r>
      <w:r>
        <w:t xml:space="preserve">quiet</w:t>
      </w:r>
      <w:r>
        <w:t xml:space="preserve"> </w:t>
      </w:r>
      <w:r>
        <w:t xml:space="preserve">years:</w:t>
      </w:r>
      <w:r>
        <w:t xml:space="preserve"> </w:t>
      </w:r>
      <w:r>
        <w:t xml:space="preserve">73</w:t>
      </w:r>
      <w:r>
        <w:t xml:space="preserve"> </w:t>
      </w:r>
      <w:r>
        <w:t xml:space="preserve">events</w:t>
      </w:r>
      <w:r>
        <w:t xml:space="preserve"> </w:t>
      </w:r>
      <w:r>
        <w:t xml:space="preserve">in</w:t>
      </w:r>
      <w:r>
        <w:t xml:space="preserve"> </w:t>
      </w:r>
      <w:r>
        <w:t xml:space="preserve">2010–2025,</w:t>
      </w:r>
      <w:r>
        <w:t xml:space="preserve"> </w:t>
      </w:r>
      <w:r>
        <w:t xml:space="preserve">compared</w:t>
      </w:r>
      <w:r>
        <w:t xml:space="preserve"> </w:t>
      </w:r>
      <w:r>
        <w:t xml:space="preserve">with</w:t>
      </w:r>
      <w:r>
        <w:t xml:space="preserve"> </w:t>
      </w:r>
      <w:r>
        <w:t xml:space="preserve">clean</w:t>
      </w:r>
      <w:r>
        <w:t xml:space="preserve"> </w:t>
      </w:r>
      <w:r>
        <w:t xml:space="preserve">control</w:t>
      </w:r>
      <w:r>
        <w:t xml:space="preserve"> </w:t>
      </w:r>
      <w:r>
        <w:t xml:space="preserve">units</w:t>
      </w:r>
      <w:r>
        <w:t xml:space="preserve"> </w:t>
      </w:r>
      <w:r>
        <w:t xml:space="preserve">in</w:t>
      </w:r>
      <w:r>
        <w:t xml:space="preserve"> </w:t>
      </w:r>
      <w:r>
        <w:t xml:space="preserve">other</w:t>
      </w:r>
      <w:r>
        <w:t xml:space="preserve"> </w:t>
      </w:r>
      <w:r>
        <w:t xml:space="preserve">states,</w:t>
      </w:r>
      <w:r>
        <w:t xml:space="preserve"> </w:t>
      </w:r>
      <w:r>
        <w:t xml:space="preserve">in</w:t>
      </w:r>
      <w:r>
        <w:t xml:space="preserve"> </w:t>
      </w:r>
      <w:r>
        <w:t xml:space="preserve">monthly</w:t>
      </w:r>
      <w:r>
        <w:t xml:space="preserve"> </w:t>
      </w:r>
      <w:r>
        <w:t xml:space="preserve">Current</w:t>
      </w:r>
      <w:r>
        <w:t xml:space="preserve"> </w:t>
      </w:r>
      <w:r>
        <w:t xml:space="preserve">Population</w:t>
      </w:r>
      <w:r>
        <w:t xml:space="preserve"> </w:t>
      </w:r>
      <w:r>
        <w:t xml:space="preserve">Survey</w:t>
      </w:r>
      <w:r>
        <w:t xml:space="preserve"> </w:t>
      </w:r>
      <w:r>
        <w:t xml:space="preserve">data</w:t>
      </w:r>
      <w:r>
        <w:t xml:space="preserve"> </w:t>
      </w:r>
      <w:r>
        <w:t xml:space="preserve">on</w:t>
      </w:r>
      <w:r>
        <w:t xml:space="preserve"> </w:t>
      </w:r>
      <w:r>
        <w:t xml:space="preserve">5.5</w:t>
      </w:r>
      <w:r>
        <w:t xml:space="preserve"> </w:t>
      </w:r>
      <w:r>
        <w:t xml:space="preserve">million</w:t>
      </w:r>
      <w:r>
        <w:t xml:space="preserve"> </w:t>
      </w:r>
      <w:r>
        <w:t xml:space="preserve">16–24</w:t>
      </w:r>
      <w:r>
        <w:t xml:space="preserve"> </w:t>
      </w:r>
      <w:r>
        <w:t xml:space="preserve">year</w:t>
      </w:r>
      <w:r>
        <w:t xml:space="preserve"> </w:t>
      </w:r>
      <w:r>
        <w:t xml:space="preserve">olds.</w:t>
      </w:r>
      <w:r>
        <w:t xml:space="preserve"> </w:t>
      </w:r>
      <w:r>
        <w:t xml:space="preserve">The</w:t>
      </w:r>
      <w:r>
        <w:t xml:space="preserve"> </w:t>
      </w:r>
      <w:r>
        <w:t xml:space="preserve">increases</w:t>
      </w:r>
      <w:r>
        <w:t xml:space="preserve"> </w:t>
      </w:r>
      <w:r>
        <w:t xml:space="preserve">raised</w:t>
      </w:r>
      <w:r>
        <w:t xml:space="preserve"> </w:t>
      </w:r>
      <w:r>
        <w:t xml:space="preserve">the</w:t>
      </w:r>
      <w:r>
        <w:t xml:space="preserve"> </w:t>
      </w:r>
      <w:r>
        <w:t xml:space="preserve">hourly</w:t>
      </w:r>
      <w:r>
        <w:t xml:space="preserve"> </w:t>
      </w:r>
      <w:r>
        <w:t xml:space="preserve">wages</w:t>
      </w:r>
      <w:r>
        <w:t xml:space="preserve"> </w:t>
      </w:r>
      <w:r>
        <w:t xml:space="preserve">of</w:t>
      </w:r>
      <w:r>
        <w:t xml:space="preserve"> </w:t>
      </w:r>
      <w:r>
        <w:t xml:space="preserve">hourly-paid</w:t>
      </w:r>
      <w:r>
        <w:t xml:space="preserve"> </w:t>
      </w:r>
      <w:r>
        <w:t xml:space="preserve">teens</w:t>
      </w:r>
      <w:r>
        <w:t xml:space="preserve"> </w:t>
      </w:r>
      <w:r>
        <w:t xml:space="preserve">by</w:t>
      </w:r>
      <w:r>
        <w:t xml:space="preserve"> </w:t>
      </w:r>
      <w:r>
        <w:t xml:space="preserve">3</w:t>
      </w:r>
      <w:r>
        <w:t xml:space="preserve"> </w:t>
      </w:r>
      <w:r>
        <w:t xml:space="preserve">to</w:t>
      </w:r>
      <w:r>
        <w:t xml:space="preserve"> </w:t>
      </w:r>
      <w:r>
        <w:t xml:space="preserve">5</w:t>
      </w:r>
      <w:r>
        <w:t xml:space="preserve"> </w:t>
      </w:r>
      <w:r>
        <w:t xml:space="preserve">percent,</w:t>
      </w:r>
      <w:r>
        <w:t xml:space="preserve"> </w:t>
      </w:r>
      <w:r>
        <w:t xml:space="preserve">growing</w:t>
      </w:r>
      <w:r>
        <w:t xml:space="preserve"> </w:t>
      </w:r>
      <w:r>
        <w:t xml:space="preserve">to</w:t>
      </w:r>
      <w:r>
        <w:t xml:space="preserve"> </w:t>
      </w:r>
      <w:r>
        <w:t xml:space="preserve">5</w:t>
      </w:r>
      <w:r>
        <w:t xml:space="preserve"> </w:t>
      </w:r>
      <w:r>
        <w:t xml:space="preserve">to</w:t>
      </w:r>
      <w:r>
        <w:t xml:space="preserve"> </w:t>
      </w:r>
      <w:r>
        <w:t xml:space="preserve">7</w:t>
      </w:r>
      <w:r>
        <w:t xml:space="preserve"> </w:t>
      </w:r>
      <w:r>
        <w:t xml:space="preserve">percent</w:t>
      </w:r>
      <w:r>
        <w:t xml:space="preserve"> </w:t>
      </w:r>
      <w:r>
        <w:t xml:space="preserve">by</w:t>
      </w:r>
      <w:r>
        <w:t xml:space="preserve"> </w:t>
      </w:r>
      <w:r>
        <w:t xml:space="preserve">the</w:t>
      </w:r>
      <w:r>
        <w:t xml:space="preserve"> </w:t>
      </w:r>
      <w:r>
        <w:t xml:space="preserve">third</w:t>
      </w:r>
      <w:r>
        <w:t xml:space="preserve"> </w:t>
      </w:r>
      <w:r>
        <w:t xml:space="preserve">year,</w:t>
      </w:r>
      <w:r>
        <w:t xml:space="preserve"> </w:t>
      </w:r>
      <w:r>
        <w:t xml:space="preserve">for</w:t>
      </w:r>
      <w:r>
        <w:t xml:space="preserve"> </w:t>
      </w:r>
      <w:r>
        <w:t xml:space="preserve">teens</w:t>
      </w:r>
      <w:r>
        <w:t xml:space="preserve"> </w:t>
      </w:r>
      <w:r>
        <w:t xml:space="preserve">from</w:t>
      </w:r>
      <w:r>
        <w:t xml:space="preserve"> </w:t>
      </w:r>
      <w:r>
        <w:t xml:space="preserve">low-</w:t>
      </w:r>
      <w:r>
        <w:t xml:space="preserve"> </w:t>
      </w:r>
      <w:r>
        <w:t xml:space="preserve">and</w:t>
      </w:r>
      <w:r>
        <w:t xml:space="preserve"> </w:t>
      </w:r>
      <w:r>
        <w:t xml:space="preserve">high-income</w:t>
      </w:r>
      <w:r>
        <w:t xml:space="preserve"> </w:t>
      </w:r>
      <w:r>
        <w:t xml:space="preserve">families</w:t>
      </w:r>
      <w:r>
        <w:t xml:space="preserve"> </w:t>
      </w:r>
      <w:r>
        <w:t xml:space="preserve">alike.</w:t>
      </w:r>
      <w:r>
        <w:t xml:space="preserve"> </w:t>
      </w:r>
      <w:r>
        <w:t xml:space="preserve">They</w:t>
      </w:r>
      <w:r>
        <w:t xml:space="preserve"> </w:t>
      </w:r>
      <w:r>
        <w:t xml:space="preserve">did</w:t>
      </w:r>
      <w:r>
        <w:t xml:space="preserve"> </w:t>
      </w:r>
      <w:r>
        <w:t xml:space="preserve">not</w:t>
      </w:r>
      <w:r>
        <w:t xml:space="preserve"> </w:t>
      </w:r>
      <w:r>
        <w:t xml:space="preserve">change</w:t>
      </w:r>
      <w:r>
        <w:t xml:space="preserve"> </w:t>
      </w:r>
      <w:r>
        <w:t xml:space="preserve">the</w:t>
      </w:r>
      <w:r>
        <w:t xml:space="preserve"> </w:t>
      </w:r>
      <w:r>
        <w:t xml:space="preserve">share</w:t>
      </w:r>
      <w:r>
        <w:t xml:space="preserve"> </w:t>
      </w:r>
      <w:r>
        <w:t xml:space="preserve">of</w:t>
      </w:r>
      <w:r>
        <w:t xml:space="preserve"> </w:t>
      </w:r>
      <w:r>
        <w:t xml:space="preserve">teens</w:t>
      </w:r>
      <w:r>
        <w:t xml:space="preserve"> </w:t>
      </w:r>
      <w:r>
        <w:t xml:space="preserve">enrolled</w:t>
      </w:r>
      <w:r>
        <w:t xml:space="preserve"> </w:t>
      </w:r>
      <w:r>
        <w:t xml:space="preserve">and</w:t>
      </w:r>
      <w:r>
        <w:t xml:space="preserve"> </w:t>
      </w:r>
      <w:r>
        <w:t xml:space="preserve">employed,</w:t>
      </w:r>
      <w:r>
        <w:t xml:space="preserve"> </w:t>
      </w:r>
      <w:r>
        <w:t xml:space="preserve">enrolled</w:t>
      </w:r>
      <w:r>
        <w:t xml:space="preserve"> </w:t>
      </w:r>
      <w:r>
        <w:t xml:space="preserve">only,</w:t>
      </w:r>
      <w:r>
        <w:t xml:space="preserve"> </w:t>
      </w:r>
      <w:r>
        <w:t xml:space="preserve">employed</w:t>
      </w:r>
      <w:r>
        <w:t xml:space="preserve"> </w:t>
      </w:r>
      <w:r>
        <w:t xml:space="preserve">only,</w:t>
      </w:r>
      <w:r>
        <w:t xml:space="preserve"> </w:t>
      </w:r>
      <w:r>
        <w:t xml:space="preserve">or</w:t>
      </w:r>
      <w:r>
        <w:t xml:space="preserve"> </w:t>
      </w:r>
      <w:r>
        <w:t xml:space="preserve">neither,</w:t>
      </w:r>
      <w:r>
        <w:t xml:space="preserve"> </w:t>
      </w:r>
      <w:r>
        <w:t xml:space="preserve">at</w:t>
      </w:r>
      <w:r>
        <w:t xml:space="preserve"> </w:t>
      </w:r>
      <w:r>
        <w:t xml:space="preserve">ages</w:t>
      </w:r>
      <w:r>
        <w:t xml:space="preserve"> </w:t>
      </w:r>
      <w:r>
        <w:t xml:space="preserve">16–17</w:t>
      </w:r>
      <w:r>
        <w:t xml:space="preserve"> </w:t>
      </w:r>
      <w:r>
        <w:t xml:space="preserve">or</w:t>
      </w:r>
      <w:r>
        <w:t xml:space="preserve"> </w:t>
      </w:r>
      <w:r>
        <w:t xml:space="preserve">18–19,</w:t>
      </w:r>
      <w:r>
        <w:t xml:space="preserve"> </w:t>
      </w:r>
      <w:r>
        <w:t xml:space="preserve">for</w:t>
      </w:r>
      <w:r>
        <w:t xml:space="preserve"> </w:t>
      </w:r>
      <w:r>
        <w:t xml:space="preserve">either</w:t>
      </w:r>
      <w:r>
        <w:t xml:space="preserve"> </w:t>
      </w:r>
      <w:r>
        <w:t xml:space="preserve">income</w:t>
      </w:r>
      <w:r>
        <w:t xml:space="preserve"> </w:t>
      </w:r>
      <w:r>
        <w:t xml:space="preserve">group,</w:t>
      </w:r>
      <w:r>
        <w:t xml:space="preserve"> </w:t>
      </w:r>
      <w:r>
        <w:t xml:space="preserve">with</w:t>
      </w:r>
      <w:r>
        <w:t xml:space="preserve"> </w:t>
      </w:r>
      <w:r>
        <w:t xml:space="preserve">intervals</w:t>
      </w:r>
      <w:r>
        <w:t xml:space="preserve"> </w:t>
      </w:r>
      <w:r>
        <w:t xml:space="preserve">that</w:t>
      </w:r>
      <w:r>
        <w:t xml:space="preserve"> </w:t>
      </w:r>
      <w:r>
        <w:t xml:space="preserve">exclude</w:t>
      </w:r>
      <w:r>
        <w:t xml:space="preserve"> </w:t>
      </w:r>
      <w:r>
        <w:t xml:space="preserve">changes</w:t>
      </w:r>
      <w:r>
        <w:t xml:space="preserve"> </w:t>
      </w:r>
      <w:r>
        <w:t xml:space="preserve">larger</w:t>
      </w:r>
      <w:r>
        <w:t xml:space="preserve"> </w:t>
      </w:r>
      <w:r>
        <w:t xml:space="preserve">than</w:t>
      </w:r>
      <w:r>
        <w:t xml:space="preserve"> </w:t>
      </w:r>
      <w:r>
        <w:t xml:space="preserve">one</w:t>
      </w:r>
      <w:r>
        <w:t xml:space="preserve"> </w:t>
      </w:r>
      <w:r>
        <w:t xml:space="preserve">to</w:t>
      </w:r>
      <w:r>
        <w:t xml:space="preserve"> </w:t>
      </w:r>
      <w:r>
        <w:t xml:space="preserve">two</w:t>
      </w:r>
      <w:r>
        <w:t xml:space="preserve"> </w:t>
      </w:r>
      <w:r>
        <w:t xml:space="preserve">points.</w:t>
      </w:r>
      <w:r>
        <w:t xml:space="preserve"> </w:t>
      </w:r>
      <w:r>
        <w:t xml:space="preserve">A</w:t>
      </w:r>
      <w:r>
        <w:t xml:space="preserve"> </w:t>
      </w:r>
      <w:r>
        <w:t xml:space="preserve">two-period</w:t>
      </w:r>
      <w:r>
        <w:t xml:space="preserve"> </w:t>
      </w:r>
      <w:r>
        <w:t xml:space="preserve">schooling</w:t>
      </w:r>
      <w:r>
        <w:t xml:space="preserve"> </w:t>
      </w:r>
      <w:r>
        <w:t xml:space="preserve">model</w:t>
      </w:r>
      <w:r>
        <w:t xml:space="preserve"> </w:t>
      </w:r>
      <w:r>
        <w:t xml:space="preserve">shows</w:t>
      </w:r>
      <w:r>
        <w:t xml:space="preserve"> </w:t>
      </w:r>
      <w:r>
        <w:t xml:space="preserve">why:</w:t>
      </w:r>
      <w:r>
        <w:t xml:space="preserve"> </w:t>
      </w:r>
      <w:r>
        <w:t xml:space="preserve">the</w:t>
      </w:r>
      <w:r>
        <w:t xml:space="preserve"> </w:t>
      </w:r>
      <w:r>
        <w:t xml:space="preserve">enrollment</w:t>
      </w:r>
      <w:r>
        <w:t xml:space="preserve"> </w:t>
      </w:r>
      <w:r>
        <w:t xml:space="preserve">decision</w:t>
      </w:r>
      <w:r>
        <w:t xml:space="preserve"> </w:t>
      </w:r>
      <w:r>
        <w:t xml:space="preserve">turns</w:t>
      </w:r>
      <w:r>
        <w:t xml:space="preserve"> </w:t>
      </w:r>
      <w:r>
        <w:t xml:space="preserve">on</w:t>
      </w:r>
      <w:r>
        <w:t xml:space="preserve"> </w:t>
      </w:r>
      <w:r>
        <w:t xml:space="preserve">the</w:t>
      </w:r>
      <w:r>
        <w:t xml:space="preserve"> </w:t>
      </w:r>
      <w:r>
        <w:t xml:space="preserve">skilled–unskilled</w:t>
      </w:r>
      <w:r>
        <w:t xml:space="preserve"> </w:t>
      </w:r>
      <w:r>
        <w:t xml:space="preserve">wage</w:t>
      </w:r>
      <w:r>
        <w:t xml:space="preserve"> </w:t>
      </w:r>
      <w:r>
        <w:t xml:space="preserve">premium,</w:t>
      </w:r>
      <w:r>
        <w:t xml:space="preserve"> </w:t>
      </w:r>
      <w:r>
        <w:t xml:space="preserve">which</w:t>
      </w:r>
      <w:r>
        <w:t xml:space="preserve"> </w:t>
      </w:r>
      <w:r>
        <w:t xml:space="preserve">a</w:t>
      </w:r>
      <w:r>
        <w:t xml:space="preserve"> </w:t>
      </w:r>
      <w:r>
        <w:t xml:space="preserve">5</w:t>
      </w:r>
      <w:r>
        <w:t xml:space="preserve"> </w:t>
      </w:r>
      <w:r>
        <w:t xml:space="preserve">percent</w:t>
      </w:r>
      <w:r>
        <w:t xml:space="preserve"> </w:t>
      </w:r>
      <w:r>
        <w:t xml:space="preserve">rise</w:t>
      </w:r>
      <w:r>
        <w:t xml:space="preserve"> </w:t>
      </w:r>
      <w:r>
        <w:t xml:space="preserve">in</w:t>
      </w:r>
      <w:r>
        <w:t xml:space="preserve"> </w:t>
      </w:r>
      <w:r>
        <w:t xml:space="preserve">the</w:t>
      </w:r>
      <w:r>
        <w:t xml:space="preserve"> </w:t>
      </w:r>
      <w:r>
        <w:t xml:space="preserve">teen</w:t>
      </w:r>
      <w:r>
        <w:t xml:space="preserve"> </w:t>
      </w:r>
      <w:r>
        <w:t xml:space="preserve">wage</w:t>
      </w:r>
      <w:r>
        <w:t xml:space="preserve"> </w:t>
      </w:r>
      <w:r>
        <w:t xml:space="preserve">barely</w:t>
      </w:r>
      <w:r>
        <w:t xml:space="preserve"> </w:t>
      </w:r>
      <w:r>
        <w:t xml:space="preserve">moves,</w:t>
      </w:r>
      <w:r>
        <w:t xml:space="preserve"> </w:t>
      </w:r>
      <w:r>
        <w:t xml:space="preserve">and</w:t>
      </w:r>
      <w:r>
        <w:t xml:space="preserve"> </w:t>
      </w:r>
      <w:r>
        <w:t xml:space="preserve">if</w:t>
      </w:r>
      <w:r>
        <w:t xml:space="preserve"> </w:t>
      </w:r>
      <w:r>
        <w:t xml:space="preserve">employers</w:t>
      </w:r>
      <w:r>
        <w:t xml:space="preserve"> </w:t>
      </w:r>
      <w:r>
        <w:t xml:space="preserve">set</w:t>
      </w:r>
      <w:r>
        <w:t xml:space="preserve"> </w:t>
      </w:r>
      <w:r>
        <w:t xml:space="preserve">teen</w:t>
      </w:r>
      <w:r>
        <w:t xml:space="preserve"> </w:t>
      </w:r>
      <w:r>
        <w:t xml:space="preserve">wages</w:t>
      </w:r>
      <w:r>
        <w:t xml:space="preserve"> </w:t>
      </w:r>
      <w:r>
        <w:t xml:space="preserve">below</w:t>
      </w:r>
      <w:r>
        <w:t xml:space="preserve"> </w:t>
      </w:r>
      <w:r>
        <w:t xml:space="preserve">the</w:t>
      </w:r>
      <w:r>
        <w:t xml:space="preserve"> </w:t>
      </w:r>
      <w:r>
        <w:t xml:space="preserve">competitive</w:t>
      </w:r>
      <w:r>
        <w:t xml:space="preserve"> </w:t>
      </w:r>
      <w:r>
        <w:t xml:space="preserve">level</w:t>
      </w:r>
      <w:r>
        <w:t xml:space="preserve"> </w:t>
      </w:r>
      <w:r>
        <w:t xml:space="preserve">the</w:t>
      </w:r>
      <w:r>
        <w:t xml:space="preserve"> </w:t>
      </w:r>
      <w:r>
        <w:t xml:space="preserve">increase</w:t>
      </w:r>
      <w:r>
        <w:t xml:space="preserve"> </w:t>
      </w:r>
      <w:r>
        <w:t xml:space="preserve">raises</w:t>
      </w:r>
      <w:r>
        <w:t xml:space="preserve"> </w:t>
      </w:r>
      <w:r>
        <w:t xml:space="preserve">pay</w:t>
      </w:r>
      <w:r>
        <w:t xml:space="preserve"> </w:t>
      </w:r>
      <w:r>
        <w:t xml:space="preserve">without</w:t>
      </w:r>
      <w:r>
        <w:t xml:space="preserve"> </w:t>
      </w:r>
      <w:r>
        <w:t xml:space="preserve">reducing</w:t>
      </w:r>
      <w:r>
        <w:t xml:space="preserve"> </w:t>
      </w:r>
      <w:r>
        <w:t xml:space="preserve">the</w:t>
      </w:r>
      <w:r>
        <w:t xml:space="preserve"> </w:t>
      </w:r>
      <w:r>
        <w:t xml:space="preserve">chance</w:t>
      </w:r>
      <w:r>
        <w:t xml:space="preserve"> </w:t>
      </w:r>
      <w:r>
        <w:t xml:space="preserve">of</w:t>
      </w:r>
      <w:r>
        <w:t xml:space="preserve"> </w:t>
      </w:r>
      <w:r>
        <w:t xml:space="preserve">a</w:t>
      </w:r>
      <w:r>
        <w:t xml:space="preserve"> </w:t>
      </w:r>
      <w:r>
        <w:t xml:space="preserve">job.</w:t>
      </w:r>
      <w:r>
        <w:t xml:space="preserve"> </w:t>
      </w:r>
      <w:r>
        <w:t xml:space="preserve">The</w:t>
      </w:r>
      <w:r>
        <w:t xml:space="preserve"> </w:t>
      </w:r>
      <w:r>
        <w:t xml:space="preserve">results</w:t>
      </w:r>
      <w:r>
        <w:t xml:space="preserve"> </w:t>
      </w:r>
      <w:r>
        <w:t xml:space="preserve">are</w:t>
      </w:r>
      <w:r>
        <w:t xml:space="preserve"> </w:t>
      </w:r>
      <w:r>
        <w:t xml:space="preserve">consistent</w:t>
      </w:r>
      <w:r>
        <w:t xml:space="preserve"> </w:t>
      </w:r>
      <w:r>
        <w:t xml:space="preserve">with</w:t>
      </w:r>
      <w:r>
        <w:t xml:space="preserve"> </w:t>
      </w:r>
      <w:r>
        <w:t xml:space="preserve">the</w:t>
      </w:r>
      <w:r>
        <w:t xml:space="preserve"> </w:t>
      </w:r>
      <w:r>
        <w:t xml:space="preserve">second</w:t>
      </w:r>
      <w:r>
        <w:t xml:space="preserve"> </w:t>
      </w:r>
      <w:r>
        <w:t xml:space="preserve">case.</w:t>
      </w:r>
      <w:r>
        <w:t xml:space="preserve"> </w:t>
      </w:r>
      <w:r>
        <w:t xml:space="preserve">The</w:t>
      </w:r>
      <w:r>
        <w:t xml:space="preserve"> </w:t>
      </w:r>
      <w:r>
        <w:t xml:space="preserve">minimum</w:t>
      </w:r>
      <w:r>
        <w:t xml:space="preserve"> </w:t>
      </w:r>
      <w:r>
        <w:t xml:space="preserve">wage</w:t>
      </w:r>
      <w:r>
        <w:t xml:space="preserve"> </w:t>
      </w:r>
      <w:r>
        <w:t xml:space="preserve">raised</w:t>
      </w:r>
      <w:r>
        <w:t xml:space="preserve"> </w:t>
      </w:r>
      <w:r>
        <w:t xml:space="preserve">the</w:t>
      </w:r>
      <w:r>
        <w:t xml:space="preserve"> </w:t>
      </w:r>
      <w:r>
        <w:t xml:space="preserve">pay</w:t>
      </w:r>
      <w:r>
        <w:t xml:space="preserve"> </w:t>
      </w:r>
      <w:r>
        <w:t xml:space="preserve">of</w:t>
      </w:r>
      <w:r>
        <w:t xml:space="preserve"> </w:t>
      </w:r>
      <w:r>
        <w:t xml:space="preserve">working</w:t>
      </w:r>
      <w:r>
        <w:t xml:space="preserve"> </w:t>
      </w:r>
      <w:r>
        <w:t xml:space="preserve">teens</w:t>
      </w:r>
      <w:r>
        <w:t xml:space="preserve"> </w:t>
      </w:r>
      <w:r>
        <w:t xml:space="preserve">and</w:t>
      </w:r>
      <w:r>
        <w:t xml:space="preserve"> </w:t>
      </w:r>
      <w:r>
        <w:t xml:space="preserve">left</w:t>
      </w:r>
      <w:r>
        <w:t xml:space="preserve"> </w:t>
      </w:r>
      <w:r>
        <w:t xml:space="preserve">their</w:t>
      </w:r>
      <w:r>
        <w:t xml:space="preserve"> </w:t>
      </w:r>
      <w:r>
        <w:t xml:space="preserve">allocation</w:t>
      </w:r>
      <w:r>
        <w:t xml:space="preserve"> </w:t>
      </w:r>
      <w:r>
        <w:t xml:space="preserve">of</w:t>
      </w:r>
      <w:r>
        <w:t xml:space="preserve"> </w:t>
      </w:r>
      <w:r>
        <w:t xml:space="preserve">time</w:t>
      </w:r>
      <w:r>
        <w:t xml:space="preserve"> </w:t>
      </w:r>
      <w:r>
        <w:t xml:space="preserve">unchanged.</w:t>
      </w:r>
    </w:p>
    <w:p>
      <w:pPr>
        <w:pStyle w:val="FirstParagraph"/>
      </w:pPr>
      <w:r>
        <w:rPr>
          <w:iCs/>
          <w:i/>
        </w:rPr>
        <w:t xml:space="preserve">JEL</w:t>
      </w:r>
      <w:r>
        <w:t xml:space="preserve">: J23, J31, J38, I21.</w:t>
      </w:r>
      <w:r>
        <w:t xml:space="preserve"> </w:t>
      </w:r>
      <w:r>
        <w:rPr>
          <w:iCs/>
          <w:i/>
        </w:rPr>
        <w:t xml:space="preserve">Keywords</w:t>
      </w:r>
      <w:r>
        <w:t xml:space="preserve">: minimum wage, teen labour market, school enrollment, event study, monopsony.</w:t>
      </w:r>
    </w:p>
    <w:bookmarkStart w:id="21" w:name="introduction"/>
    <w:p>
      <w:pPr>
        <w:pStyle w:val="Heading1"/>
      </w:pPr>
      <w:r>
        <w:t xml:space="preserve">1 Introduction</w:t>
      </w:r>
    </w:p>
    <w:p>
      <w:pPr>
        <w:pStyle w:val="FirstParagraph"/>
      </w:pPr>
      <w:r>
        <w:t xml:space="preserve">The economic literature on the consequences of the minimum wage is both vast and contentious. Researchers concentrate mainly on the possible disemployment effects of the policy, frequently focusing on teenagers, the age group most subject to the minimum wage: a quarter of 16–19 year old wage earners are paid at or near it, against a tenth of 20–24 year olds. Far less attention has been paid to the policy’s effect on how teenagers allocate their time between school and work, even though that allocation is the channel through which the minimum wage would matter for their later lives and the one policymakers care most about. The question has become pressing for a specific reason. Employment of 16–19 year olds fell from 45 percent in 2000 to 27 percent in 2010 and has only partly recovered, school enrollment rose from 68 to 77 percent, and the share of teens both enrolled and employed fell from 26 to 17 percent. Neumark and Shupe (2019) weigh the candidate explanations against one another in CPS data for 1986–2015 and conclude that higher minimum wages are the predominant factor, moving teens from being enrolled and employed to being enrolled only. Smith (2021) finds, for 1992–2012, that minimum wage increases lower high school dropout among teens from low-socioeconomic-status families and do nothing for other teens. I contribute to this literature by using the event design that the minimum wage employment literature adopted after Cengiz et al. (2019), on the largest increases in the modern era and with local minimums treated as the policies they are, to establish the causal effect of minimum wage changes on teenagers’ wages and on their division between school and work.</w:t>
      </w:r>
    </w:p>
    <w:p>
      <w:pPr>
        <w:pStyle w:val="BodyText"/>
      </w:pPr>
      <w:r>
        <w:t xml:space="preserve">While the effect of the minimum wage on time allocation is indirect, it is an intuitive byproduct of a simple model of human capital investment in which teens decide whether to attend school or enter the labour market by weighing the opportunity cost and psychic cost of schooling against the expected future return to skill (Mincer, 1976). To the extent that a change in the minimum wage alters the teen labour market, it alters the opportunity cost of schooling and therefore the enrollment decision. The direction depends on what the minimum does to the expected teen wage: if employment falls little, the expected wage rises and enrollment should fall; if employment falls a lot, the expected wage falls and enrollment should rise. There is a third possibility that the earlier literature did not consider. If employers of teenagers have wage-setting power, so that teen wages sit below the competitive level, a minimum wage set between the prevailing wage and the marginal product raises pay without reducing employment, and the enrollment margin, which turns on a lifetime skill premium that a few hundred dollars a year barely moves, need not respond at all.</w:t>
      </w:r>
    </w:p>
    <w:p>
      <w:pPr>
        <w:pStyle w:val="BodyText"/>
      </w:pPr>
      <w:r>
        <w:t xml:space="preserve">I investigate the impact of minimum wage changes on teenagers’ school–work status and wages using the basic monthly files of the Current Population Survey from January 1994 to August 2026, which ask every 16–24 year old each month whether they attended school last week, record their employment and hours, and in the outgoing rotation groups record their hourly wage. The geographic unit is the jurisdiction whose wage floor a teenager faces: each of the 56 counties the CPS identifies that have their own minimum is a unit with its own wage series, the city’s rate applied to the county, and the remainder of each state is another. An event is a rise of at least 5 percent in a unit’s minimum, not caused by the federal floor, after 36 months without one, with the later steps of a schedule counted as part of the same event; there are 73 such events from January 2010 with CPS teens in the unit, in a period when the federal minimum did not change. Each event compares the treated unit with the units in other states that had no increase from three years before to four years after it, relative to the year before the event, which is the Callaway–Sant’Anna group-time comparison, and the events are aggregated by treated teen population. The design uses none of the comparisons between earlier- and later-treated units that bias two-way fixed effects estimates when effects vary, which is the concern with the regressions behind the earlier findings. Beside each event study I report the stacked difference-in-differences regression of Cengiz et al. (2019) on the same data, and the appendix reports the two-way fixed effects regression of the outcome on the log minimum wage that Neumark and Shupe (2019) and Smith (2021) use, so that the reader can see where the designs agree and where they part.</w:t>
      </w:r>
    </w:p>
    <w:p>
      <w:pPr>
        <w:pStyle w:val="BodyText"/>
      </w:pPr>
      <w:r>
        <w:t xml:space="preserve">Consistently across ages, income groups, event sets, control sets and weights, I find that the increases raised teen pay and did not change teen time allocation. Hourly wages of hourly-paid 16–17 year olds rose 5.3 percent (s.e. 1.2) and of 18–19 year olds 3.0 percent (s.e. 0.9), building to 7 and 5 percent by the third year as the schedules stepped up, with no movement before the event, and the gain reached teens from families below $50,000 and above it alike. The four school–work states did not move: the share enrolled and employed changed by</w:t>
      </w:r>
      <w:r>
        <w:t xml:space="preserve"> </w:t>
      </w:r>
      <m:oMath>
        <m:r>
          <m:rPr>
            <m:sty m:val="p"/>
          </m:rPr>
          <m:t>−</m:t>
        </m:r>
        <m:r>
          <m:t>0.3</m:t>
        </m:r>
      </m:oMath>
      <w:r>
        <w:t xml:space="preserve"> </w:t>
      </w:r>
      <w:r>
        <w:t xml:space="preserve">points (s.e. 0.5) at 16–17 and</w:t>
      </w:r>
      <w:r>
        <w:t xml:space="preserve"> </w:t>
      </w:r>
      <m:oMath>
        <m:r>
          <m:rPr>
            <m:sty m:val="p"/>
          </m:rPr>
          <m:t>+</m:t>
        </m:r>
        <m:r>
          <m:t>0.7</m:t>
        </m:r>
      </m:oMath>
      <w:r>
        <w:t xml:space="preserve"> </w:t>
      </w:r>
      <w:r>
        <w:t xml:space="preserve">(0.6) at 18–19, enrolled only by</w:t>
      </w:r>
      <w:r>
        <w:t xml:space="preserve"> </w:t>
      </w:r>
      <m:oMath>
        <m:r>
          <m:rPr>
            <m:sty m:val="p"/>
          </m:rPr>
          <m:t>−</m:t>
        </m:r>
        <m:r>
          <m:t>0.0</m:t>
        </m:r>
      </m:oMath>
      <w:r>
        <w:t xml:space="preserve"> </w:t>
      </w:r>
      <w:r>
        <w:t xml:space="preserve">(0.6) and</w:t>
      </w:r>
      <w:r>
        <w:t xml:space="preserve"> </w:t>
      </w:r>
      <m:oMath>
        <m:r>
          <m:rPr>
            <m:sty m:val="p"/>
          </m:rPr>
          <m:t>−</m:t>
        </m:r>
        <m:r>
          <m:t>0.5</m:t>
        </m:r>
      </m:oMath>
      <w:r>
        <w:t xml:space="preserve"> </w:t>
      </w:r>
      <w:r>
        <w:t xml:space="preserve">(0.6), employed only by</w:t>
      </w:r>
      <w:r>
        <w:t xml:space="preserve"> </w:t>
      </w:r>
      <m:oMath>
        <m:r>
          <m:rPr>
            <m:sty m:val="p"/>
          </m:rPr>
          <m:t>+</m:t>
        </m:r>
        <m:r>
          <m:t>0.2</m:t>
        </m:r>
      </m:oMath>
      <w:r>
        <w:t xml:space="preserve"> </w:t>
      </w:r>
      <w:r>
        <w:t xml:space="preserve">(0.3) and</w:t>
      </w:r>
      <w:r>
        <w:t xml:space="preserve"> </w:t>
      </w:r>
      <m:oMath>
        <m:r>
          <m:rPr>
            <m:sty m:val="p"/>
          </m:rPr>
          <m:t>+</m:t>
        </m:r>
        <m:r>
          <m:t>0.3</m:t>
        </m:r>
      </m:oMath>
      <w:r>
        <w:t xml:space="preserve"> </w:t>
      </w:r>
      <w:r>
        <w:t xml:space="preserve">(0.7), and neither by</w:t>
      </w:r>
      <w:r>
        <w:t xml:space="preserve"> </w:t>
      </w:r>
      <m:oMath>
        <m:r>
          <m:rPr>
            <m:sty m:val="p"/>
          </m:rPr>
          <m:t>+</m:t>
        </m:r>
        <m:r>
          <m:t>0.1</m:t>
        </m:r>
      </m:oMath>
      <w:r>
        <w:t xml:space="preserve"> </w:t>
      </w:r>
      <w:r>
        <w:t xml:space="preserve">(0.4) and</w:t>
      </w:r>
      <w:r>
        <w:t xml:space="preserve"> </w:t>
      </w:r>
      <m:oMath>
        <m:r>
          <m:rPr>
            <m:sty m:val="p"/>
          </m:rPr>
          <m:t>−</m:t>
        </m:r>
        <m:r>
          <m:t>0.5</m:t>
        </m:r>
      </m:oMath>
      <w:r>
        <w:t xml:space="preserve"> </w:t>
      </w:r>
      <w:r>
        <w:t xml:space="preserve">(0.5). Pre-event coefficients are within a fraction of a point of zero. Split by sex, the youngest girls show a fall of 1.3 points (s.e. 0.5) in employment matched by a rise in the share enrolled only, with enrollment unchanged, and boys of the same age the opposite sign; split by race, nothing differs. The same holds within income groups: for teens from families below $50,000 the four shares change by at most a point, and the shift from enrolled-and-employed to enrolled-only that Neumark and Shupe (2019) attribute to the minimum wage does not appear for any group. High school dropout, the outcome of Smith (2021), does not fall for low-income teens either.</w:t>
      </w:r>
    </w:p>
    <w:p>
      <w:pPr>
        <w:pStyle w:val="BodyText"/>
      </w:pPr>
      <w:r>
        <w:t xml:space="preserve">Taken together, the results suggest that the focus of the earlier literature on the teen employment and enrollment effects of the minimum wage may have mistaken the nature of the policy’s impact on teens. In the period of the largest increases in American history, the minimum wage functioned as a transfer to teenagers who work, with no offsetting cost in their jobs, their hours, or their schooling, and no measurable benefit to the schooling of the poorest teens. The fall in teen employment since 2000 must be explained by something else. The rest of the paper is organised as follows: Section 2 gives the theoretical foundation, Section 3 the data and the tables of estimates, Section 4 the empirical strategy, Section 5 the results, Section 6 robustness to alternative units, event sets, controls and weights, Section 7 a discussion, and Section 8 concludes. The appendix collects the post-event average tables, lists the events, and reports the two-way fixed effects estimates, an alternative income split, and the dropout outcome.</w:t>
      </w:r>
    </w:p>
    <w:bookmarkEnd w:id="21"/>
    <w:bookmarkStart w:id="22" w:name="theoretical-foundation"/>
    <w:p>
      <w:pPr>
        <w:pStyle w:val="Heading1"/>
      </w:pPr>
      <w:r>
        <w:t xml:space="preserve">2 Theoretical Foundation</w:t>
      </w:r>
    </w:p>
    <w:p>
      <w:pPr>
        <w:pStyle w:val="FirstParagraph"/>
      </w:pPr>
      <w:r>
        <w:t xml:space="preserve">To give context for the results, this paper considers a simple two-period model derived from Mincer (1976), with help from lecture notes by Acemoglu (2009). Agents choose education versus labour force participation in the first period and receive an income in the second period. Individuals choose consumption in both periods and education in the first period, and are endowed with an exogenous starting income in period one. Second-period income is a function of first-period education.</w:t>
      </w:r>
    </w:p>
    <w:p>
      <w:pPr>
        <w:pStyle w:val="BodyText"/>
      </w:pPr>
      <w:r>
        <w:t xml:space="preserve">In such a world, agents choose to maximise</w:t>
      </w:r>
    </w:p>
    <w:p>
      <w:pPr>
        <w:pStyle w:val="BodyText"/>
      </w:pPr>
      <m:oMathPara>
        <m:oMathParaPr>
          <m:jc m:val="center"/>
        </m:oMathParaPr>
        <m:oMath>
          <m:r>
            <m:t>u</m:t>
          </m:r>
          <m:d>
            <m:dPr>
              <m:begChr m:val="("/>
              <m:endChr m:val=")"/>
              <m:sepChr m:val=""/>
              <m:grow/>
            </m:dPr>
            <m:e>
              <m:sSubSup>
                <m:e>
                  <m:r>
                    <m:t>c</m:t>
                  </m:r>
                </m:e>
                <m:sub>
                  <m:r>
                    <m:t>i</m:t>
                  </m:r>
                </m:sub>
                <m:sup>
                  <m:r>
                    <m:t>1</m:t>
                  </m:r>
                </m:sup>
              </m:sSubSup>
              <m:r>
                <m:rPr>
                  <m:sty m:val="p"/>
                </m:rPr>
                <m:t>,</m:t>
              </m:r>
              <m:sSubSup>
                <m:e>
                  <m:r>
                    <m:t>c</m:t>
                  </m:r>
                </m:e>
                <m:sub>
                  <m:r>
                    <m:t>i</m:t>
                  </m:r>
                </m:sub>
                <m:sup>
                  <m:r>
                    <m:t>2</m:t>
                  </m:r>
                </m:sup>
              </m:sSubSup>
            </m:e>
          </m:d>
          <m:r>
            <m:rPr>
              <m:sty m:val="p"/>
            </m:rPr>
            <m:t>=</m:t>
          </m:r>
          <m:r>
            <m:rPr>
              <m:sty m:val="p"/>
            </m:rPr>
            <m:t>ln</m:t>
          </m:r>
          <m:sSubSup>
            <m:e>
              <m:r>
                <m:t>c</m:t>
              </m:r>
            </m:e>
            <m:sub>
              <m:r>
                <m:t>i</m:t>
              </m:r>
            </m:sub>
            <m:sup>
              <m:r>
                <m:t>1</m:t>
              </m:r>
            </m:sup>
          </m:sSubSup>
          <m:r>
            <m:rPr>
              <m:sty m:val="p"/>
            </m:rPr>
            <m:t>+</m:t>
          </m:r>
          <m:f>
            <m:fPr>
              <m:type m:val="bar"/>
            </m:fPr>
            <m:num>
              <m:r>
                <m:t>1</m:t>
              </m:r>
            </m:num>
            <m:den>
              <m:r>
                <m:t>1</m:t>
              </m:r>
              <m:r>
                <m:rPr>
                  <m:sty m:val="p"/>
                </m:rPr>
                <m:t>+</m:t>
              </m:r>
              <m:r>
                <m:t>r</m:t>
              </m:r>
            </m:den>
          </m:f>
          <m:r>
            <m:rPr>
              <m:sty m:val="p"/>
            </m:rPr>
            <m:t>ln</m:t>
          </m:r>
          <m:sSubSup>
            <m:e>
              <m:r>
                <m:t>c</m:t>
              </m:r>
            </m:e>
            <m:sub>
              <m:r>
                <m:t>i</m:t>
              </m:r>
            </m:sub>
            <m:sup>
              <m:r>
                <m:t>2</m:t>
              </m:r>
            </m:sup>
          </m:sSubSup>
        </m:oMath>
      </m:oMathPara>
    </w:p>
    <w:p>
      <w:pPr>
        <w:pStyle w:val="FirstParagraph"/>
      </w:pPr>
      <w:r>
        <w:t xml:space="preserve">subject to their budget</w:t>
      </w:r>
    </w:p>
    <w:p>
      <w:pPr>
        <w:pStyle w:val="BodyText"/>
      </w:pPr>
      <m:oMathPara>
        <m:oMathParaPr>
          <m:jc m:val="center"/>
        </m:oMathParaPr>
        <m:oMath>
          <m:sSubSup>
            <m:e>
              <m:r>
                <m:t>c</m:t>
              </m:r>
            </m:e>
            <m:sub>
              <m:r>
                <m:t>i</m:t>
              </m:r>
            </m:sub>
            <m:sup>
              <m:r>
                <m:t>1</m:t>
              </m:r>
            </m:sup>
          </m:sSubSup>
          <m:r>
            <m:rPr>
              <m:sty m:val="p"/>
            </m:rPr>
            <m:t>+</m:t>
          </m:r>
          <m:f>
            <m:fPr>
              <m:type m:val="bar"/>
            </m:fPr>
            <m:num>
              <m:sSubSup>
                <m:e>
                  <m:r>
                    <m:t>c</m:t>
                  </m:r>
                </m:e>
                <m:sub>
                  <m:r>
                    <m:t>i</m:t>
                  </m:r>
                </m:sub>
                <m:sup>
                  <m:r>
                    <m:t>2</m:t>
                  </m:r>
                </m:sup>
              </m:sSubSup>
            </m:num>
            <m:den>
              <m:r>
                <m:t>1</m:t>
              </m:r>
              <m:r>
                <m:rPr>
                  <m:sty m:val="p"/>
                </m:rPr>
                <m:t>+</m:t>
              </m:r>
              <m:r>
                <m:t>r</m:t>
              </m:r>
            </m:den>
          </m:f>
          <m:r>
            <m:rPr>
              <m:sty m:val="p"/>
            </m:rPr>
            <m:t>≤</m:t>
          </m:r>
          <m:sSub>
            <m:e>
              <m:r>
                <m:t>y</m:t>
              </m:r>
            </m:e>
            <m:sub>
              <m:r>
                <m:t>i</m:t>
              </m:r>
            </m:sub>
          </m:sSub>
          <m:r>
            <m:rPr>
              <m:sty m:val="p"/>
            </m:rPr>
            <m:t>+</m:t>
          </m:r>
          <m:f>
            <m:fPr>
              <m:type m:val="bar"/>
            </m:fPr>
            <m:num>
              <m:r>
                <m:t>E</m:t>
              </m:r>
              <m:d>
                <m:dPr>
                  <m:begChr m:val="["/>
                  <m:endChr m:val="]"/>
                  <m:sepChr m:val=""/>
                  <m:grow/>
                </m:dPr>
                <m:e>
                  <m:sSub>
                    <m:e>
                      <m:r>
                        <m:t>w</m:t>
                      </m:r>
                    </m:e>
                    <m:sub>
                      <m:r>
                        <m:t>u</m:t>
                      </m:r>
                    </m:sub>
                  </m:sSub>
                </m:e>
              </m:d>
            </m:num>
            <m:den>
              <m:r>
                <m:t>1</m:t>
              </m:r>
              <m:r>
                <m:rPr>
                  <m:sty m:val="p"/>
                </m:rPr>
                <m:t>+</m:t>
              </m:r>
              <m:r>
                <m:t>r</m:t>
              </m:r>
            </m:den>
          </m:f>
          <m:r>
            <m:rPr>
              <m:sty m:val="p"/>
            </m:rPr>
            <m:t>+</m:t>
          </m:r>
          <m:sSub>
            <m:e>
              <m:r>
                <m:t>e</m:t>
              </m:r>
            </m:e>
            <m:sub>
              <m:r>
                <m:t>i</m:t>
              </m:r>
            </m:sub>
          </m:sSub>
          <m:f>
            <m:fPr>
              <m:type m:val="bar"/>
            </m:fPr>
            <m:num>
              <m:r>
                <m:t>E</m:t>
              </m:r>
              <m:d>
                <m:dPr>
                  <m:begChr m:val="["/>
                  <m:endChr m:val="]"/>
                  <m:sepChr m:val=""/>
                  <m:grow/>
                </m:dPr>
                <m:e>
                  <m:sSub>
                    <m:e>
                      <m:r>
                        <m:t>w</m:t>
                      </m:r>
                    </m:e>
                    <m:sub>
                      <m:r>
                        <m:t>s</m:t>
                      </m:r>
                    </m:sub>
                  </m:sSub>
                </m:e>
              </m:d>
              <m:r>
                <m:rPr>
                  <m:sty m:val="p"/>
                </m:rPr>
                <m:t>−</m:t>
              </m:r>
              <m:r>
                <m:t>E</m:t>
              </m:r>
              <m:d>
                <m:dPr>
                  <m:begChr m:val="["/>
                  <m:endChr m:val="]"/>
                  <m:sepChr m:val=""/>
                  <m:grow/>
                </m:dPr>
                <m:e>
                  <m:sSub>
                    <m:e>
                      <m:r>
                        <m:t>w</m:t>
                      </m:r>
                    </m:e>
                    <m:sub>
                      <m:r>
                        <m:t>u</m:t>
                      </m:r>
                    </m:sub>
                  </m:sSub>
                </m:e>
              </m:d>
            </m:num>
            <m:den>
              <m:r>
                <m:t>1</m:t>
              </m:r>
              <m:r>
                <m:rPr>
                  <m:sty m:val="p"/>
                </m:rPr>
                <m:t>+</m:t>
              </m:r>
              <m:r>
                <m:t>r</m:t>
              </m:r>
            </m:den>
          </m:f>
          <m:r>
            <m:rPr>
              <m:sty m:val="p"/>
            </m:rPr>
            <m:t>−</m:t>
          </m:r>
          <m:sSub>
            <m:e>
              <m:r>
                <m:t>e</m:t>
              </m:r>
            </m:e>
            <m:sub>
              <m:r>
                <m:t>i</m:t>
              </m:r>
            </m:sub>
          </m:sSub>
          <m:sSub>
            <m:e>
              <m:r>
                <m:t>θ</m:t>
              </m:r>
            </m:e>
            <m:sub>
              <m:r>
                <m:t>i</m:t>
              </m:r>
            </m:sub>
          </m:sSub>
          <m:r>
            <m:rPr>
              <m:sty m:val="p"/>
            </m:rPr>
            <m:t>,</m:t>
          </m:r>
        </m:oMath>
      </m:oMathPara>
    </w:p>
    <w:p>
      <w:pPr>
        <w:pStyle w:val="FirstParagraph"/>
      </w:pPr>
      <w:r>
        <w:t xml:space="preserve">where</w:t>
      </w:r>
      <w:r>
        <w:t xml:space="preserve"> </w:t>
      </w:r>
      <m:oMath>
        <m:sSubSup>
          <m:e>
            <m:r>
              <m:t>c</m:t>
            </m:r>
          </m:e>
          <m:sub>
            <m:r>
              <m:t>i</m:t>
            </m:r>
          </m:sub>
          <m:sup>
            <m:r>
              <m:t>1</m:t>
            </m:r>
          </m:sup>
        </m:sSubSup>
      </m:oMath>
      <w:r>
        <w:t xml:space="preserve"> </w:t>
      </w:r>
      <w:r>
        <w:t xml:space="preserve">is consumption in the first period,</w:t>
      </w:r>
      <w:r>
        <w:t xml:space="preserve"> </w:t>
      </w:r>
      <m:oMath>
        <m:sSubSup>
          <m:e>
            <m:r>
              <m:t>c</m:t>
            </m:r>
          </m:e>
          <m:sub>
            <m:r>
              <m:t>i</m:t>
            </m:r>
          </m:sub>
          <m:sup>
            <m:r>
              <m:t>2</m:t>
            </m:r>
          </m:sup>
        </m:sSubSup>
      </m:oMath>
      <w:r>
        <w:t xml:space="preserve"> </w:t>
      </w:r>
      <w:r>
        <w:t xml:space="preserve">is consumption in the second period,</w:t>
      </w:r>
      <w:r>
        <w:t xml:space="preserve"> </w:t>
      </w:r>
      <m:oMath>
        <m:sSub>
          <m:e>
            <m:r>
              <m:t>e</m:t>
            </m:r>
          </m:e>
          <m:sub>
            <m:r>
              <m:t>i</m:t>
            </m:r>
          </m:sub>
        </m:sSub>
      </m:oMath>
      <w:r>
        <w:t xml:space="preserve"> </w:t>
      </w:r>
      <w:r>
        <w:t xml:space="preserve">is a dummy variable equal to 1 if person</w:t>
      </w:r>
      <w:r>
        <w:t xml:space="preserve"> </w:t>
      </w:r>
      <m:oMath>
        <m:r>
          <m:t>i</m:t>
        </m:r>
      </m:oMath>
      <w:r>
        <w:t xml:space="preserve"> </w:t>
      </w:r>
      <w:r>
        <w:t xml:space="preserve">attends school and 0 otherwise,</w:t>
      </w:r>
      <w:r>
        <w:t xml:space="preserve"> </w:t>
      </w:r>
      <m:oMath>
        <m:sSub>
          <m:e>
            <m:r>
              <m:t>w</m:t>
            </m:r>
          </m:e>
          <m:sub>
            <m:r>
              <m:t>u</m:t>
            </m:r>
          </m:sub>
        </m:sSub>
      </m:oMath>
      <w:r>
        <w:t xml:space="preserve"> </w:t>
      </w:r>
      <w:r>
        <w:t xml:space="preserve">is the wage for unskilled labour,</w:t>
      </w:r>
      <w:r>
        <w:t xml:space="preserve"> </w:t>
      </w:r>
      <m:oMath>
        <m:sSub>
          <m:e>
            <m:r>
              <m:t>w</m:t>
            </m:r>
          </m:e>
          <m:sub>
            <m:r>
              <m:t>s</m:t>
            </m:r>
          </m:sub>
        </m:sSub>
      </m:oMath>
      <w:r>
        <w:t xml:space="preserve"> </w:t>
      </w:r>
      <w:r>
        <w:t xml:space="preserve">is the wage for skilled labour,</w:t>
      </w:r>
      <w:r>
        <w:t xml:space="preserve"> </w:t>
      </w:r>
      <m:oMath>
        <m:sSub>
          <m:e>
            <m:r>
              <m:t>y</m:t>
            </m:r>
          </m:e>
          <m:sub>
            <m:r>
              <m:t>i</m:t>
            </m:r>
          </m:sub>
        </m:sSub>
      </m:oMath>
      <w:r>
        <w:t xml:space="preserve"> </w:t>
      </w:r>
      <w:r>
        <w:t xml:space="preserve">is an endowment in the first period, and</w:t>
      </w:r>
      <w:r>
        <w:t xml:space="preserve"> </w:t>
      </w:r>
      <m:oMath>
        <m:sSub>
          <m:e>
            <m:r>
              <m:t>θ</m:t>
            </m:r>
          </m:e>
          <m:sub>
            <m:r>
              <m:t>i</m:t>
            </m:r>
          </m:sub>
        </m:sSub>
      </m:oMath>
      <w:r>
        <w:t xml:space="preserve"> </w:t>
      </w:r>
      <w:r>
        <w:t xml:space="preserve">is the psychic and explicit cost of education. Note that</w:t>
      </w:r>
      <w:r>
        <w:t xml:space="preserve"> </w:t>
      </w:r>
      <m:oMath>
        <m:r>
          <m:t>E</m:t>
        </m:r>
        <m:d>
          <m:dPr>
            <m:begChr m:val="["/>
            <m:endChr m:val="]"/>
            <m:sepChr m:val=""/>
            <m:grow/>
          </m:dPr>
          <m:e>
            <m:sSub>
              <m:e>
                <m:r>
                  <m:t>w</m:t>
                </m:r>
              </m:e>
              <m:sub>
                <m:r>
                  <m:t>u</m:t>
                </m:r>
              </m:sub>
            </m:sSub>
          </m:e>
        </m:d>
      </m:oMath>
      <w:r>
        <w:t xml:space="preserve"> </w:t>
      </w:r>
      <w:r>
        <w:t xml:space="preserve">does not necessarily equal the minimum wage, since individuals are not guaranteed employment if they enter the labour market:</w:t>
      </w:r>
      <w:r>
        <w:t xml:space="preserve"> </w:t>
      </w:r>
      <m:oMath>
        <m:r>
          <m:t>E</m:t>
        </m:r>
        <m:d>
          <m:dPr>
            <m:begChr m:val="["/>
            <m:endChr m:val="]"/>
            <m:sepChr m:val=""/>
            <m:grow/>
          </m:dPr>
          <m:e>
            <m:sSub>
              <m:e>
                <m:r>
                  <m:t>w</m:t>
                </m:r>
              </m:e>
              <m:sub>
                <m:r>
                  <m:t>u</m:t>
                </m:r>
              </m:sub>
            </m:sSub>
          </m:e>
        </m:d>
        <m:r>
          <m:rPr>
            <m:sty m:val="p"/>
          </m:rPr>
          <m:t>=</m:t>
        </m:r>
        <m:sSub>
          <m:e>
            <m:r>
              <m:t>p</m:t>
            </m:r>
          </m:e>
          <m:sub>
            <m:r>
              <m:t>u</m:t>
            </m:r>
          </m:sub>
        </m:sSub>
        <m:sSub>
          <m:e>
            <m:r>
              <m:t>w</m:t>
            </m:r>
          </m:e>
          <m:sub>
            <m:r>
              <m:t>u</m:t>
            </m:r>
          </m:sub>
        </m:sSub>
      </m:oMath>
      <w:r>
        <w:t xml:space="preserve">, where</w:t>
      </w:r>
      <w:r>
        <w:t xml:space="preserve"> </w:t>
      </w:r>
      <m:oMath>
        <m:sSub>
          <m:e>
            <m:r>
              <m:t>p</m:t>
            </m:r>
          </m:e>
          <m:sub>
            <m:r>
              <m:t>u</m:t>
            </m:r>
          </m:sub>
        </m:sSub>
      </m:oMath>
      <w:r>
        <w:t xml:space="preserve"> </w:t>
      </w:r>
      <w:r>
        <w:t xml:space="preserve">is the probability that an unskilled worker finds a job at wage</w:t>
      </w:r>
      <w:r>
        <w:t xml:space="preserve"> </w:t>
      </w:r>
      <m:oMath>
        <m:sSub>
          <m:e>
            <m:r>
              <m:t>w</m:t>
            </m:r>
          </m:e>
          <m:sub>
            <m:r>
              <m:t>u</m:t>
            </m:r>
          </m:sub>
        </m:sSub>
      </m:oMath>
      <w:r>
        <w:t xml:space="preserve">.</w:t>
      </w:r>
    </w:p>
    <w:p>
      <w:pPr>
        <w:pStyle w:val="BodyText"/>
      </w:pPr>
      <w:r>
        <w:t xml:space="preserve">Maximising with respect to education yields</w:t>
      </w:r>
    </w:p>
    <w:p>
      <w:pPr>
        <w:pStyle w:val="BodyText"/>
      </w:pPr>
      <m:oMathPara>
        <m:oMathParaPr>
          <m:jc m:val="center"/>
        </m:oMathParaPr>
        <m:oMath>
          <m:sSub>
            <m:e>
              <m:r>
                <m:t>θ</m:t>
              </m:r>
            </m:e>
            <m:sub>
              <m:r>
                <m:t>i</m:t>
              </m:r>
            </m:sub>
          </m:sSub>
          <m:r>
            <m:rPr>
              <m:sty m:val="p"/>
            </m:rPr>
            <m:t>≤</m:t>
          </m:r>
          <m:f>
            <m:fPr>
              <m:type m:val="bar"/>
            </m:fPr>
            <m:num>
              <m:r>
                <m:t>E</m:t>
              </m:r>
              <m:d>
                <m:dPr>
                  <m:begChr m:val="["/>
                  <m:endChr m:val="]"/>
                  <m:sepChr m:val=""/>
                  <m:grow/>
                </m:dPr>
                <m:e>
                  <m:sSub>
                    <m:e>
                      <m:r>
                        <m:t>w</m:t>
                      </m:r>
                    </m:e>
                    <m:sub>
                      <m:r>
                        <m:t>s</m:t>
                      </m:r>
                    </m:sub>
                  </m:sSub>
                </m:e>
              </m:d>
              <m:r>
                <m:rPr>
                  <m:sty m:val="p"/>
                </m:rPr>
                <m:t>−</m:t>
              </m:r>
              <m:r>
                <m:t>E</m:t>
              </m:r>
              <m:d>
                <m:dPr>
                  <m:begChr m:val="["/>
                  <m:endChr m:val="]"/>
                  <m:sepChr m:val=""/>
                  <m:grow/>
                </m:dPr>
                <m:e>
                  <m:sSub>
                    <m:e>
                      <m:r>
                        <m:t>w</m:t>
                      </m:r>
                    </m:e>
                    <m:sub>
                      <m:r>
                        <m:t>u</m:t>
                      </m:r>
                    </m:sub>
                  </m:sSub>
                </m:e>
              </m:d>
            </m:num>
            <m:den>
              <m:r>
                <m:t>1</m:t>
              </m:r>
              <m:r>
                <m:rPr>
                  <m:sty m:val="p"/>
                </m:rPr>
                <m:t>+</m:t>
              </m:r>
              <m:r>
                <m:t>r</m:t>
              </m:r>
            </m:den>
          </m:f>
          <m:r>
            <m:rPr>
              <m:sty m:val="p"/>
            </m:rPr>
            <m:t>.</m:t>
          </m:r>
        </m:oMath>
      </m:oMathPara>
    </w:p>
    <w:p>
      <w:pPr>
        <w:pStyle w:val="FirstParagraph"/>
      </w:pPr>
      <w:r>
        <w:t xml:space="preserve">This means that agents will choose education if the cost of attending school is less than the expected, discounted wage premium for skilled workers in period 2. This maximisation problem does not make a conclusive prediction, and leaves room for two potential outcomes. If the disemployment effect for teens is small, then the expected wage increases with the minimum wage, which in turn increases the opportunity cost of attending school. This would be likely to occur if the minimum wage does not induce older workers to enter the market and/or the minimum wage is sufficiently low that it does not appreciably change the quantity of labour demanded. In this situation, overall enrollment should decrease while labour force participation should rise.</w:t>
      </w:r>
    </w:p>
    <w:p>
      <w:pPr>
        <w:pStyle w:val="BodyText"/>
      </w:pPr>
      <w:r>
        <w:t xml:space="preserve">Alternatively, if the disemployment effect for teens is large, then the expected wage decreases when the minimum wage rises, which in turn decreases the opportunity cost of attending school. This would be likely to occur if the new wage brings older workers into the labour force and/or the minimum wage is sufficiently high that it appreciably changes the quantity of labour demanded. In this case, getting a degree would also increase the likelihood of finding employment in the long run, thereby increasing the value of staying in school today. In this situation, overall enrollment should rise while labour force participation should decrease.</w:t>
      </w:r>
    </w:p>
    <w:p>
      <w:pPr>
        <w:pStyle w:val="BodyText"/>
      </w:pPr>
      <w:r>
        <w:t xml:space="preserve">Both of these cases assume that the teen labour market is competitive, so that the minimum wage is set above a market-clearing wage and the only question is how much employment falls. There is a third possibility. If each employer faces an upward-sloping supply of teenage labour, because teens search infrequently, have few employers within reach of home and school, or differ in their preferences over jobs, the employer sets the wage below the marginal product. With supply elasticity</w:t>
      </w:r>
      <w:r>
        <w:t xml:space="preserve"> </w:t>
      </w:r>
      <m:oMath>
        <m:r>
          <m:t>ε</m:t>
        </m:r>
      </m:oMath>
      <w:r>
        <w:t xml:space="preserve"> </w:t>
      </w:r>
      <w:r>
        <w:t xml:space="preserve">to the firm, the profit-maximising wage satisfies</w:t>
      </w:r>
    </w:p>
    <w:p>
      <w:pPr>
        <w:pStyle w:val="BodyText"/>
      </w:pPr>
      <m:oMathPara>
        <m:oMathParaPr>
          <m:jc m:val="center"/>
        </m:oMathParaPr>
        <m:oMath>
          <m:sSub>
            <m:e>
              <m:r>
                <m:t>w</m:t>
              </m:r>
            </m:e>
            <m:sub>
              <m:r>
                <m:t>m</m:t>
              </m:r>
            </m:sub>
          </m:sSub>
          <m:r>
            <m:rPr>
              <m:sty m:val="p"/>
            </m:rPr>
            <m:t>=</m:t>
          </m:r>
          <m:f>
            <m:fPr>
              <m:type m:val="bar"/>
            </m:fPr>
            <m:num>
              <m:r>
                <m:rPr>
                  <m:nor/>
                  <m:sty m:val="p"/>
                </m:rPr>
                <m:t>MRP</m:t>
              </m:r>
            </m:num>
            <m:den>
              <m:r>
                <m:t>1</m:t>
              </m:r>
              <m:r>
                <m:rPr>
                  <m:sty m:val="p"/>
                </m:rPr>
                <m:t>+</m:t>
              </m:r>
              <m:r>
                <m:t>1</m:t>
              </m:r>
              <m:r>
                <m:rPr>
                  <m:sty m:val="p"/>
                </m:rPr>
                <m:t>/</m:t>
              </m:r>
              <m:r>
                <m:t>ε</m:t>
              </m:r>
            </m:den>
          </m:f>
          <m:r>
            <m:rPr>
              <m:sty m:val="p"/>
            </m:rPr>
            <m:t>&lt;</m:t>
          </m:r>
          <m:r>
            <m:rPr>
              <m:nor/>
              <m:sty m:val="p"/>
            </m:rPr>
            <m:t>MRP</m:t>
          </m:r>
          <m:r>
            <m:rPr>
              <m:sty m:val="p"/>
            </m:rPr>
            <m:t>,</m:t>
          </m:r>
        </m:oMath>
      </m:oMathPara>
    </w:p>
    <w:p>
      <w:pPr>
        <w:pStyle w:val="FirstParagraph"/>
      </w:pPr>
      <w:r>
        <w:t xml:space="preserve">and employment is below the competitive level. A minimum wage in the interval</w:t>
      </w:r>
      <w:r>
        <w:t xml:space="preserve"> </w:t>
      </w:r>
      <m:oMath>
        <m:d>
          <m:dPr>
            <m:begChr m:val="("/>
            <m:endChr m:val=")"/>
            <m:sepChr m:val=""/>
            <m:grow/>
          </m:dPr>
          <m:e>
            <m:sSub>
              <m:e>
                <m:r>
                  <m:t>w</m:t>
                </m:r>
              </m:e>
              <m:sub>
                <m:r>
                  <m:t>m</m:t>
                </m:r>
              </m:sub>
            </m:sSub>
            <m:r>
              <m:rPr>
                <m:sty m:val="p"/>
              </m:rPr>
              <m:t>,</m:t>
            </m:r>
            <m:r>
              <m:rPr>
                <m:nor/>
                <m:sty m:val="p"/>
              </m:rPr>
              <m:t>MRP</m:t>
            </m:r>
          </m:e>
        </m:d>
      </m:oMath>
      <w:r>
        <w:t xml:space="preserve"> </w:t>
      </w:r>
      <w:r>
        <w:t xml:space="preserve">raises the wage to</w:t>
      </w:r>
      <w:r>
        <w:t xml:space="preserve"> </w:t>
      </w:r>
      <m:oMath>
        <m:bar>
          <m:barPr>
            <m:pos m:val="bot"/>
          </m:barPr>
          <m:e>
            <m:r>
              <m:t>w</m:t>
            </m:r>
          </m:e>
        </m:bar>
      </m:oMath>
      <w:r>
        <w:t xml:space="preserve"> </w:t>
      </w:r>
      <w:r>
        <w:t xml:space="preserve">and, because the employer now faces a flat supply curve up to the quantity supplied at</w:t>
      </w:r>
      <w:r>
        <w:t xml:space="preserve"> </w:t>
      </w:r>
      <m:oMath>
        <m:bar>
          <m:barPr>
            <m:pos m:val="bot"/>
          </m:barPr>
          <m:e>
            <m:r>
              <m:t>w</m:t>
            </m:r>
          </m:e>
        </m:bar>
      </m:oMath>
      <w:r>
        <w:t xml:space="preserve">, raises employment as well; only a minimum above MRP reduces it (Stigler, 1946; Manning, 2003). For a minimum in that interval,</w:t>
      </w:r>
      <w:r>
        <w:t xml:space="preserve"> </w:t>
      </w:r>
      <m:oMath>
        <m:sSub>
          <m:e>
            <m:r>
              <m:t>p</m:t>
            </m:r>
          </m:e>
          <m:sub>
            <m:r>
              <m:t>u</m:t>
            </m:r>
          </m:sub>
        </m:sSub>
      </m:oMath>
      <w:r>
        <w:t xml:space="preserve"> </w:t>
      </w:r>
      <w:r>
        <w:t xml:space="preserve">does not fall,</w:t>
      </w:r>
      <w:r>
        <w:t xml:space="preserve"> </w:t>
      </w:r>
      <m:oMath>
        <m:r>
          <m:t>E</m:t>
        </m:r>
        <m:d>
          <m:dPr>
            <m:begChr m:val="["/>
            <m:endChr m:val="]"/>
            <m:sepChr m:val=""/>
            <m:grow/>
          </m:dPr>
          <m:e>
            <m:sSub>
              <m:e>
                <m:r>
                  <m:t>w</m:t>
                </m:r>
              </m:e>
              <m:sub>
                <m:r>
                  <m:t>u</m:t>
                </m:r>
              </m:sub>
            </m:sSub>
          </m:e>
        </m:d>
      </m:oMath>
      <w:r>
        <w:t xml:space="preserve"> </w:t>
      </w:r>
      <w:r>
        <w:t xml:space="preserve">rises one for one with the minimum, and the earnings of teens who work rise by the same proportion as their wage. Evidence that low-wage labour markets have this structure has accumulated: employer concentration is high in the local markets where teens work (Azar et al., 2019), the employment responses to large increases are close to zero (Cengiz et al., 2019), and the wage gains are not offset by reductions in hours or other compensation (Dube, 2019). Teenagers are the group for whom search frictions and limited geographic reach are most severe, and so the group for whom this case is most plausible.</w:t>
      </w:r>
    </w:p>
    <w:p>
      <w:pPr>
        <w:pStyle w:val="BodyText"/>
      </w:pPr>
      <w:r>
        <w:t xml:space="preserve">In the non-competitive case the minimum wage raises the expected unskilled wage without reducing employment, so the opportunity-cost channel of (3) operates alone and predicts lower enrollment. But the threshold in (3) is the present value of the skilled premium over a working life, several hundred thousand dollars, while a 5 percent rise in the wage of a teen who works 17 to 25 hours a week adds a few hundred dollars a year; the shift in the threshold is a fraction of a percent of its level, and the predicted change in enrollment is a fraction of a percentage point under any plausible distribution of</w:t>
      </w:r>
      <w:r>
        <w:t xml:space="preserve"> </w:t>
      </w:r>
      <m:oMath>
        <m:sSub>
          <m:e>
            <m:r>
              <m:t>θ</m:t>
            </m:r>
          </m:e>
          <m:sub>
            <m:r>
              <m:t>i</m:t>
            </m:r>
          </m:sub>
        </m:sSub>
      </m:oMath>
      <w:r>
        <w:t xml:space="preserve">. For 16–17 year olds, compulsory schooling makes the decision largely inframarginal in any case, and for teens from families with limited resources a higher wage relaxes the constraint on paying for school, which pushes enrollment the other way (Ehrenberg and Marcus, 1982; Smith, 2021). The model therefore delivers three predictions. The wage of teens who work rises with the minimum. Employment and hours fall if the market is competitive and do not fall if employers set wages; earnings of teen workers rise in proportion to the wage in the second case and by less in the first. Enrollment and the combinations of school and work move by amounts that are small relative to a percentage point under either market structure. A finding that the wage rises, employment and earnings do not fall, and the allocation of time is unchanged is what the non-competitive case predicts.</w:t>
      </w:r>
    </w:p>
    <w:bookmarkEnd w:id="22"/>
    <w:bookmarkStart w:id="29" w:name="data-and-descriptive-statistics"/>
    <w:p>
      <w:pPr>
        <w:pStyle w:val="Heading1"/>
      </w:pPr>
      <w:r>
        <w:t xml:space="preserve">3 Data and Descriptive Statistics</w:t>
      </w:r>
    </w:p>
    <w:p>
      <w:pPr>
        <w:pStyle w:val="FirstParagraph"/>
      </w:pPr>
      <w:r>
        <w:t xml:space="preserve">The individual data are the basic monthly files of the Current Population Survey from January 1994, the first month of the redesigned questionnaire, to August 2026, from IPUMS-CPS (Flood et al., 2024). The basic monthly survey asks every person aged 16–24 whether they attended school or college in the previous week and whether full or part time, which is the enrollment measure used here; the March and October supplements ask enrollment of wider age ranges but only once a year. I keep all 16–24 year olds, 5.46 million person-months, about 6,600 aged 16–19 each month. Employment, labour force status and usual hours come from the standard labour force items. In the outgoing rotation groups, the fourth and eighth months a household is in the survey and a quarter of the sample, the survey records the hourly wage of workers paid by the hour and weekly earnings of all workers; these give the wage outcomes. Person weights are the monthly final weights, and the earnings weights for the outgoing rotation items. The household’s income category is recorded for every teen and is the measure of socioeconomic standing; parents’ education is not available in an extract of 16–24 year olds.</w:t>
      </w:r>
    </w:p>
    <w:p>
      <w:pPr>
        <w:pStyle w:val="BodyText"/>
      </w:pPr>
      <w:r>
        <w:t xml:space="preserve">The school–work status of a teen is one of four states: enrolled and employed, enrolled only, employed only, and neither enrolled nor employed. These four shares are the main outcomes; enrollment is the sum of the first two and employment the sum of the first and third.</w:t>
      </w:r>
    </w:p>
    <w:p>
      <w:pPr>
        <w:pStyle w:val="BodyText"/>
      </w:pPr>
      <w:r>
        <w:t xml:space="preserve">Minimum wage histories are from the state, federal and substate change lists of Vaghul and Zipperer (2016), which record the effective date and level of every change from 1974 to the end of 2022, including the steps of schedules enacted by then. I extend the state list through 2025 with the changes enacted or triggered by indexation after 2022, compiled from state labour departments and flagged for verification in the replication files; local rates are carried forward at their end-2022 levels. Sixty localities are mapped to the county codes the CPS identifies for the larger counties, about 40 percent of respondents, with one locality representing each county: the county-wide rate where one exists, otherwise the largest city’s.</w:t>
      </w:r>
    </w:p>
    <w:p>
      <w:pPr>
        <w:pStyle w:val="BodyText"/>
      </w:pPr>
      <w:r>
        <w:t xml:space="preserve">Figure 1 shows the aggregate series. Teen employment fell from 45 percent in 2000 to 27 percent in 2010, more than half of that at 16–17, and recovered to about 32 percent by 2019 and 2022–2025; enrollment rose from 68 to 77 percent; the share enrolled and employed fell from 26 to 17 percent while the share neither enrolled nor employed was flat at about 12 percent. Figure 2 shows the population-weighted effective minimum wage and the calendar of state events: a wave of state increases in 2005–2007, the federal increases of 2007–2009, and the wave of large state schedules from 2014. Table 1 gives the means in the year before the event for teens in the event states and in their clean controls, for the 39 state events from 2010. In event states, 85 percent of 16–17 year olds and 64 percent of 18–19 year olds are enrolled; 19 and 39 percent are employed; hourly-paid teens earn $9.61 and $10.69 an hour. The control states have slightly lower enrollment, slightly higher employment and lower wages, the differences one expects between jurisdictions that raise their minimum and jurisdictions that do not, and the design compares changes rather than levels.</w:t>
      </w:r>
    </w:p>
    <w:tbl>
      <w:tblPr>
        <w:tblStyle w:val="FigureTable"/>
        <w:tblW w:type="dxa" w:w="9360"/>
        <w:tblLook w:firstRow="0" w:lastRow="0" w:firstColumn="0" w:lastColumn="0"/>
        <w:jc w:val="center"/>
      </w:tblPr>
      <w:tblGrid>
        <w:gridCol w:w="2808"/>
        <w:gridCol w:w="6552"/>
      </w:tblGrid>
      <w:tr>
        <w:tc>
          <w:tcPr/>
          <w:p>
            <w:pPr>
              <w:pStyle w:val="Compact"/>
              <w:jc w:val="center"/>
            </w:pPr>
            <w:r>
              <w:drawing>
                <wp:inline>
                  <wp:extent cx="2667000" cy="1018309"/>
                  <wp:effectExtent b="0" l="0" r="0" t="0"/>
                  <wp:docPr descr="" title="" id="24" name="Picture"/>
                  <a:graphic>
                    <a:graphicData uri="http://schemas.openxmlformats.org/drawingml/2006/picture">
                      <pic:pic>
                        <pic:nvPicPr>
                          <pic:cNvPr descr="figures/fig1_trends.png" id="25" name="Picture"/>
                          <pic:cNvPicPr>
                            <a:picLocks noChangeArrowheads="1" noChangeAspect="1"/>
                          </pic:cNvPicPr>
                        </pic:nvPicPr>
                        <pic:blipFill>
                          <a:blip r:embed="rId23"/>
                          <a:stretch>
                            <a:fillRect/>
                          </a:stretch>
                        </pic:blipFill>
                        <pic:spPr bwMode="auto">
                          <a:xfrm>
                            <a:off x="0" y="0"/>
                            <a:ext cx="2667000" cy="1018309"/>
                          </a:xfrm>
                          <a:prstGeom prst="rect">
                            <a:avLst/>
                          </a:prstGeom>
                          <a:noFill/>
                          <a:ln w="9525">
                            <a:noFill/>
                            <a:headEnd/>
                            <a:tailEnd/>
                          </a:ln>
                        </pic:spPr>
                      </pic:pic>
                    </a:graphicData>
                  </a:graphic>
                </wp:inline>
              </w:drawing>
            </w:r>
          </w:p>
        </w:tc>
        <w:tc>
          <w:tcPr/>
          <w:p>
            <w:pPr>
              <w:jc w:val="center"/>
            </w:pPr>
            <w:r>
              <w:t xml:space="preserve">Notes: Annual weighted means from the CPS basic monthly files, all months.</w:t>
            </w:r>
          </w:p>
        </w:tc>
      </w:tr>
    </w:tbl>
    <w:p>
      <w:pPr>
        <w:pStyle w:val="ImageCaption"/>
      </w:pPr>
      <w:r>
        <w:t xml:space="preserve">Figure 1: Employment, school enrollment and school–work status of 16–19 year olds, 1994–2025</w:t>
      </w:r>
    </w:p>
    <w:tbl>
      <w:tblPr>
        <w:tblStyle w:val="FigureTable"/>
        <w:tblW w:type="dxa" w:w="9360"/>
        <w:tblLook w:firstRow="0" w:lastRow="0" w:firstColumn="0" w:lastColumn="0"/>
        <w:jc w:val="center"/>
      </w:tblPr>
      <w:tblGrid>
        <w:gridCol w:w="2808"/>
        <w:gridCol w:w="6552"/>
      </w:tblGrid>
      <w:tr>
        <w:tc>
          <w:tcPr/>
          <w:p>
            <w:pPr>
              <w:pStyle w:val="Compact"/>
              <w:jc w:val="center"/>
            </w:pPr>
            <w:r>
              <w:drawing>
                <wp:inline>
                  <wp:extent cx="2266740" cy="1208927"/>
                  <wp:effectExtent b="0" l="0" r="0" t="0"/>
                  <wp:docPr descr="" title="" id="27" name="Picture"/>
                  <a:graphic>
                    <a:graphicData uri="http://schemas.openxmlformats.org/drawingml/2006/picture">
                      <pic:pic>
                        <pic:nvPicPr>
                          <pic:cNvPr descr="figures/fig2_minwage.png" id="28" name="Picture"/>
                          <pic:cNvPicPr>
                            <a:picLocks noChangeArrowheads="1" noChangeAspect="1"/>
                          </pic:cNvPicPr>
                        </pic:nvPicPr>
                        <pic:blipFill>
                          <a:blip r:embed="rId26"/>
                          <a:stretch>
                            <a:fillRect/>
                          </a:stretch>
                        </pic:blipFill>
                        <pic:spPr bwMode="auto">
                          <a:xfrm>
                            <a:off x="0" y="0"/>
                            <a:ext cx="2266740" cy="1208927"/>
                          </a:xfrm>
                          <a:prstGeom prst="rect">
                            <a:avLst/>
                          </a:prstGeom>
                          <a:noFill/>
                          <a:ln w="9525">
                            <a:noFill/>
                            <a:headEnd/>
                            <a:tailEnd/>
                          </a:ln>
                        </pic:spPr>
                      </pic:pic>
                    </a:graphicData>
                  </a:graphic>
                </wp:inline>
              </w:drawing>
            </w:r>
          </w:p>
        </w:tc>
        <w:tc>
          <w:tcPr/>
          <w:p>
            <w:pPr>
              <w:jc w:val="center"/>
            </w:pPr>
            <w:r>
              <w:t xml:space="preserve">Notes: Line: mean of the larger of the state and federal minimum, weighted by the state’s teen population. Bars: number of state-driven increases of at least 5 percent after 36 months without one.</w:t>
            </w:r>
          </w:p>
        </w:tc>
      </w:tr>
    </w:tbl>
    <w:p>
      <w:pPr>
        <w:pStyle w:val="ImageCaption"/>
      </w:pPr>
      <w:r>
        <w:t xml:space="preserve">Figure 2: The effective minimum wage and the calendar of state events, 1994–2025</w:t>
      </w:r>
    </w:p>
    <w:p>
      <w:pPr>
        <w:pStyle w:val="TableCaption"/>
      </w:pPr>
      <w:r>
        <w:t xml:space="preserve">Table 1: Means in the year before the event, 39 state events from 2010: event states and clean controls</w:t>
      </w:r>
    </w:p>
    <w:tbl>
      <w:tblPr>
        <w:tblStyle w:val="Table"/>
        <w:tblW w:type="dxa" w:w="9360"/>
        <w:tblLook w:firstRow="0" w:lastRow="0" w:firstColumn="0" w:lastColumn="0" w:noHBand="0" w:noVBand="0" w:val="0000"/>
        <w:jc w:val="start"/>
        <w:tblCaption w:val="Table 1: Means in the year before the event, 39 state events from 2010: event states and clean controls"/>
      </w:tblPr>
      <w:tblGrid>
        <w:gridCol w:w="2808"/>
        <w:gridCol w:w="1638"/>
        <w:gridCol w:w="1638"/>
        <w:gridCol w:w="1638"/>
        <w:gridCol w:w="1638"/>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r>
      <w:tr>
        <w:tc>
          <w:tcPr/>
          <w:p>
            <w:pPr>
              <w:pStyle w:val="Compact"/>
            </w:pPr>
          </w:p>
        </w:tc>
        <w:tc>
          <w:tcPr/>
          <w:p>
            <w:pPr>
              <w:pStyle w:val="Compact"/>
              <w:jc w:val="right"/>
            </w:pPr>
            <w:r>
              <w:t xml:space="preserve">Event states</w:t>
            </w:r>
          </w:p>
        </w:tc>
        <w:tc>
          <w:tcPr/>
          <w:p>
            <w:pPr>
              <w:pStyle w:val="Compact"/>
              <w:jc w:val="right"/>
            </w:pPr>
            <w:r>
              <w:t xml:space="preserve">Controls</w:t>
            </w:r>
          </w:p>
        </w:tc>
        <w:tc>
          <w:tcPr/>
          <w:p>
            <w:pPr>
              <w:pStyle w:val="Compact"/>
              <w:jc w:val="right"/>
            </w:pPr>
            <w:r>
              <w:t xml:space="preserve">Event states</w:t>
            </w:r>
          </w:p>
        </w:tc>
        <w:tc>
          <w:tcPr/>
          <w:p>
            <w:pPr>
              <w:pStyle w:val="Compact"/>
              <w:jc w:val="right"/>
            </w:pPr>
            <w:r>
              <w:t xml:space="preserve">Controls</w:t>
            </w:r>
          </w:p>
        </w:tc>
      </w:tr>
      <w:tr>
        <w:tc>
          <w:tcPr/>
          <w:p>
            <w:pPr>
              <w:pStyle w:val="Compact"/>
              <w:jc w:val="left"/>
            </w:pPr>
            <w:r>
              <w:t xml:space="preserve">Enrolled in school</w:t>
            </w:r>
          </w:p>
        </w:tc>
        <w:tc>
          <w:tcPr/>
          <w:p>
            <w:pPr>
              <w:pStyle w:val="Compact"/>
              <w:jc w:val="right"/>
            </w:pPr>
            <w:r>
              <w:t xml:space="preserve">0.854</w:t>
            </w:r>
          </w:p>
        </w:tc>
        <w:tc>
          <w:tcPr/>
          <w:p>
            <w:pPr>
              <w:pStyle w:val="Compact"/>
              <w:jc w:val="right"/>
            </w:pPr>
            <w:r>
              <w:t xml:space="preserve">0.843</w:t>
            </w:r>
          </w:p>
        </w:tc>
        <w:tc>
          <w:tcPr/>
          <w:p>
            <w:pPr>
              <w:pStyle w:val="Compact"/>
              <w:jc w:val="right"/>
            </w:pPr>
            <w:r>
              <w:t xml:space="preserve">0.644</w:t>
            </w:r>
          </w:p>
        </w:tc>
        <w:tc>
          <w:tcPr/>
          <w:p>
            <w:pPr>
              <w:pStyle w:val="Compact"/>
              <w:jc w:val="right"/>
            </w:pPr>
            <w:r>
              <w:t xml:space="preserve">0.609</w:t>
            </w:r>
          </w:p>
        </w:tc>
      </w:tr>
      <w:tr>
        <w:tc>
          <w:tcPr/>
          <w:p>
            <w:pPr>
              <w:pStyle w:val="Compact"/>
              <w:jc w:val="left"/>
            </w:pPr>
            <w:r>
              <w:t xml:space="preserve">Employed</w:t>
            </w:r>
          </w:p>
        </w:tc>
        <w:tc>
          <w:tcPr/>
          <w:p>
            <w:pPr>
              <w:pStyle w:val="Compact"/>
              <w:jc w:val="right"/>
            </w:pPr>
            <w:r>
              <w:t xml:space="preserve">0.185</w:t>
            </w:r>
          </w:p>
        </w:tc>
        <w:tc>
          <w:tcPr/>
          <w:p>
            <w:pPr>
              <w:pStyle w:val="Compact"/>
              <w:jc w:val="right"/>
            </w:pPr>
            <w:r>
              <w:t xml:space="preserve">0.211</w:t>
            </w:r>
          </w:p>
        </w:tc>
        <w:tc>
          <w:tcPr/>
          <w:p>
            <w:pPr>
              <w:pStyle w:val="Compact"/>
              <w:jc w:val="right"/>
            </w:pPr>
            <w:r>
              <w:t xml:space="preserve">0.393</w:t>
            </w:r>
          </w:p>
        </w:tc>
        <w:tc>
          <w:tcPr/>
          <w:p>
            <w:pPr>
              <w:pStyle w:val="Compact"/>
              <w:jc w:val="right"/>
            </w:pPr>
            <w:r>
              <w:t xml:space="preserve">0.431</w:t>
            </w:r>
          </w:p>
        </w:tc>
      </w:tr>
      <w:tr>
        <w:tc>
          <w:tcPr/>
          <w:p>
            <w:pPr>
              <w:pStyle w:val="Compact"/>
              <w:jc w:val="left"/>
            </w:pPr>
            <w:r>
              <w:t xml:space="preserve">In labour force</w:t>
            </w:r>
          </w:p>
        </w:tc>
        <w:tc>
          <w:tcPr/>
          <w:p>
            <w:pPr>
              <w:pStyle w:val="Compact"/>
              <w:jc w:val="right"/>
            </w:pPr>
            <w:r>
              <w:t xml:space="preserve">0.227</w:t>
            </w:r>
          </w:p>
        </w:tc>
        <w:tc>
          <w:tcPr/>
          <w:p>
            <w:pPr>
              <w:pStyle w:val="Compact"/>
              <w:jc w:val="right"/>
            </w:pPr>
            <w:r>
              <w:t xml:space="preserve">0.255</w:t>
            </w:r>
          </w:p>
        </w:tc>
        <w:tc>
          <w:tcPr/>
          <w:p>
            <w:pPr>
              <w:pStyle w:val="Compact"/>
              <w:jc w:val="right"/>
            </w:pPr>
            <w:r>
              <w:t xml:space="preserve">0.471</w:t>
            </w:r>
          </w:p>
        </w:tc>
        <w:tc>
          <w:tcPr/>
          <w:p>
            <w:pPr>
              <w:pStyle w:val="Compact"/>
              <w:jc w:val="right"/>
            </w:pPr>
            <w:r>
              <w:t xml:space="preserve">0.507</w:t>
            </w:r>
          </w:p>
        </w:tc>
      </w:tr>
      <w:tr>
        <w:tc>
          <w:tcPr/>
          <w:p>
            <w:pPr>
              <w:pStyle w:val="Compact"/>
              <w:jc w:val="left"/>
            </w:pPr>
            <w:r>
              <w:t xml:space="preserve">Enrolled and employed</w:t>
            </w:r>
          </w:p>
        </w:tc>
        <w:tc>
          <w:tcPr/>
          <w:p>
            <w:pPr>
              <w:pStyle w:val="Compact"/>
              <w:jc w:val="right"/>
            </w:pPr>
            <w:r>
              <w:t xml:space="preserve">0.135</w:t>
            </w:r>
          </w:p>
        </w:tc>
        <w:tc>
          <w:tcPr/>
          <w:p>
            <w:pPr>
              <w:pStyle w:val="Compact"/>
              <w:jc w:val="right"/>
            </w:pPr>
            <w:r>
              <w:t xml:space="preserve">0.157</w:t>
            </w:r>
          </w:p>
        </w:tc>
        <w:tc>
          <w:tcPr/>
          <w:p>
            <w:pPr>
              <w:pStyle w:val="Compact"/>
              <w:jc w:val="right"/>
            </w:pPr>
            <w:r>
              <w:t xml:space="preserve">0.196</w:t>
            </w:r>
          </w:p>
        </w:tc>
        <w:tc>
          <w:tcPr/>
          <w:p>
            <w:pPr>
              <w:pStyle w:val="Compact"/>
              <w:jc w:val="right"/>
            </w:pPr>
            <w:r>
              <w:t xml:space="preserve">0.209</w:t>
            </w:r>
          </w:p>
        </w:tc>
      </w:tr>
      <w:tr>
        <w:tc>
          <w:tcPr/>
          <w:p>
            <w:pPr>
              <w:pStyle w:val="Compact"/>
              <w:jc w:val="left"/>
            </w:pPr>
            <w:r>
              <w:t xml:space="preserve">Enrolled only</w:t>
            </w:r>
          </w:p>
        </w:tc>
        <w:tc>
          <w:tcPr/>
          <w:p>
            <w:pPr>
              <w:pStyle w:val="Compact"/>
              <w:jc w:val="right"/>
            </w:pPr>
            <w:r>
              <w:t xml:space="preserve">0.719</w:t>
            </w:r>
          </w:p>
        </w:tc>
        <w:tc>
          <w:tcPr/>
          <w:p>
            <w:pPr>
              <w:pStyle w:val="Compact"/>
              <w:jc w:val="right"/>
            </w:pPr>
            <w:r>
              <w:t xml:space="preserve">0.686</w:t>
            </w:r>
          </w:p>
        </w:tc>
        <w:tc>
          <w:tcPr/>
          <w:p>
            <w:pPr>
              <w:pStyle w:val="Compact"/>
              <w:jc w:val="right"/>
            </w:pPr>
            <w:r>
              <w:t xml:space="preserve">0.448</w:t>
            </w:r>
          </w:p>
        </w:tc>
        <w:tc>
          <w:tcPr/>
          <w:p>
            <w:pPr>
              <w:pStyle w:val="Compact"/>
              <w:jc w:val="right"/>
            </w:pPr>
            <w:r>
              <w:t xml:space="preserve">0.400</w:t>
            </w:r>
          </w:p>
        </w:tc>
      </w:tr>
      <w:tr>
        <w:tc>
          <w:tcPr/>
          <w:p>
            <w:pPr>
              <w:pStyle w:val="Compact"/>
              <w:jc w:val="left"/>
            </w:pPr>
            <w:r>
              <w:t xml:space="preserve">Employed only</w:t>
            </w:r>
          </w:p>
        </w:tc>
        <w:tc>
          <w:tcPr/>
          <w:p>
            <w:pPr>
              <w:pStyle w:val="Compact"/>
              <w:jc w:val="right"/>
            </w:pPr>
            <w:r>
              <w:t xml:space="preserve">0.050</w:t>
            </w:r>
          </w:p>
        </w:tc>
        <w:tc>
          <w:tcPr/>
          <w:p>
            <w:pPr>
              <w:pStyle w:val="Compact"/>
              <w:jc w:val="right"/>
            </w:pPr>
            <w:r>
              <w:t xml:space="preserve">0.055</w:t>
            </w:r>
          </w:p>
        </w:tc>
        <w:tc>
          <w:tcPr/>
          <w:p>
            <w:pPr>
              <w:pStyle w:val="Compact"/>
              <w:jc w:val="right"/>
            </w:pPr>
            <w:r>
              <w:t xml:space="preserve">0.197</w:t>
            </w:r>
          </w:p>
        </w:tc>
        <w:tc>
          <w:tcPr/>
          <w:p>
            <w:pPr>
              <w:pStyle w:val="Compact"/>
              <w:jc w:val="right"/>
            </w:pPr>
            <w:r>
              <w:t xml:space="preserve">0.222</w:t>
            </w:r>
          </w:p>
        </w:tc>
      </w:tr>
      <w:tr>
        <w:tc>
          <w:tcPr/>
          <w:p>
            <w:pPr>
              <w:pStyle w:val="Compact"/>
              <w:jc w:val="left"/>
            </w:pPr>
            <w:r>
              <w:t xml:space="preserve">Neither</w:t>
            </w:r>
          </w:p>
        </w:tc>
        <w:tc>
          <w:tcPr/>
          <w:p>
            <w:pPr>
              <w:pStyle w:val="Compact"/>
              <w:jc w:val="right"/>
            </w:pPr>
            <w:r>
              <w:t xml:space="preserve">0.096</w:t>
            </w:r>
          </w:p>
        </w:tc>
        <w:tc>
          <w:tcPr/>
          <w:p>
            <w:pPr>
              <w:pStyle w:val="Compact"/>
              <w:jc w:val="right"/>
            </w:pPr>
            <w:r>
              <w:t xml:space="preserve">0.102</w:t>
            </w:r>
          </w:p>
        </w:tc>
        <w:tc>
          <w:tcPr/>
          <w:p>
            <w:pPr>
              <w:pStyle w:val="Compact"/>
              <w:jc w:val="right"/>
            </w:pPr>
            <w:r>
              <w:t xml:space="preserve">0.159</w:t>
            </w:r>
          </w:p>
        </w:tc>
        <w:tc>
          <w:tcPr/>
          <w:p>
            <w:pPr>
              <w:pStyle w:val="Compact"/>
              <w:jc w:val="right"/>
            </w:pPr>
            <w:r>
              <w:t xml:space="preserve">0.168</w:t>
            </w:r>
          </w:p>
        </w:tc>
      </w:tr>
      <w:tr>
        <w:tc>
          <w:tcPr/>
          <w:p>
            <w:pPr>
              <w:pStyle w:val="Compact"/>
              <w:jc w:val="left"/>
            </w:pPr>
            <w:r>
              <w:t xml:space="preserve">Usual weekly hours (0 if not working)</w:t>
            </w:r>
          </w:p>
        </w:tc>
        <w:tc>
          <w:tcPr/>
          <w:p>
            <w:pPr>
              <w:pStyle w:val="Compact"/>
              <w:jc w:val="right"/>
            </w:pPr>
            <w:r>
              <w:t xml:space="preserve">3.18</w:t>
            </w:r>
          </w:p>
        </w:tc>
        <w:tc>
          <w:tcPr/>
          <w:p>
            <w:pPr>
              <w:pStyle w:val="Compact"/>
              <w:jc w:val="right"/>
            </w:pPr>
            <w:r>
              <w:t xml:space="preserve">3.67</w:t>
            </w:r>
          </w:p>
        </w:tc>
        <w:tc>
          <w:tcPr/>
          <w:p>
            <w:pPr>
              <w:pStyle w:val="Compact"/>
              <w:jc w:val="right"/>
            </w:pPr>
            <w:r>
              <w:t xml:space="preserve">9.86</w:t>
            </w:r>
          </w:p>
        </w:tc>
        <w:tc>
          <w:tcPr/>
          <w:p>
            <w:pPr>
              <w:pStyle w:val="Compact"/>
              <w:jc w:val="right"/>
            </w:pPr>
            <w:r>
              <w:t xml:space="preserve">11.32</w:t>
            </w:r>
          </w:p>
        </w:tc>
      </w:tr>
      <w:tr>
        <w:tc>
          <w:tcPr/>
          <w:p>
            <w:pPr>
              <w:pStyle w:val="Compact"/>
              <w:jc w:val="left"/>
            </w:pPr>
            <w:r>
              <w:t xml:space="preserve">Hourly wage, hourly paid ($)</w:t>
            </w:r>
          </w:p>
        </w:tc>
        <w:tc>
          <w:tcPr/>
          <w:p>
            <w:pPr>
              <w:pStyle w:val="Compact"/>
              <w:jc w:val="right"/>
            </w:pPr>
            <w:r>
              <w:t xml:space="preserve">9.61</w:t>
            </w:r>
          </w:p>
        </w:tc>
        <w:tc>
          <w:tcPr/>
          <w:p>
            <w:pPr>
              <w:pStyle w:val="Compact"/>
              <w:jc w:val="right"/>
            </w:pPr>
            <w:r>
              <w:t xml:space="preserve">9.20</w:t>
            </w:r>
          </w:p>
        </w:tc>
        <w:tc>
          <w:tcPr/>
          <w:p>
            <w:pPr>
              <w:pStyle w:val="Compact"/>
              <w:jc w:val="right"/>
            </w:pPr>
            <w:r>
              <w:t xml:space="preserve">10.69</w:t>
            </w:r>
          </w:p>
        </w:tc>
        <w:tc>
          <w:tcPr/>
          <w:p>
            <w:pPr>
              <w:pStyle w:val="Compact"/>
              <w:jc w:val="right"/>
            </w:pPr>
            <w:r>
              <w:t xml:space="preserve">10.12</w:t>
            </w:r>
          </w:p>
        </w:tc>
      </w:tr>
      <w:tr>
        <w:tc>
          <w:tcPr/>
          <w:p>
            <w:pPr>
              <w:pStyle w:val="Compact"/>
              <w:jc w:val="left"/>
            </w:pPr>
            <w:r>
              <w:t xml:space="preserve">Female</w:t>
            </w:r>
          </w:p>
        </w:tc>
        <w:tc>
          <w:tcPr/>
          <w:p>
            <w:pPr>
              <w:pStyle w:val="Compact"/>
              <w:jc w:val="right"/>
            </w:pPr>
            <w:r>
              <w:t xml:space="preserve">0.487</w:t>
            </w:r>
          </w:p>
        </w:tc>
        <w:tc>
          <w:tcPr/>
          <w:p>
            <w:pPr>
              <w:pStyle w:val="Compact"/>
              <w:jc w:val="right"/>
            </w:pPr>
            <w:r>
              <w:t xml:space="preserve">0.497</w:t>
            </w:r>
          </w:p>
        </w:tc>
        <w:tc>
          <w:tcPr/>
          <w:p>
            <w:pPr>
              <w:pStyle w:val="Compact"/>
              <w:jc w:val="right"/>
            </w:pPr>
            <w:r>
              <w:t xml:space="preserve">0.498</w:t>
            </w:r>
          </w:p>
        </w:tc>
        <w:tc>
          <w:tcPr/>
          <w:p>
            <w:pPr>
              <w:pStyle w:val="Compact"/>
              <w:jc w:val="right"/>
            </w:pPr>
            <w:r>
              <w:t xml:space="preserve">0.494</w:t>
            </w:r>
          </w:p>
        </w:tc>
      </w:tr>
      <w:tr>
        <w:tc>
          <w:tcPr/>
          <w:p>
            <w:pPr>
              <w:pStyle w:val="Compact"/>
              <w:jc w:val="left"/>
            </w:pPr>
            <w:r>
              <w:t xml:space="preserve">Black</w:t>
            </w:r>
          </w:p>
        </w:tc>
        <w:tc>
          <w:tcPr/>
          <w:p>
            <w:pPr>
              <w:pStyle w:val="Compact"/>
              <w:jc w:val="right"/>
            </w:pPr>
            <w:r>
              <w:t xml:space="preserve">0.126</w:t>
            </w:r>
          </w:p>
        </w:tc>
        <w:tc>
          <w:tcPr/>
          <w:p>
            <w:pPr>
              <w:pStyle w:val="Compact"/>
              <w:jc w:val="right"/>
            </w:pPr>
            <w:r>
              <w:t xml:space="preserve">0.174</w:t>
            </w:r>
          </w:p>
        </w:tc>
        <w:tc>
          <w:tcPr/>
          <w:p>
            <w:pPr>
              <w:pStyle w:val="Compact"/>
              <w:jc w:val="right"/>
            </w:pPr>
            <w:r>
              <w:t xml:space="preserve">0.130</w:t>
            </w:r>
          </w:p>
        </w:tc>
        <w:tc>
          <w:tcPr/>
          <w:p>
            <w:pPr>
              <w:pStyle w:val="Compact"/>
              <w:jc w:val="right"/>
            </w:pPr>
            <w:r>
              <w:t xml:space="preserve">0.177</w:t>
            </w:r>
          </w:p>
        </w:tc>
      </w:tr>
      <w:tr>
        <w:tc>
          <w:tcPr/>
          <w:p>
            <w:pPr>
              <w:pStyle w:val="Compact"/>
              <w:jc w:val="left"/>
            </w:pPr>
            <w:r>
              <w:t xml:space="preserve">Hispanic</w:t>
            </w:r>
          </w:p>
        </w:tc>
        <w:tc>
          <w:tcPr/>
          <w:p>
            <w:pPr>
              <w:pStyle w:val="Compact"/>
              <w:jc w:val="right"/>
            </w:pPr>
            <w:r>
              <w:t xml:space="preserve">0.242</w:t>
            </w:r>
          </w:p>
        </w:tc>
        <w:tc>
          <w:tcPr/>
          <w:p>
            <w:pPr>
              <w:pStyle w:val="Compact"/>
              <w:jc w:val="right"/>
            </w:pPr>
            <w:r>
              <w:t xml:space="preserve">0.186</w:t>
            </w:r>
          </w:p>
        </w:tc>
        <w:tc>
          <w:tcPr/>
          <w:p>
            <w:pPr>
              <w:pStyle w:val="Compact"/>
              <w:jc w:val="right"/>
            </w:pPr>
            <w:r>
              <w:t xml:space="preserve">0.249</w:t>
            </w:r>
          </w:p>
        </w:tc>
        <w:tc>
          <w:tcPr/>
          <w:p>
            <w:pPr>
              <w:pStyle w:val="Compact"/>
              <w:jc w:val="right"/>
            </w:pPr>
            <w:r>
              <w:t xml:space="preserve">0.193</w:t>
            </w:r>
          </w:p>
        </w:tc>
      </w:tr>
      <w:tr>
        <w:tc>
          <w:tcPr/>
          <w:p>
            <w:pPr>
              <w:pStyle w:val="Compact"/>
              <w:jc w:val="left"/>
            </w:pPr>
            <w:r>
              <w:t xml:space="preserve">Person-months</w:t>
            </w:r>
          </w:p>
        </w:tc>
        <w:tc>
          <w:tcPr/>
          <w:p>
            <w:pPr>
              <w:pStyle w:val="Compact"/>
              <w:jc w:val="right"/>
            </w:pPr>
            <w:r>
              <w:t xml:space="preserve">29,115</w:t>
            </w:r>
          </w:p>
        </w:tc>
        <w:tc>
          <w:tcPr/>
          <w:p>
            <w:pPr>
              <w:pStyle w:val="Compact"/>
              <w:jc w:val="right"/>
            </w:pPr>
            <w:r>
              <w:t xml:space="preserve">763,850</w:t>
            </w:r>
          </w:p>
        </w:tc>
        <w:tc>
          <w:tcPr/>
          <w:p>
            <w:pPr>
              <w:pStyle w:val="Compact"/>
              <w:jc w:val="right"/>
            </w:pPr>
            <w:r>
              <w:t xml:space="preserve">26,859</w:t>
            </w:r>
          </w:p>
        </w:tc>
        <w:tc>
          <w:tcPr/>
          <w:p>
            <w:pPr>
              <w:pStyle w:val="Compact"/>
              <w:jc w:val="right"/>
            </w:pPr>
            <w:r>
              <w:t xml:space="preserve">665,432</w:t>
            </w:r>
          </w:p>
        </w:tc>
      </w:tr>
    </w:tbl>
    <w:p>
      <w:pPr>
        <w:pStyle w:val="BodyText"/>
      </w:pPr>
      <w:r>
        <w:t xml:space="preserve">Notes: Weighted means over the twelve months before each event, pooled across events. Hourly wage among hourly-paid workers in the outgoing rotation groups, earnings-weighted.</w:t>
      </w:r>
    </w:p>
    <w:bookmarkEnd w:id="29"/>
    <w:bookmarkStart w:id="34" w:name="empirical-strategy"/>
    <w:p>
      <w:pPr>
        <w:pStyle w:val="Heading1"/>
      </w:pPr>
      <w:r>
        <w:t xml:space="preserve">4 Empirical Strategy</w:t>
      </w:r>
    </w:p>
    <w:bookmarkStart w:id="30" w:name="units"/>
    <w:p>
      <w:pPr>
        <w:pStyle w:val="Heading2"/>
      </w:pPr>
      <w:r>
        <w:t xml:space="preserve">4.1 Units</w:t>
      </w:r>
    </w:p>
    <w:p>
      <w:pPr>
        <w:pStyle w:val="FirstParagraph"/>
      </w:pPr>
      <w:r>
        <w:t xml:space="preserve">The minimum wage a teenager faces is set by the state and, in a growing number of places, by the city or county. Sixty cities and counties set minimums above their state’s between 2004 and 2025, from San Francisco and Santa Fe in 2004 to Seattle, Chicago, Los Angeles and the Minneapolis–St. Paul cities in the following decade. The geographic units of the analysis are therefore the jurisdictions whose wage floor a teen faces: each identified county with a local minimum is a unit with its own effective minimum wage series, the local rate applied to the whole county, and the remainder of each state, its teens outside those counties, is a unit at the state rate. There are 107 units, 56 of them counties in 13 states, and the effective minimum of a unit in a month is the larger of its own rate and the federal minimum. A Seattle teen is at Seattle’s minimum, a teen elsewhere in Washington at the state’s, and when Seattle raises its minimum King County has an event of its own.</w:t>
      </w:r>
    </w:p>
    <w:bookmarkEnd w:id="30"/>
    <w:bookmarkStart w:id="31" w:name="events-and-clean-controls"/>
    <w:p>
      <w:pPr>
        <w:pStyle w:val="Heading2"/>
      </w:pPr>
      <w:r>
        <w:t xml:space="preserve">4.2 Events and clean controls</w:t>
      </w:r>
    </w:p>
    <w:p>
      <w:pPr>
        <w:pStyle w:val="FirstParagraph"/>
      </w:pPr>
      <w:r>
        <w:t xml:space="preserve">The minimum wage is a continuous policy that most jurisdictions now change every January by legislation or indexation, so it cannot be used as a once-and-for-all treatment. Following Cengiz et al. (2019), I define events. An event occurs in unit</w:t>
      </w:r>
      <w:r>
        <w:t xml:space="preserve"> </w:t>
      </w:r>
      <m:oMath>
        <m:r>
          <m:t>u</m:t>
        </m:r>
      </m:oMath>
      <w:r>
        <w:t xml:space="preserve"> </w:t>
      </w:r>
      <w:r>
        <w:t xml:space="preserve">and month</w:t>
      </w:r>
      <w:r>
        <w:t xml:space="preserve"> </w:t>
      </w:r>
      <m:oMath>
        <m:r>
          <m:t>t</m:t>
        </m:r>
      </m:oMath>
      <w:r>
        <w:t xml:space="preserve"> </w:t>
      </w:r>
      <w:r>
        <w:t xml:space="preserve">if the unit’s effective minimum rises by at least 5 percent because of state or local law and there has been no such rise in the unit in the preceding 36 months. Later increases in the following 48 months, which in the modern schedules are the subsequent steps of the same law, are part of the same event, so a multi-year schedule is one event and its dose is the cumulative rise over the window. Increases caused by a change in the federal minimum are not events. This yields 258 unit events between 1994 and 2025, of which 101 fall from January 2010 on and 73 of those have CPS teens in the unit (Appendix Table 23): 39 in state remainders, 18 in counties where state and local rates rose together, and 16 driven by a local rise alone. The events raise the minimum by 5 to 86 percent over the window, 38 percent on average, in 62 cases through two or more steps.</w:t>
      </w:r>
    </w:p>
    <w:p>
      <w:pPr>
        <w:pStyle w:val="BodyText"/>
      </w:pPr>
      <w:r>
        <w:t xml:space="preserve">The controls for an event are the units in other states that had no qualifying increase in the window from 36 months before the event to 47 months after it. For the events from 2010 on, the federal minimum did not change, so these units had no change in their minimum at all; each event has a median of 28 such controls. Before 2010 the federal increases of 1996–97 and 2007–09 raised the minimum in every unit at or near the floor, so the windows of events in those years contain federal-induced increases in the controls; those events are reported in the appendix.</w:t>
      </w:r>
    </w:p>
    <w:bookmarkEnd w:id="31"/>
    <w:bookmarkStart w:id="32" w:name="estimator"/>
    <w:p>
      <w:pPr>
        <w:pStyle w:val="Heading2"/>
      </w:pPr>
      <w:r>
        <w:t xml:space="preserve">4.3 Estimator</w:t>
      </w:r>
    </w:p>
    <w:p>
      <w:pPr>
        <w:pStyle w:val="FirstParagraph"/>
      </w:pPr>
      <w:r>
        <w:t xml:space="preserve">For event</w:t>
      </w:r>
      <w:r>
        <w:t xml:space="preserve"> </w:t>
      </w:r>
      <m:oMath>
        <m:r>
          <m:t>e</m:t>
        </m:r>
      </m:oMath>
      <w:r>
        <w:t xml:space="preserve"> </w:t>
      </w:r>
      <w:r>
        <w:t xml:space="preserve">in unit</w:t>
      </w:r>
      <w:r>
        <w:t xml:space="preserve"> </w:t>
      </w:r>
      <m:oMath>
        <m:sSub>
          <m:e>
            <m:r>
              <m:t>u</m:t>
            </m:r>
          </m:e>
          <m:sub>
            <m:r>
              <m:t>e</m:t>
            </m:r>
          </m:sub>
        </m:sSub>
      </m:oMath>
      <w:r>
        <w:t xml:space="preserve"> </w:t>
      </w:r>
      <w:r>
        <w:t xml:space="preserve">at month</w:t>
      </w:r>
      <w:r>
        <w:t xml:space="preserve"> </w:t>
      </w:r>
      <m:oMath>
        <m:sSub>
          <m:e>
            <m:r>
              <m:t>t</m:t>
            </m:r>
          </m:e>
          <m:sub>
            <m:r>
              <m:t>e</m:t>
            </m:r>
          </m:sub>
        </m:sSub>
      </m:oMath>
      <w:r>
        <w:t xml:space="preserve">, define relative year</w:t>
      </w:r>
      <w:r>
        <w:t xml:space="preserve"> </w:t>
      </w:r>
      <m:oMath>
        <m:r>
          <m:t>k</m:t>
        </m:r>
        <m:r>
          <m:rPr>
            <m:sty m:val="p"/>
          </m:rPr>
          <m:t>=</m:t>
        </m:r>
        <m:r>
          <m:rPr>
            <m:sty m:val="p"/>
          </m:rPr>
          <m:t>⌊</m:t>
        </m:r>
        <m:d>
          <m:dPr>
            <m:begChr m:val="("/>
            <m:endChr m:val=")"/>
            <m:sepChr m:val=""/>
            <m:grow/>
          </m:dPr>
          <m:e>
            <m:r>
              <m:t>t</m:t>
            </m:r>
            <m:r>
              <m:rPr>
                <m:sty m:val="p"/>
              </m:rPr>
              <m:t>−</m:t>
            </m:r>
            <m:sSub>
              <m:e>
                <m:r>
                  <m:t>t</m:t>
                </m:r>
              </m:e>
              <m:sub>
                <m:r>
                  <m:t>e</m:t>
                </m:r>
              </m:sub>
            </m:sSub>
          </m:e>
        </m:d>
        <m:r>
          <m:rPr>
            <m:sty m:val="p"/>
          </m:rPr>
          <m:t>/</m:t>
        </m:r>
        <m:r>
          <m:t>12</m:t>
        </m:r>
        <m:r>
          <m:rPr>
            <m:sty m:val="p"/>
          </m:rPr>
          <m:t>⌋</m:t>
        </m:r>
      </m:oMath>
      <w:r>
        <w:t xml:space="preserve">, so that</w:t>
      </w:r>
      <w:r>
        <w:t xml:space="preserve"> </w:t>
      </w:r>
      <m:oMath>
        <m:r>
          <m:t>k</m:t>
        </m:r>
        <m:r>
          <m:rPr>
            <m:sty m:val="p"/>
          </m:rPr>
          <m:t>=</m:t>
        </m:r>
        <m:r>
          <m:rPr>
            <m:sty m:val="p"/>
          </m:rPr>
          <m:t>−</m:t>
        </m:r>
        <m:r>
          <m:t>1</m:t>
        </m:r>
      </m:oMath>
      <w:r>
        <w:t xml:space="preserve"> </w:t>
      </w:r>
      <w:r>
        <w:t xml:space="preserve">is the twelve months before the increase,</w:t>
      </w:r>
      <w:r>
        <w:t xml:space="preserve"> </w:t>
      </w:r>
      <m:oMath>
        <m:r>
          <m:t>k</m:t>
        </m:r>
        <m:r>
          <m:rPr>
            <m:sty m:val="p"/>
          </m:rPr>
          <m:t>=</m:t>
        </m:r>
        <m:r>
          <m:t>0</m:t>
        </m:r>
      </m:oMath>
      <w:r>
        <w:t xml:space="preserve"> </w:t>
      </w:r>
      <w:r>
        <w:t xml:space="preserve">the twelve months starting with it, and</w:t>
      </w:r>
      <w:r>
        <w:t xml:space="preserve"> </w:t>
      </w:r>
      <m:oMath>
        <m:r>
          <m:t>k</m:t>
        </m:r>
        <m:r>
          <m:rPr>
            <m:sty m:val="p"/>
          </m:rPr>
          <m:t>=</m:t>
        </m:r>
        <m:r>
          <m:t>3</m:t>
        </m:r>
      </m:oMath>
      <w:r>
        <w:t xml:space="preserve"> </w:t>
      </w:r>
      <w:r>
        <w:t xml:space="preserve">the fourth year after. Let</w:t>
      </w:r>
      <w:r>
        <w:t xml:space="preserve"> </w:t>
      </w:r>
      <m:oMath>
        <m:sSubSup>
          <m:e>
            <m:acc>
              <m:accPr>
                <m:chr m:val="‾"/>
              </m:accPr>
              <m:e>
                <m:r>
                  <m:t>y</m:t>
                </m:r>
              </m:e>
            </m:acc>
          </m:e>
          <m:sub>
            <m:r>
              <m:t>e</m:t>
            </m:r>
            <m:r>
              <m:rPr>
                <m:sty m:val="p"/>
              </m:rPr>
              <m:t>,</m:t>
            </m:r>
            <m:r>
              <m:t>k</m:t>
            </m:r>
          </m:sub>
          <m:sup>
            <m:r>
              <m:t>T</m:t>
            </m:r>
          </m:sup>
        </m:sSubSup>
      </m:oMath>
      <w:r>
        <w:t xml:space="preserve"> </w:t>
      </w:r>
      <w:r>
        <w:t xml:space="preserve">be the weighted mean of an outcome among teens in the treated unit in relative year</w:t>
      </w:r>
      <w:r>
        <w:t xml:space="preserve"> </w:t>
      </w:r>
      <m:oMath>
        <m:r>
          <m:t>k</m:t>
        </m:r>
      </m:oMath>
      <w:r>
        <w:t xml:space="preserve">, and</w:t>
      </w:r>
      <w:r>
        <w:t xml:space="preserve"> </w:t>
      </w:r>
      <m:oMath>
        <m:sSubSup>
          <m:e>
            <m:acc>
              <m:accPr>
                <m:chr m:val="‾"/>
              </m:accPr>
              <m:e>
                <m:r>
                  <m:t>y</m:t>
                </m:r>
              </m:e>
            </m:acc>
          </m:e>
          <m:sub>
            <m:r>
              <m:t>e</m:t>
            </m:r>
            <m:r>
              <m:rPr>
                <m:sty m:val="p"/>
              </m:rPr>
              <m:t>,</m:t>
            </m:r>
            <m:r>
              <m:t>k</m:t>
            </m:r>
          </m:sub>
          <m:sup>
            <m:r>
              <m:t>C</m:t>
            </m:r>
          </m:sup>
        </m:sSubSup>
      </m:oMath>
      <w:r>
        <w:t xml:space="preserve"> </w:t>
      </w:r>
      <w:r>
        <w:t xml:space="preserve">the same among teens in the pooled control units. The event-specific effect in relative year</w:t>
      </w:r>
      <w:r>
        <w:t xml:space="preserve"> </w:t>
      </w:r>
      <m:oMath>
        <m:r>
          <m:t>k</m:t>
        </m:r>
      </m:oMath>
      <w:r>
        <w:t xml:space="preserve"> </w:t>
      </w:r>
      <w:r>
        <w:t xml:space="preserve">is</w:t>
      </w:r>
    </w:p>
    <w:p>
      <w:pPr>
        <w:pStyle w:val="BodyText"/>
      </w:pPr>
      <m:oMathPara>
        <m:oMathParaPr>
          <m:jc m:val="center"/>
        </m:oMathParaPr>
        <m:oMath>
          <m:sSub>
            <m:e>
              <m:acc>
                <m:accPr>
                  <m:chr m:val="̂"/>
                </m:accPr>
                <m:e>
                  <m:r>
                    <m:t>τ</m:t>
                  </m:r>
                </m:e>
              </m:acc>
            </m:e>
            <m:sub>
              <m:r>
                <m:t>e</m:t>
              </m:r>
              <m:r>
                <m:rPr>
                  <m:sty m:val="p"/>
                </m:rPr>
                <m:t>,</m:t>
              </m:r>
              <m:r>
                <m:t>k</m:t>
              </m:r>
            </m:sub>
          </m:sSub>
          <m:r>
            <m:rPr>
              <m:sty m:val="p"/>
            </m:rPr>
            <m:t>=</m:t>
          </m:r>
          <m:d>
            <m:dPr>
              <m:begChr m:val="("/>
              <m:endChr m:val=")"/>
              <m:sepChr m:val=""/>
              <m:grow/>
            </m:dPr>
            <m:e>
              <m:sSubSup>
                <m:e>
                  <m:acc>
                    <m:accPr>
                      <m:chr m:val="‾"/>
                    </m:accPr>
                    <m:e>
                      <m:r>
                        <m:t>y</m:t>
                      </m:r>
                    </m:e>
                  </m:acc>
                </m:e>
                <m:sub>
                  <m:r>
                    <m:t>e</m:t>
                  </m:r>
                  <m:r>
                    <m:rPr>
                      <m:sty m:val="p"/>
                    </m:rPr>
                    <m:t>,</m:t>
                  </m:r>
                  <m:r>
                    <m:t>k</m:t>
                  </m:r>
                </m:sub>
                <m:sup>
                  <m:r>
                    <m:t>T</m:t>
                  </m:r>
                </m:sup>
              </m:sSubSup>
              <m:r>
                <m:rPr>
                  <m:sty m:val="p"/>
                </m:rPr>
                <m:t>−</m:t>
              </m:r>
              <m:sSubSup>
                <m:e>
                  <m:acc>
                    <m:accPr>
                      <m:chr m:val="‾"/>
                    </m:accPr>
                    <m:e>
                      <m:r>
                        <m:t>y</m:t>
                      </m:r>
                    </m:e>
                  </m:acc>
                </m:e>
                <m:sub>
                  <m:r>
                    <m:t>e</m:t>
                  </m:r>
                  <m:r>
                    <m:rPr>
                      <m:sty m:val="p"/>
                    </m:rPr>
                    <m:t>,</m:t>
                  </m:r>
                  <m:r>
                    <m:rPr>
                      <m:sty m:val="p"/>
                    </m:rPr>
                    <m:t>−</m:t>
                  </m:r>
                  <m:r>
                    <m:t>1</m:t>
                  </m:r>
                </m:sub>
                <m:sup>
                  <m:r>
                    <m:t>T</m:t>
                  </m:r>
                </m:sup>
              </m:sSubSup>
            </m:e>
          </m:d>
          <m:r>
            <m:rPr>
              <m:sty m:val="p"/>
            </m:rPr>
            <m:t>−</m:t>
          </m:r>
          <m:d>
            <m:dPr>
              <m:begChr m:val="("/>
              <m:endChr m:val=")"/>
              <m:sepChr m:val=""/>
              <m:grow/>
            </m:dPr>
            <m:e>
              <m:sSubSup>
                <m:e>
                  <m:acc>
                    <m:accPr>
                      <m:chr m:val="‾"/>
                    </m:accPr>
                    <m:e>
                      <m:r>
                        <m:t>y</m:t>
                      </m:r>
                    </m:e>
                  </m:acc>
                </m:e>
                <m:sub>
                  <m:r>
                    <m:t>e</m:t>
                  </m:r>
                  <m:r>
                    <m:rPr>
                      <m:sty m:val="p"/>
                    </m:rPr>
                    <m:t>,</m:t>
                  </m:r>
                  <m:r>
                    <m:t>k</m:t>
                  </m:r>
                </m:sub>
                <m:sup>
                  <m:r>
                    <m:t>C</m:t>
                  </m:r>
                </m:sup>
              </m:sSubSup>
              <m:r>
                <m:rPr>
                  <m:sty m:val="p"/>
                </m:rPr>
                <m:t>−</m:t>
              </m:r>
              <m:sSubSup>
                <m:e>
                  <m:acc>
                    <m:accPr>
                      <m:chr m:val="‾"/>
                    </m:accPr>
                    <m:e>
                      <m:r>
                        <m:t>y</m:t>
                      </m:r>
                    </m:e>
                  </m:acc>
                </m:e>
                <m:sub>
                  <m:r>
                    <m:t>e</m:t>
                  </m:r>
                  <m:r>
                    <m:rPr>
                      <m:sty m:val="p"/>
                    </m:rPr>
                    <m:t>,</m:t>
                  </m:r>
                  <m:r>
                    <m:rPr>
                      <m:sty m:val="p"/>
                    </m:rPr>
                    <m:t>−</m:t>
                  </m:r>
                  <m:r>
                    <m:t>1</m:t>
                  </m:r>
                </m:sub>
                <m:sup>
                  <m:r>
                    <m:t>C</m:t>
                  </m:r>
                </m:sup>
              </m:sSubSup>
            </m:e>
          </m:d>
          <m:r>
            <m:rPr>
              <m:sty m:val="p"/>
            </m:rPr>
            <m:t>,</m:t>
          </m:r>
          <m:r>
            <m:t>  </m:t>
          </m:r>
          <m:r>
            <m:t>k</m:t>
          </m:r>
          <m:r>
            <m:rPr>
              <m:sty m:val="p"/>
            </m:rPr>
            <m:t>∈</m:t>
          </m:r>
          <m:r>
            <m:rPr>
              <m:sty m:val="p"/>
            </m:rPr>
            <m:t>{</m:t>
          </m:r>
          <m:r>
            <m:rPr>
              <m:sty m:val="p"/>
            </m:rPr>
            <m:t>−</m:t>
          </m:r>
          <m:r>
            <m:t>3</m:t>
          </m:r>
          <m:r>
            <m:rPr>
              <m:sty m:val="p"/>
            </m:rPr>
            <m:t>,</m:t>
          </m:r>
          <m:r>
            <m:rPr>
              <m:sty m:val="p"/>
            </m:rPr>
            <m:t>−</m:t>
          </m:r>
          <m:r>
            <m:t>2</m:t>
          </m:r>
          <m:r>
            <m:rPr>
              <m:sty m:val="p"/>
            </m:rPr>
            <m:t>,</m:t>
          </m:r>
          <m:r>
            <m:t>0</m:t>
          </m:r>
          <m:r>
            <m:rPr>
              <m:sty m:val="p"/>
            </m:rPr>
            <m:t>,</m:t>
          </m:r>
          <m:r>
            <m:t>1</m:t>
          </m:r>
          <m:r>
            <m:rPr>
              <m:sty m:val="p"/>
            </m:rPr>
            <m:t>,</m:t>
          </m:r>
          <m:r>
            <m:t>2</m:t>
          </m:r>
          <m:r>
            <m:rPr>
              <m:sty m:val="p"/>
            </m:rPr>
            <m:t>,</m:t>
          </m:r>
          <m:r>
            <m:t>3</m:t>
          </m:r>
          <m:r>
            <m:rPr>
              <m:sty m:val="p"/>
            </m:rPr>
            <m:t>}</m:t>
          </m:r>
          <m:r>
            <m:rPr>
              <m:sty m:val="p"/>
            </m:rPr>
            <m:t>,</m:t>
          </m:r>
        </m:oMath>
      </m:oMathPara>
    </w:p>
    <w:p>
      <w:pPr>
        <w:pStyle w:val="FirstParagraph"/>
      </w:pPr>
      <w:r>
        <w:t xml:space="preserve">which is the group-time average treatment effect of Callaway and Sant’Anna (2021) for a single cohort with the base period fixed at the year before treatment, and the coefficient a stacked regression with event-by-unit and event-by-year fixed effects recovers. The aggregate effect at relative year</w:t>
      </w:r>
      <w:r>
        <w:t xml:space="preserve"> </w:t>
      </w:r>
      <m:oMath>
        <m:r>
          <m:t>k</m:t>
        </m:r>
      </m:oMath>
      <w:r>
        <w:t xml:space="preserve"> </w:t>
      </w:r>
      <w:r>
        <w:t xml:space="preserve">is</w:t>
      </w:r>
      <w:r>
        <w:t xml:space="preserve"> </w:t>
      </w:r>
      <m:oMath>
        <m:sSub>
          <m:e>
            <m:acc>
              <m:accPr>
                <m:chr m:val="̂"/>
              </m:accPr>
              <m:e>
                <m:r>
                  <m:t>τ</m:t>
                </m:r>
              </m:e>
            </m:acc>
          </m:e>
          <m:sub>
            <m:r>
              <m:t>k</m:t>
            </m:r>
          </m:sub>
        </m:sSub>
        <m:r>
          <m:rPr>
            <m:sty m:val="p"/>
          </m:rPr>
          <m:t>=</m:t>
        </m:r>
        <m:nary>
          <m:naryPr>
            <m:chr m:val="∑"/>
            <m:limLoc m:val="undOvr"/>
            <m:subHide m:val="off"/>
            <m:supHide m:val="on"/>
          </m:naryPr>
          <m:sub>
            <m:r>
              <m:t>e</m:t>
            </m:r>
          </m:sub>
          <m:sup>
            <m:r>
              <m:t>​</m:t>
            </m:r>
          </m:sup>
          <m:e>
            <m:sSub>
              <m:e>
                <m:r>
                  <m:t>ω</m:t>
                </m:r>
              </m:e>
              <m:sub>
                <m:r>
                  <m:t>e</m:t>
                </m:r>
              </m:sub>
            </m:sSub>
          </m:e>
        </m:nary>
        <m:sSub>
          <m:e>
            <m:acc>
              <m:accPr>
                <m:chr m:val="̂"/>
              </m:accPr>
              <m:e>
                <m:r>
                  <m:t>τ</m:t>
                </m:r>
              </m:e>
            </m:acc>
          </m:e>
          <m:sub>
            <m:r>
              <m:t>e</m:t>
            </m:r>
            <m:r>
              <m:rPr>
                <m:sty m:val="p"/>
              </m:rPr>
              <m:t>,</m:t>
            </m:r>
            <m:r>
              <m:t>k</m:t>
            </m:r>
          </m:sub>
        </m:sSub>
      </m:oMath>
      <w:r>
        <w:t xml:space="preserve">, with</w:t>
      </w:r>
      <w:r>
        <w:t xml:space="preserve"> </w:t>
      </w:r>
      <m:oMath>
        <m:sSub>
          <m:e>
            <m:r>
              <m:t>ω</m:t>
            </m:r>
          </m:e>
          <m:sub>
            <m:r>
              <m:t>e</m:t>
            </m:r>
          </m:sub>
        </m:sSub>
      </m:oMath>
      <w:r>
        <w:t xml:space="preserve"> </w:t>
      </w:r>
      <w:r>
        <w:t xml:space="preserve">proportional to the treated unit’s teen population in the base year, and the post-event average is the mean of</w:t>
      </w:r>
      <w:r>
        <w:t xml:space="preserve"> </w:t>
      </w:r>
      <m:oMath>
        <m:sSub>
          <m:e>
            <m:acc>
              <m:accPr>
                <m:chr m:val="̂"/>
              </m:accPr>
              <m:e>
                <m:r>
                  <m:t>τ</m:t>
                </m:r>
              </m:e>
            </m:acc>
          </m:e>
          <m:sub>
            <m:r>
              <m:t>0</m:t>
            </m:r>
          </m:sub>
        </m:sSub>
      </m:oMath>
      <w:r>
        <w:t xml:space="preserve"> </w:t>
      </w:r>
      <w:r>
        <w:t xml:space="preserve">to</w:t>
      </w:r>
      <w:r>
        <w:t xml:space="preserve"> </w:t>
      </w:r>
      <m:oMath>
        <m:sSub>
          <m:e>
            <m:acc>
              <m:accPr>
                <m:chr m:val="̂"/>
              </m:accPr>
              <m:e>
                <m:r>
                  <m:t>τ</m:t>
                </m:r>
              </m:e>
            </m:acc>
          </m:e>
          <m:sub>
            <m:r>
              <m:t>3</m:t>
            </m:r>
          </m:sub>
        </m:sSub>
      </m:oMath>
      <w:r>
        <w:t xml:space="preserve">. Because each event’s controls are chosen to be untreated throughout its window, the design uses none of the comparisons between earlier- and later-treated units that bias two-way fixed effects estimates (Goodman-Bacon, 2021; de Chaisemartin and D’Haultf</w:t>
      </w:r>
      <w:r>
        <w:t xml:space="preserve">œ</w:t>
      </w:r>
      <w:r>
        <w:t xml:space="preserve">uille, 2020; Sun and Abraham, 2021; Baker et al., 2022). The state remainders carry most of the population weight; the county units add 34 events, including the largest local increases.</w:t>
      </w:r>
    </w:p>
    <w:p>
      <w:pPr>
        <w:pStyle w:val="BodyText"/>
      </w:pPr>
      <w:r>
        <w:t xml:space="preserve">Inference is by block bootstrap over states: in each of 99 draws the 51 states are resampled with replacement, every unit moves with its state, the event effects are recomputed with treated units entering as many times as their state is drawn and controls weighted by their multiplicity, and the standard error is the standard deviation of the aggregate across draws. This treats the state as the unit of both policy and sampling and accounts for the repeated observation of the same teens across months. The Stata implementation in the replication files runs the stacked regression with the wild cluster bootstrap and the estimator of de Chaisemartin and D’Haultf</w:t>
      </w:r>
      <w:r>
        <w:t xml:space="preserve">œ</w:t>
      </w:r>
      <w:r>
        <w:t xml:space="preserve">uille (2024) on the log minimum wage as a continuous treatment.</w:t>
      </w:r>
    </w:p>
    <w:p>
      <w:pPr>
        <w:pStyle w:val="BodyText"/>
      </w:pPr>
      <w:r>
        <w:t xml:space="preserve">Identification requires that, absent the increase, teens in the treated unit would have followed the same path as teens in the control units over the seven-year window. The three pre-event coefficients test the assumption directly. Because the events are laws passed by legislatures, councils and ballot measures, and treated jurisdictions are on average richer and more urban than federal-floor states, the assumption is about trends rather than levels, and Section 6 shows the results with control sets that vary from all clean units to federal-floor states only, with equal weights, without the pandemic years, in school months only, and with states rather than counties as the units.</w:t>
      </w:r>
    </w:p>
    <w:bookmarkEnd w:id="32"/>
    <w:bookmarkStart w:id="33" w:name="regression-counterpart"/>
    <w:p>
      <w:pPr>
        <w:pStyle w:val="Heading2"/>
      </w:pPr>
      <w:r>
        <w:t xml:space="preserve">4.4 Regression counterpart</w:t>
      </w:r>
    </w:p>
    <w:p>
      <w:pPr>
        <w:pStyle w:val="FirstParagraph"/>
      </w:pPr>
      <w:r>
        <w:t xml:space="preserve">Each event-study figure is preceded by a table with the stacked regression form of the event design (Cengiz et al., 2019):</w:t>
      </w:r>
    </w:p>
    <w:p>
      <w:pPr>
        <w:pStyle w:val="BodyText"/>
      </w:pPr>
      <m:oMathPara>
        <m:oMathParaPr>
          <m:jc m:val="center"/>
        </m:oMathParaPr>
        <m:oMath>
          <m:sSub>
            <m:e>
              <m:acc>
                <m:accPr>
                  <m:chr m:val="‾"/>
                </m:accPr>
                <m:e>
                  <m:r>
                    <m:t>y</m:t>
                  </m:r>
                </m:e>
              </m:acc>
            </m:e>
            <m:sub>
              <m:r>
                <m:t>e</m:t>
              </m:r>
              <m:r>
                <m:rPr>
                  <m:sty m:val="p"/>
                </m:rPr>
                <m:t>,</m:t>
              </m:r>
              <m:r>
                <m:t>u</m:t>
              </m:r>
              <m:r>
                <m:rPr>
                  <m:sty m:val="p"/>
                </m:rPr>
                <m:t>,</m:t>
              </m:r>
              <m:r>
                <m:t>t</m:t>
              </m:r>
            </m:sub>
          </m:sSub>
          <m:r>
            <m:rPr>
              <m:sty m:val="p"/>
            </m:rPr>
            <m:t>=</m:t>
          </m:r>
          <m:r>
            <m:t>δ</m:t>
          </m:r>
          <m:r>
            <m:t> </m:t>
          </m:r>
          <m:sSub>
            <m:e>
              <m:r>
                <m:rPr>
                  <m:sty m:val="p"/>
                </m:rPr>
                <m:t>P</m:t>
              </m:r>
              <m:r>
                <m:rPr>
                  <m:sty m:val="p"/>
                </m:rPr>
                <m:t>o</m:t>
              </m:r>
              <m:r>
                <m:rPr>
                  <m:sty m:val="p"/>
                </m:rPr>
                <m:t>s</m:t>
              </m:r>
              <m:r>
                <m:rPr>
                  <m:sty m:val="p"/>
                </m:rPr>
                <m:t>t</m:t>
              </m:r>
            </m:e>
            <m:sub>
              <m:r>
                <m:t>e</m:t>
              </m:r>
              <m:r>
                <m:rPr>
                  <m:sty m:val="p"/>
                </m:rPr>
                <m:t>,</m:t>
              </m:r>
              <m:r>
                <m:t>t</m:t>
              </m:r>
            </m:sub>
          </m:sSub>
          <m:r>
            <m:rPr>
              <m:sty m:val="p"/>
            </m:rPr>
            <m:t>×</m:t>
          </m:r>
          <m:sSub>
            <m:e>
              <m:r>
                <m:rPr>
                  <m:sty m:val="p"/>
                </m:rPr>
                <m:t>T</m:t>
              </m:r>
              <m:r>
                <m:rPr>
                  <m:sty m:val="p"/>
                </m:rPr>
                <m:t>r</m:t>
              </m:r>
              <m:r>
                <m:rPr>
                  <m:sty m:val="p"/>
                </m:rPr>
                <m:t>e</m:t>
              </m:r>
              <m:r>
                <m:rPr>
                  <m:sty m:val="p"/>
                </m:rPr>
                <m:t>a</m:t>
              </m:r>
              <m:r>
                <m:rPr>
                  <m:sty m:val="p"/>
                </m:rPr>
                <m:t>t</m:t>
              </m:r>
              <m:r>
                <m:rPr>
                  <m:sty m:val="p"/>
                </m:rPr>
                <m:t>e</m:t>
              </m:r>
              <m:r>
                <m:rPr>
                  <m:sty m:val="p"/>
                </m:rPr>
                <m:t>d</m:t>
              </m:r>
            </m:e>
            <m:sub>
              <m:r>
                <m:t>e</m:t>
              </m:r>
              <m:r>
                <m:rPr>
                  <m:sty m:val="p"/>
                </m:rPr>
                <m:t>,</m:t>
              </m:r>
              <m:r>
                <m:t>u</m:t>
              </m:r>
            </m:sub>
          </m:sSub>
          <m:r>
            <m:rPr>
              <m:sty m:val="p"/>
            </m:rPr>
            <m:t>+</m:t>
          </m:r>
          <m:sSub>
            <m:e>
              <m:r>
                <m:t>α</m:t>
              </m:r>
            </m:e>
            <m:sub>
              <m:r>
                <m:t>e</m:t>
              </m:r>
              <m:r>
                <m:rPr>
                  <m:sty m:val="p"/>
                </m:rPr>
                <m:t>,</m:t>
              </m:r>
              <m:r>
                <m:t>u</m:t>
              </m:r>
            </m:sub>
          </m:sSub>
          <m:r>
            <m:rPr>
              <m:sty m:val="p"/>
            </m:rPr>
            <m:t>+</m:t>
          </m:r>
          <m:sSub>
            <m:e>
              <m:r>
                <m:t>λ</m:t>
              </m:r>
            </m:e>
            <m:sub>
              <m:r>
                <m:t>e</m:t>
              </m:r>
              <m:r>
                <m:rPr>
                  <m:sty m:val="p"/>
                </m:rPr>
                <m:t>,</m:t>
              </m:r>
              <m:r>
                <m:t>t</m:t>
              </m:r>
            </m:sub>
          </m:sSub>
          <m:r>
            <m:rPr>
              <m:sty m:val="p"/>
            </m:rPr>
            <m:t>+</m:t>
          </m:r>
          <m:sSub>
            <m:e>
              <m:r>
                <m:t>ε</m:t>
              </m:r>
            </m:e>
            <m:sub>
              <m:r>
                <m:t>e</m:t>
              </m:r>
              <m:r>
                <m:rPr>
                  <m:sty m:val="p"/>
                </m:rPr>
                <m:t>,</m:t>
              </m:r>
              <m:r>
                <m:t>u</m:t>
              </m:r>
              <m:r>
                <m:rPr>
                  <m:sty m:val="p"/>
                </m:rPr>
                <m:t>,</m:t>
              </m:r>
              <m:r>
                <m:t>t</m:t>
              </m:r>
            </m:sub>
          </m:sSub>
          <m:r>
            <m:rPr>
              <m:sty m:val="p"/>
            </m:rPr>
            <m:t>,</m:t>
          </m:r>
        </m:oMath>
      </m:oMathPara>
    </w:p>
    <w:p>
      <w:pPr>
        <w:pStyle w:val="FirstParagraph"/>
      </w:pPr>
      <w:r>
        <w:t xml:space="preserve">estimated on unit-month cell means stacked over the 73 events, each event contributing its treated unit and its clean controls over the 84 months from</w:t>
      </w:r>
      <w:r>
        <w:t xml:space="preserve"> </w:t>
      </w:r>
      <m:oMath>
        <m:r>
          <m:rPr>
            <m:sty m:val="p"/>
          </m:rPr>
          <m:t>−</m:t>
        </m:r>
        <m:r>
          <m:t>36</m:t>
        </m:r>
      </m:oMath>
      <w:r>
        <w:t xml:space="preserve"> </w:t>
      </w:r>
      <w:r>
        <w:t xml:space="preserve">to</w:t>
      </w:r>
      <w:r>
        <w:t xml:space="preserve"> </w:t>
      </w:r>
      <m:oMath>
        <m:r>
          <m:rPr>
            <m:sty m:val="p"/>
          </m:rPr>
          <m:t>+</m:t>
        </m:r>
        <m:r>
          <m:t>47</m:t>
        </m:r>
      </m:oMath>
      <w:r>
        <w:t xml:space="preserve">, with event-by-unit and event-by-month fixed effects, cells weighted by their population, and standard errors clustered by state.</w:t>
      </w:r>
      <w:r>
        <w:t xml:space="preserve"> </w:t>
      </w:r>
      <m:oMath>
        <m:r>
          <m:t>δ</m:t>
        </m:r>
      </m:oMath>
      <w:r>
        <w:t xml:space="preserve"> </w:t>
      </w:r>
      <w:r>
        <w:t xml:space="preserve">is a single post-event average on the same footing as the mean of</w:t>
      </w:r>
      <w:r>
        <w:t xml:space="preserve"> </w:t>
      </w:r>
      <m:oMath>
        <m:sSub>
          <m:e>
            <m:acc>
              <m:accPr>
                <m:chr m:val="̂"/>
              </m:accPr>
              <m:e>
                <m:r>
                  <m:t>τ</m:t>
                </m:r>
              </m:e>
            </m:acc>
          </m:e>
          <m:sub>
            <m:r>
              <m:t>0</m:t>
            </m:r>
          </m:sub>
        </m:sSub>
      </m:oMath>
      <w:r>
        <w:t xml:space="preserve"> </w:t>
      </w:r>
      <w:r>
        <w:t xml:space="preserve">to</w:t>
      </w:r>
      <w:r>
        <w:t xml:space="preserve"> </w:t>
      </w:r>
      <m:oMath>
        <m:sSub>
          <m:e>
            <m:acc>
              <m:accPr>
                <m:chr m:val="̂"/>
              </m:accPr>
              <m:e>
                <m:r>
                  <m:t>τ</m:t>
                </m:r>
              </m:e>
            </m:acc>
          </m:e>
          <m:sub>
            <m:r>
              <m:t>3</m:t>
            </m:r>
          </m:sub>
        </m:sSub>
      </m:oMath>
      <w:r>
        <w:t xml:space="preserve">; it differs from that mean in taking all 36 pre-event months rather than the twelve of year</w:t>
      </w:r>
      <w:r>
        <w:t xml:space="preserve"> </w:t>
      </w:r>
      <m:oMath>
        <m:r>
          <m:rPr>
            <m:sty m:val="p"/>
          </m:rPr>
          <m:t>−</m:t>
        </m:r>
        <m:r>
          <m:t>1</m:t>
        </m:r>
      </m:oMath>
      <w:r>
        <w:t xml:space="preserve"> </w:t>
      </w:r>
      <w:r>
        <w:t xml:space="preserve">as the base, and in weighting by cell population within the regression rather than by treated population across events, so the two need not coincide exactly. Appendix C reports the two-way fixed effects regression of the outcome on the log minimum wage, the specification of Neumark and Shupe (2019) and Smith (2021), and shows where it agrees with the event design and where it does not.</w:t>
      </w:r>
    </w:p>
    <w:bookmarkEnd w:id="33"/>
    <w:bookmarkEnd w:id="34"/>
    <w:bookmarkStart w:id="67" w:name="results"/>
    <w:p>
      <w:pPr>
        <w:pStyle w:val="Heading1"/>
      </w:pPr>
      <w:r>
        <w:t xml:space="preserve">5 Results</w:t>
      </w:r>
    </w:p>
    <w:bookmarkStart w:id="38" w:name="school-and-work"/>
    <w:p>
      <w:pPr>
        <w:pStyle w:val="Heading2"/>
      </w:pPr>
      <w:r>
        <w:t xml:space="preserve">5.1 School and work</w:t>
      </w:r>
    </w:p>
    <w:p>
      <w:pPr>
        <w:pStyle w:val="FirstParagraph"/>
      </w:pPr>
      <w:r>
        <w:t xml:space="preserve">Appendix Table 15 reports the post-event average effect of the increases on the four school–work shares for ages 16–17, 18–19 and 16–19 pooled, with the average of the pre-event coefficients beside each estimate; the last two rows give enrollment and employment, which are sums of the shares. Nothing moves. The share enrolled and employed changes by</w:t>
      </w:r>
      <w:r>
        <w:t xml:space="preserve"> </w:t>
      </w:r>
      <m:oMath>
        <m:r>
          <m:rPr>
            <m:sty m:val="p"/>
          </m:rPr>
          <m:t>−</m:t>
        </m:r>
        <m:r>
          <m:t>0.3</m:t>
        </m:r>
      </m:oMath>
      <w:r>
        <w:t xml:space="preserve"> </w:t>
      </w:r>
      <w:r>
        <w:t xml:space="preserve">points (s.e. 0.5) at 16–17 and</w:t>
      </w:r>
      <w:r>
        <w:t xml:space="preserve"> </w:t>
      </w:r>
      <m:oMath>
        <m:r>
          <m:rPr>
            <m:sty m:val="p"/>
          </m:rPr>
          <m:t>+</m:t>
        </m:r>
        <m:r>
          <m:t>0.7</m:t>
        </m:r>
      </m:oMath>
      <w:r>
        <w:t xml:space="preserve"> </w:t>
      </w:r>
      <w:r>
        <w:t xml:space="preserve">(0.6) at 18–19; enrolled only by</w:t>
      </w:r>
      <w:r>
        <w:t xml:space="preserve"> </w:t>
      </w:r>
      <m:oMath>
        <m:r>
          <m:rPr>
            <m:sty m:val="p"/>
          </m:rPr>
          <m:t>−</m:t>
        </m:r>
        <m:r>
          <m:t>0.0</m:t>
        </m:r>
      </m:oMath>
      <w:r>
        <w:t xml:space="preserve"> </w:t>
      </w:r>
      <w:r>
        <w:t xml:space="preserve">(0.6) and</w:t>
      </w:r>
      <w:r>
        <w:t xml:space="preserve"> </w:t>
      </w:r>
      <m:oMath>
        <m:r>
          <m:rPr>
            <m:sty m:val="p"/>
          </m:rPr>
          <m:t>−</m:t>
        </m:r>
        <m:r>
          <m:t>0.5</m:t>
        </m:r>
      </m:oMath>
      <w:r>
        <w:t xml:space="preserve"> </w:t>
      </w:r>
      <w:r>
        <w:t xml:space="preserve">(0.6); employed only by</w:t>
      </w:r>
      <w:r>
        <w:t xml:space="preserve"> </w:t>
      </w:r>
      <m:oMath>
        <m:r>
          <m:rPr>
            <m:sty m:val="p"/>
          </m:rPr>
          <m:t>+</m:t>
        </m:r>
        <m:r>
          <m:t>0.2</m:t>
        </m:r>
      </m:oMath>
      <w:r>
        <w:t xml:space="preserve"> </w:t>
      </w:r>
      <w:r>
        <w:t xml:space="preserve">(0.3) and</w:t>
      </w:r>
      <w:r>
        <w:t xml:space="preserve"> </w:t>
      </w:r>
      <m:oMath>
        <m:r>
          <m:rPr>
            <m:sty m:val="p"/>
          </m:rPr>
          <m:t>+</m:t>
        </m:r>
        <m:r>
          <m:t>0.3</m:t>
        </m:r>
      </m:oMath>
      <w:r>
        <w:t xml:space="preserve"> </w:t>
      </w:r>
      <w:r>
        <w:t xml:space="preserve">(0.7); neither enrolled nor employed by</w:t>
      </w:r>
      <w:r>
        <w:t xml:space="preserve"> </w:t>
      </w:r>
      <m:oMath>
        <m:r>
          <m:rPr>
            <m:sty m:val="p"/>
          </m:rPr>
          <m:t>+</m:t>
        </m:r>
        <m:r>
          <m:t>0.1</m:t>
        </m:r>
      </m:oMath>
      <w:r>
        <w:t xml:space="preserve"> </w:t>
      </w:r>
      <w:r>
        <w:t xml:space="preserve">(0.4) and</w:t>
      </w:r>
      <w:r>
        <w:t xml:space="preserve"> </w:t>
      </w:r>
      <m:oMath>
        <m:r>
          <m:rPr>
            <m:sty m:val="p"/>
          </m:rPr>
          <m:t>−</m:t>
        </m:r>
        <m:r>
          <m:t>0.5</m:t>
        </m:r>
      </m:oMath>
      <w:r>
        <w:t xml:space="preserve"> </w:t>
      </w:r>
      <w:r>
        <w:t xml:space="preserve">(0.5). Enrollment changes by</w:t>
      </w:r>
      <w:r>
        <w:t xml:space="preserve"> </w:t>
      </w:r>
      <m:oMath>
        <m:r>
          <m:rPr>
            <m:sty m:val="p"/>
          </m:rPr>
          <m:t>−</m:t>
        </m:r>
        <m:r>
          <m:t>0.3</m:t>
        </m:r>
      </m:oMath>
      <w:r>
        <w:t xml:space="preserve"> </w:t>
      </w:r>
      <w:r>
        <w:t xml:space="preserve">(0.4) and</w:t>
      </w:r>
      <w:r>
        <w:t xml:space="preserve"> </w:t>
      </w:r>
      <m:oMath>
        <m:r>
          <m:rPr>
            <m:sty m:val="p"/>
          </m:rPr>
          <m:t>+</m:t>
        </m:r>
        <m:r>
          <m:t>0.1</m:t>
        </m:r>
      </m:oMath>
      <w:r>
        <w:t xml:space="preserve"> </w:t>
      </w:r>
      <w:r>
        <w:t xml:space="preserve">(0.9), so the 95 percent intervals exclude a fall larger than 1.1 points at the younger ages and 1.6 at the older; employment by</w:t>
      </w:r>
      <w:r>
        <w:t xml:space="preserve"> </w:t>
      </w:r>
      <m:oMath>
        <m:r>
          <m:rPr>
            <m:sty m:val="p"/>
          </m:rPr>
          <m:t>−</m:t>
        </m:r>
        <m:r>
          <m:t>0.1</m:t>
        </m:r>
      </m:oMath>
      <w:r>
        <w:t xml:space="preserve"> </w:t>
      </w:r>
      <w:r>
        <w:t xml:space="preserve">(0.5) and</w:t>
      </w:r>
      <w:r>
        <w:t xml:space="preserve"> </w:t>
      </w:r>
      <m:oMath>
        <m:r>
          <m:rPr>
            <m:sty m:val="p"/>
          </m:rPr>
          <m:t>+</m:t>
        </m:r>
        <m:r>
          <m:t>1.0</m:t>
        </m:r>
      </m:oMath>
      <w:r>
        <w:t xml:space="preserve"> </w:t>
      </w:r>
      <w:r>
        <w:t xml:space="preserve">(0.7). The pre-event averages are of the same order as the post-event ones and of no consistent sign.</w:t>
      </w:r>
    </w:p>
    <w:p>
      <w:pPr>
        <w:pStyle w:val="BodyText"/>
      </w:pPr>
      <w:r>
        <w:t xml:space="preserve">Table 2 gives the stacked difference-in-differences coefficients of Section 4.4, one post-event average per share and age. They reproduce the event-study averages of Appendix Table 15:</w:t>
      </w:r>
      <w:r>
        <w:t xml:space="preserve"> </w:t>
      </w:r>
      <m:oMath>
        <m:r>
          <m:rPr>
            <m:sty m:val="p"/>
          </m:rPr>
          <m:t>−</m:t>
        </m:r>
        <m:r>
          <m:t>0.1</m:t>
        </m:r>
      </m:oMath>
      <w:r>
        <w:t xml:space="preserve"> </w:t>
      </w:r>
      <w:r>
        <w:t xml:space="preserve">points (s.e. 0.4) for enrolled-and-employed at 16–17 and</w:t>
      </w:r>
      <w:r>
        <w:t xml:space="preserve"> </w:t>
      </w:r>
      <m:oMath>
        <m:r>
          <m:rPr>
            <m:sty m:val="p"/>
          </m:rPr>
          <m:t>+</m:t>
        </m:r>
        <m:r>
          <m:t>0.4</m:t>
        </m:r>
      </m:oMath>
      <w:r>
        <w:t xml:space="preserve"> </w:t>
      </w:r>
      <w:r>
        <w:t xml:space="preserve">(0.5) at 18–19,</w:t>
      </w:r>
      <w:r>
        <w:t xml:space="preserve"> </w:t>
      </w:r>
      <m:oMath>
        <m:r>
          <m:rPr>
            <m:sty m:val="p"/>
          </m:rPr>
          <m:t>−</m:t>
        </m:r>
        <m:r>
          <m:t>0.0</m:t>
        </m:r>
      </m:oMath>
      <w:r>
        <w:t xml:space="preserve"> </w:t>
      </w:r>
      <w:r>
        <w:t xml:space="preserve">(0.5) and</w:t>
      </w:r>
      <w:r>
        <w:t xml:space="preserve"> </w:t>
      </w:r>
      <m:oMath>
        <m:r>
          <m:rPr>
            <m:sty m:val="p"/>
          </m:rPr>
          <m:t>−</m:t>
        </m:r>
        <m:r>
          <m:t>0.6</m:t>
        </m:r>
      </m:oMath>
      <w:r>
        <w:t xml:space="preserve"> </w:t>
      </w:r>
      <w:r>
        <w:t xml:space="preserve">(0.6) for enrolled only,</w:t>
      </w:r>
      <w:r>
        <w:t xml:space="preserve"> </w:t>
      </w:r>
      <m:oMath>
        <m:r>
          <m:rPr>
            <m:sty m:val="p"/>
          </m:rPr>
          <m:t>+</m:t>
        </m:r>
        <m:r>
          <m:t>0.3</m:t>
        </m:r>
      </m:oMath>
      <w:r>
        <w:t xml:space="preserve"> </w:t>
      </w:r>
      <w:r>
        <w:t xml:space="preserve">(0.2) and</w:t>
      </w:r>
      <w:r>
        <w:t xml:space="preserve"> </w:t>
      </w:r>
      <m:oMath>
        <m:r>
          <m:rPr>
            <m:sty m:val="p"/>
          </m:rPr>
          <m:t>+</m:t>
        </m:r>
        <m:r>
          <m:t>0.5</m:t>
        </m:r>
      </m:oMath>
      <w:r>
        <w:t xml:space="preserve"> </w:t>
      </w:r>
      <w:r>
        <w:t xml:space="preserve">(0.6) for employed only,</w:t>
      </w:r>
      <w:r>
        <w:t xml:space="preserve"> </w:t>
      </w:r>
      <m:oMath>
        <m:r>
          <m:rPr>
            <m:sty m:val="p"/>
          </m:rPr>
          <m:t>−</m:t>
        </m:r>
        <m:r>
          <m:t>0.2</m:t>
        </m:r>
      </m:oMath>
      <w:r>
        <w:t xml:space="preserve"> </w:t>
      </w:r>
      <w:r>
        <w:t xml:space="preserve">(0.3) and</w:t>
      </w:r>
      <w:r>
        <w:t xml:space="preserve"> </w:t>
      </w:r>
      <m:oMath>
        <m:r>
          <m:rPr>
            <m:sty m:val="p"/>
          </m:rPr>
          <m:t>−</m:t>
        </m:r>
        <m:r>
          <m:t>0.3</m:t>
        </m:r>
      </m:oMath>
      <w:r>
        <w:t xml:space="preserve"> </w:t>
      </w:r>
      <w:r>
        <w:t xml:space="preserve">(0.4) for neither, and nothing beyond about one standard error from zero for any share or age. The two-way fixed effects regression of the earlier literature, reported in Appendix C, agrees with these estimates in school months and departs from them only when the summer months, in which the enrollment item records summer school, are included.</w:t>
      </w:r>
    </w:p>
    <w:p>
      <w:pPr>
        <w:pStyle w:val="TableCaption"/>
      </w:pPr>
      <w:r>
        <w:t xml:space="preserve">Table 2: Stacked difference-in-differences estimates for teen school–work status, 73 events from 2010</w:t>
      </w:r>
    </w:p>
    <w:tbl>
      <w:tblPr>
        <w:tblStyle w:val="Table"/>
        <w:tblW w:type="dxa" w:w="9360"/>
        <w:tblLook w:firstRow="1" w:lastRow="0" w:firstColumn="0" w:lastColumn="0" w:noHBand="0" w:noVBand="0" w:val="0020"/>
        <w:jc w:val="start"/>
        <w:tblCaption w:val="Table 2: Stacked difference-in-differences estimates for teen school–work status, 73 events from 2010"/>
      </w:tblPr>
      <w:tblGrid>
        <w:gridCol w:w="2808"/>
        <w:gridCol w:w="2184"/>
        <w:gridCol w:w="2184"/>
        <w:gridCol w:w="2184"/>
      </w:tblGrid>
      <w:tr>
        <w:trPr>
          <w:tblHeader w:val="true"/>
        </w:trPr>
        <w:tc>
          <w:tcPr/>
          <w:p>
            <w:pPr>
              <w:pStyle w:val="Compact"/>
            </w:pPr>
          </w:p>
        </w:tc>
        <w:tc>
          <w:tcPr/>
          <w:p>
            <w:pPr>
              <w:pStyle w:val="Compact"/>
              <w:jc w:val="left"/>
            </w:pPr>
            <w:r>
              <w:t xml:space="preserve">Ages 16–17</w:t>
            </w:r>
          </w:p>
        </w:tc>
        <w:tc>
          <w:tcPr/>
          <w:p>
            <w:pPr>
              <w:pStyle w:val="Compact"/>
              <w:jc w:val="left"/>
            </w:pPr>
            <w:r>
              <w:t xml:space="preserve">Ages 18–19</w:t>
            </w:r>
          </w:p>
        </w:tc>
        <w:tc>
          <w:tcPr/>
          <w:p>
            <w:pPr>
              <w:pStyle w:val="Compact"/>
              <w:jc w:val="left"/>
            </w:pPr>
            <w:r>
              <w:t xml:space="preserve">Ages 16–19</w:t>
            </w:r>
          </w:p>
        </w:tc>
      </w:tr>
      <w:tr>
        <w:tc>
          <w:tcPr/>
          <w:p>
            <w:pPr>
              <w:pStyle w:val="Compact"/>
              <w:jc w:val="left"/>
            </w:pPr>
            <w:r>
              <w:t xml:space="preserve">Enrolled and employed</w:t>
            </w:r>
          </w:p>
        </w:tc>
        <w:tc>
          <w:tcPr/>
          <w:p>
            <w:pPr>
              <w:pStyle w:val="Compact"/>
              <w:jc w:val="left"/>
            </w:pPr>
            <w:r>
              <w:t xml:space="preserve">-0.001</w:t>
            </w:r>
          </w:p>
        </w:tc>
        <w:tc>
          <w:tcPr/>
          <w:p>
            <w:pPr>
              <w:pStyle w:val="Compact"/>
              <w:jc w:val="left"/>
            </w:pPr>
            <w:r>
              <w:t xml:space="preserve">0.004</w:t>
            </w:r>
          </w:p>
        </w:tc>
        <w:tc>
          <w:tcPr/>
          <w:p>
            <w:pPr>
              <w:pStyle w:val="Compact"/>
              <w:jc w:val="left"/>
            </w:pPr>
            <w:r>
              <w:t xml:space="preserve">0.002</w:t>
            </w:r>
          </w:p>
        </w:tc>
      </w:tr>
      <w:tr>
        <w:tc>
          <w:tcPr/>
          <w:p>
            <w:pPr>
              <w:pStyle w:val="Compact"/>
            </w:pPr>
          </w:p>
        </w:tc>
        <w:tc>
          <w:tcPr/>
          <w:p>
            <w:pPr>
              <w:pStyle w:val="Compact"/>
              <w:jc w:val="left"/>
            </w:pPr>
            <w:r>
              <w:t xml:space="preserve">(0.004)</w:t>
            </w:r>
          </w:p>
        </w:tc>
        <w:tc>
          <w:tcPr/>
          <w:p>
            <w:pPr>
              <w:pStyle w:val="Compact"/>
              <w:jc w:val="left"/>
            </w:pPr>
            <w:r>
              <w:t xml:space="preserve">(0.005)</w:t>
            </w:r>
          </w:p>
        </w:tc>
        <w:tc>
          <w:tcPr/>
          <w:p>
            <w:pPr>
              <w:pStyle w:val="Compact"/>
              <w:jc w:val="left"/>
            </w:pPr>
            <w:r>
              <w:t xml:space="preserve">(0.003)</w:t>
            </w:r>
          </w:p>
        </w:tc>
      </w:tr>
      <w:tr>
        <w:tc>
          <w:tcPr/>
          <w:p>
            <w:pPr>
              <w:pStyle w:val="Compact"/>
              <w:jc w:val="left"/>
            </w:pPr>
            <w:r>
              <w:t xml:space="preserve">Enrolled only</w:t>
            </w:r>
          </w:p>
        </w:tc>
        <w:tc>
          <w:tcPr/>
          <w:p>
            <w:pPr>
              <w:pStyle w:val="Compact"/>
              <w:jc w:val="left"/>
            </w:pPr>
            <w:r>
              <w:t xml:space="preserve">-0.000</w:t>
            </w:r>
          </w:p>
        </w:tc>
        <w:tc>
          <w:tcPr/>
          <w:p>
            <w:pPr>
              <w:pStyle w:val="Compact"/>
              <w:jc w:val="left"/>
            </w:pPr>
            <w:r>
              <w:t xml:space="preserve">-0.006</w:t>
            </w:r>
          </w:p>
        </w:tc>
        <w:tc>
          <w:tcPr/>
          <w:p>
            <w:pPr>
              <w:pStyle w:val="Compact"/>
              <w:jc w:val="left"/>
            </w:pPr>
            <w:r>
              <w:t xml:space="preserve">-0.003</w:t>
            </w:r>
          </w:p>
        </w:tc>
      </w:tr>
      <w:tr>
        <w:tc>
          <w:tcPr/>
          <w:p>
            <w:pPr>
              <w:pStyle w:val="Compact"/>
            </w:pPr>
          </w:p>
        </w:tc>
        <w:tc>
          <w:tcPr/>
          <w:p>
            <w:pPr>
              <w:pStyle w:val="Compact"/>
              <w:jc w:val="left"/>
            </w:pPr>
            <w:r>
              <w:t xml:space="preserve">(0.005)</w:t>
            </w:r>
          </w:p>
        </w:tc>
        <w:tc>
          <w:tcPr/>
          <w:p>
            <w:pPr>
              <w:pStyle w:val="Compact"/>
              <w:jc w:val="left"/>
            </w:pPr>
            <w:r>
              <w:t xml:space="preserve">(0.006)</w:t>
            </w:r>
          </w:p>
        </w:tc>
        <w:tc>
          <w:tcPr/>
          <w:p>
            <w:pPr>
              <w:pStyle w:val="Compact"/>
              <w:jc w:val="left"/>
            </w:pPr>
            <w:r>
              <w:t xml:space="preserve">(0.004)</w:t>
            </w:r>
          </w:p>
        </w:tc>
      </w:tr>
      <w:tr>
        <w:tc>
          <w:tcPr/>
          <w:p>
            <w:pPr>
              <w:pStyle w:val="Compact"/>
              <w:jc w:val="left"/>
            </w:pPr>
            <w:r>
              <w:t xml:space="preserve">Employed only</w:t>
            </w:r>
          </w:p>
        </w:tc>
        <w:tc>
          <w:tcPr/>
          <w:p>
            <w:pPr>
              <w:pStyle w:val="Compact"/>
              <w:jc w:val="left"/>
            </w:pPr>
            <w:r>
              <w:t xml:space="preserve">0.003</w:t>
            </w:r>
          </w:p>
        </w:tc>
        <w:tc>
          <w:tcPr/>
          <w:p>
            <w:pPr>
              <w:pStyle w:val="Compact"/>
              <w:jc w:val="left"/>
            </w:pPr>
            <w:r>
              <w:t xml:space="preserve">0.005</w:t>
            </w:r>
          </w:p>
        </w:tc>
        <w:tc>
          <w:tcPr/>
          <w:p>
            <w:pPr>
              <w:pStyle w:val="Compact"/>
              <w:jc w:val="left"/>
            </w:pPr>
            <w:r>
              <w:t xml:space="preserve">0.004</w:t>
            </w:r>
          </w:p>
        </w:tc>
      </w:tr>
      <w:tr>
        <w:tc>
          <w:tcPr/>
          <w:p>
            <w:pPr>
              <w:pStyle w:val="Compact"/>
            </w:pPr>
          </w:p>
        </w:tc>
        <w:tc>
          <w:tcPr/>
          <w:p>
            <w:pPr>
              <w:pStyle w:val="Compact"/>
              <w:jc w:val="left"/>
            </w:pPr>
            <w:r>
              <w:t xml:space="preserve">(0.002)</w:t>
            </w:r>
          </w:p>
        </w:tc>
        <w:tc>
          <w:tcPr/>
          <w:p>
            <w:pPr>
              <w:pStyle w:val="Compact"/>
              <w:jc w:val="left"/>
            </w:pPr>
            <w:r>
              <w:t xml:space="preserve">(0.006)</w:t>
            </w:r>
          </w:p>
        </w:tc>
        <w:tc>
          <w:tcPr/>
          <w:p>
            <w:pPr>
              <w:pStyle w:val="Compact"/>
              <w:jc w:val="left"/>
            </w:pPr>
            <w:r>
              <w:t xml:space="preserve">(0.003)</w:t>
            </w:r>
          </w:p>
        </w:tc>
      </w:tr>
      <w:tr>
        <w:tc>
          <w:tcPr/>
          <w:p>
            <w:pPr>
              <w:pStyle w:val="Compact"/>
              <w:jc w:val="left"/>
            </w:pPr>
            <w:r>
              <w:t xml:space="preserve">Neither enrolled nor employed</w:t>
            </w:r>
          </w:p>
        </w:tc>
        <w:tc>
          <w:tcPr/>
          <w:p>
            <w:pPr>
              <w:pStyle w:val="Compact"/>
              <w:jc w:val="left"/>
            </w:pPr>
            <w:r>
              <w:t xml:space="preserve">-0.002</w:t>
            </w:r>
          </w:p>
        </w:tc>
        <w:tc>
          <w:tcPr/>
          <w:p>
            <w:pPr>
              <w:pStyle w:val="Compact"/>
              <w:jc w:val="left"/>
            </w:pPr>
            <w:r>
              <w:t xml:space="preserve">-0.003</w:t>
            </w:r>
          </w:p>
        </w:tc>
        <w:tc>
          <w:tcPr/>
          <w:p>
            <w:pPr>
              <w:pStyle w:val="Compact"/>
              <w:jc w:val="left"/>
            </w:pPr>
            <w:r>
              <w:t xml:space="preserve">-0.002</w:t>
            </w:r>
          </w:p>
        </w:tc>
      </w:tr>
      <w:tr>
        <w:tc>
          <w:tcPr/>
          <w:p>
            <w:pPr>
              <w:pStyle w:val="Compact"/>
            </w:pPr>
          </w:p>
        </w:tc>
        <w:tc>
          <w:tcPr/>
          <w:p>
            <w:pPr>
              <w:pStyle w:val="Compact"/>
              <w:jc w:val="left"/>
            </w:pPr>
            <w:r>
              <w:t xml:space="preserve">(0.003)</w:t>
            </w:r>
          </w:p>
        </w:tc>
        <w:tc>
          <w:tcPr/>
          <w:p>
            <w:pPr>
              <w:pStyle w:val="Compact"/>
              <w:jc w:val="left"/>
            </w:pPr>
            <w:r>
              <w:t xml:space="preserve">(0.004)</w:t>
            </w:r>
          </w:p>
        </w:tc>
        <w:tc>
          <w:tcPr/>
          <w:p>
            <w:pPr>
              <w:pStyle w:val="Compact"/>
              <w:jc w:val="left"/>
            </w:pPr>
            <w:r>
              <w:t xml:space="preserve">(0.003)</w:t>
            </w:r>
          </w:p>
        </w:tc>
      </w:tr>
      <w:tr>
        <w:tc>
          <w:tcPr/>
          <w:p>
            <w:pPr>
              <w:pStyle w:val="Compact"/>
              <w:jc w:val="left"/>
            </w:pPr>
            <w:r>
              <w:t xml:space="preserve">Enrolled</w:t>
            </w:r>
          </w:p>
        </w:tc>
        <w:tc>
          <w:tcPr/>
          <w:p>
            <w:pPr>
              <w:pStyle w:val="Compact"/>
              <w:jc w:val="left"/>
            </w:pPr>
            <w:r>
              <w:t xml:space="preserve">-0.001</w:t>
            </w:r>
          </w:p>
        </w:tc>
        <w:tc>
          <w:tcPr/>
          <w:p>
            <w:pPr>
              <w:pStyle w:val="Compact"/>
              <w:jc w:val="left"/>
            </w:pPr>
            <w:r>
              <w:t xml:space="preserve">-0.002</w:t>
            </w:r>
          </w:p>
        </w:tc>
        <w:tc>
          <w:tcPr/>
          <w:p>
            <w:pPr>
              <w:pStyle w:val="Compact"/>
              <w:jc w:val="left"/>
            </w:pPr>
            <w:r>
              <w:t xml:space="preserve">-0.002</w:t>
            </w:r>
          </w:p>
        </w:tc>
      </w:tr>
      <w:tr>
        <w:tc>
          <w:tcPr/>
          <w:p>
            <w:pPr>
              <w:pStyle w:val="Compact"/>
            </w:pPr>
          </w:p>
        </w:tc>
        <w:tc>
          <w:tcPr/>
          <w:p>
            <w:pPr>
              <w:pStyle w:val="Compact"/>
              <w:jc w:val="left"/>
            </w:pPr>
            <w:r>
              <w:t xml:space="preserve">(0.003)</w:t>
            </w:r>
          </w:p>
        </w:tc>
        <w:tc>
          <w:tcPr/>
          <w:p>
            <w:pPr>
              <w:pStyle w:val="Compact"/>
              <w:jc w:val="left"/>
            </w:pPr>
            <w:r>
              <w:t xml:space="preserve">(0.008)</w:t>
            </w:r>
          </w:p>
        </w:tc>
        <w:tc>
          <w:tcPr/>
          <w:p>
            <w:pPr>
              <w:pStyle w:val="Compact"/>
              <w:jc w:val="left"/>
            </w:pPr>
            <w:r>
              <w:t xml:space="preserve">(0.004)</w:t>
            </w:r>
          </w:p>
        </w:tc>
      </w:tr>
      <w:tr>
        <w:tc>
          <w:tcPr/>
          <w:p>
            <w:pPr>
              <w:pStyle w:val="Compact"/>
              <w:jc w:val="left"/>
            </w:pPr>
            <w:r>
              <w:t xml:space="preserve">Employed</w:t>
            </w:r>
          </w:p>
        </w:tc>
        <w:tc>
          <w:tcPr/>
          <w:p>
            <w:pPr>
              <w:pStyle w:val="Compact"/>
              <w:jc w:val="left"/>
            </w:pPr>
            <w:r>
              <w:t xml:space="preserve">0.002</w:t>
            </w:r>
          </w:p>
        </w:tc>
        <w:tc>
          <w:tcPr/>
          <w:p>
            <w:pPr>
              <w:pStyle w:val="Compact"/>
              <w:jc w:val="left"/>
            </w:pPr>
            <w:r>
              <w:t xml:space="preserve">0.009</w:t>
            </w:r>
          </w:p>
        </w:tc>
        <w:tc>
          <w:tcPr/>
          <w:p>
            <w:pPr>
              <w:pStyle w:val="Compact"/>
              <w:jc w:val="left"/>
            </w:pPr>
            <w:r>
              <w:t xml:space="preserve">0.006</w:t>
            </w:r>
          </w:p>
        </w:tc>
      </w:tr>
      <w:tr>
        <w:tc>
          <w:tcPr/>
          <w:p>
            <w:pPr>
              <w:pStyle w:val="Compact"/>
            </w:pPr>
          </w:p>
        </w:tc>
        <w:tc>
          <w:tcPr/>
          <w:p>
            <w:pPr>
              <w:pStyle w:val="Compact"/>
              <w:jc w:val="left"/>
            </w:pPr>
            <w:r>
              <w:t xml:space="preserve">(0.005)</w:t>
            </w:r>
          </w:p>
        </w:tc>
        <w:tc>
          <w:tcPr/>
          <w:p>
            <w:pPr>
              <w:pStyle w:val="Compact"/>
              <w:jc w:val="left"/>
            </w:pPr>
            <w:r>
              <w:t xml:space="preserve">(0.006)</w:t>
            </w:r>
          </w:p>
        </w:tc>
        <w:tc>
          <w:tcPr/>
          <w:p>
            <w:pPr>
              <w:pStyle w:val="Compact"/>
              <w:jc w:val="left"/>
            </w:pPr>
            <w:r>
              <w:t xml:space="preserve">(0.004)</w:t>
            </w:r>
          </w:p>
        </w:tc>
      </w:tr>
    </w:tbl>
    <w:p>
      <w:pPr>
        <w:pStyle w:val="BodyText"/>
      </w:pPr>
      <w:r>
        <w:t xml:space="preserve">Notes: Coefficient on post</w:t>
      </w:r>
      <w:r>
        <w:t xml:space="preserve"> </w:t>
      </w:r>
      <m:oMath>
        <m:r>
          <m:rPr>
            <m:sty m:val="p"/>
          </m:rPr>
          <m:t>×</m:t>
        </m:r>
      </m:oMath>
      <w:r>
        <w:t xml:space="preserve"> </w:t>
      </w:r>
      <w:r>
        <w:t xml:space="preserve">treated in regression (6): unit-month cells stacked over the 73 events with their clean controls, 36 months before to 47 months after the increase, event-by-unit and event-by-month fixed effects, population weights. Standard errors clustered by state in parentheses.</w:t>
      </w:r>
      <w:r>
        <w:t xml:space="preserve"> </w:t>
      </w:r>
      <w:r>
        <w:rPr>
          <w:vertAlign w:val="superscript"/>
        </w:rPr>
        <w:t xml:space="preserve">*</w:t>
      </w:r>
      <w:r>
        <w:t xml:space="preserve">,</w:t>
      </w:r>
      <w:r>
        <w:t xml:space="preserve"> </w:t>
      </w:r>
      <w:r>
        <w:rPr>
          <w:vertAlign w:val="superscript"/>
        </w:rPr>
        <w:t xml:space="preserve">**</w:t>
      </w:r>
      <w:r>
        <w:t xml:space="preserve">,</w:t>
      </w:r>
      <w:r>
        <w:t xml:space="preserve"> </w:t>
      </w:r>
      <w:r>
        <w:rPr>
          <w:vertAlign w:val="superscript"/>
        </w:rPr>
        <w:t xml:space="preserve">***</w:t>
      </w:r>
      <w:r>
        <w:t xml:space="preserve">: significant at 10, 5 and 1 percent.</w:t>
      </w:r>
    </w:p>
    <w:p>
      <w:pPr>
        <w:pStyle w:val="BodyText"/>
      </w:pPr>
      <w:r>
        <w:t xml:space="preserve">Figure 3 plots the coefficients by relative year for each share and age bracket. Every post-event point sits inside an interval that includes zero, and the pre-event points look the same as the post-event ones. Enrolled-and-employed at 18–19 drifts up by about half a point and enrolled-only down by the same, which is the mirror image and within noise. The shift from enrolled-and-employed to enrolled-only that Neumark and Shupe (2019) attribute to the minimum wage would appear as a fall in the first panel and a rise in the second; if anything the movements are in the opposite direction.</w:t>
      </w:r>
    </w:p>
    <w:tbl>
      <w:tblPr>
        <w:tblStyle w:val="FigureTable"/>
        <w:tblW w:type="dxa" w:w="9360"/>
        <w:tblLook w:firstRow="0" w:lastRow="0" w:firstColumn="0" w:lastColumn="0"/>
        <w:jc w:val="center"/>
      </w:tblPr>
      <w:tblGrid>
        <w:gridCol w:w="2808"/>
        <w:gridCol w:w="6552"/>
      </w:tblGrid>
      <w:tr>
        <w:tc>
          <w:tcPr/>
          <w:p>
            <w:pPr>
              <w:pStyle w:val="Compact"/>
              <w:jc w:val="center"/>
            </w:pPr>
            <w:r>
              <w:drawing>
                <wp:inline>
                  <wp:extent cx="2667000" cy="2051538"/>
                  <wp:effectExtent b="0" l="0" r="0" t="0"/>
                  <wp:docPr descr="" title="" id="36" name="Picture"/>
                  <a:graphic>
                    <a:graphicData uri="http://schemas.openxmlformats.org/drawingml/2006/picture">
                      <pic:pic>
                        <pic:nvPicPr>
                          <pic:cNvPr descr="figures/figR1_groups.png" id="37" name="Picture"/>
                          <pic:cNvPicPr>
                            <a:picLocks noChangeArrowheads="1" noChangeAspect="1"/>
                          </pic:cNvPicPr>
                        </pic:nvPicPr>
                        <pic:blipFill>
                          <a:blip r:embed="rId35"/>
                          <a:stretch>
                            <a:fillRect/>
                          </a:stretch>
                        </pic:blipFill>
                        <pic:spPr bwMode="auto">
                          <a:xfrm>
                            <a:off x="0" y="0"/>
                            <a:ext cx="2667000" cy="2051538"/>
                          </a:xfrm>
                          <a:prstGeom prst="rect">
                            <a:avLst/>
                          </a:prstGeom>
                          <a:noFill/>
                          <a:ln w="9525">
                            <a:noFill/>
                            <a:headEnd/>
                            <a:tailEnd/>
                          </a:ln>
                        </pic:spPr>
                      </pic:pic>
                    </a:graphicData>
                  </a:graphic>
                </wp:inline>
              </w:drawing>
            </w:r>
          </w:p>
        </w:tc>
        <w:tc>
          <w:tcPr/>
          <w:p>
            <w:pPr>
              <w:jc w:val="center"/>
            </w:pPr>
            <w:r>
              <w:t xml:space="preserve">Notes: Effects relative to the year before the increase, population-weighted across events; 95 percent intervals from the state block bootstrap.</w:t>
            </w:r>
          </w:p>
        </w:tc>
      </w:tr>
    </w:tbl>
    <w:p>
      <w:pPr>
        <w:pStyle w:val="ImageCaption"/>
      </w:pPr>
      <w:r>
        <w:t xml:space="preserve">Figure 3: Event-time effects on the four school–work shares, by age, 73 events from 2010</w:t>
      </w:r>
    </w:p>
    <w:bookmarkEnd w:id="38"/>
    <w:bookmarkStart w:id="42" w:name="X01e4a4e9b7909117db9798cdab50a84efadf01e"/>
    <w:p>
      <w:pPr>
        <w:pStyle w:val="Heading2"/>
      </w:pPr>
      <w:r>
        <w:t xml:space="preserve">5.2 School and work by socioeconomic standing</w:t>
      </w:r>
    </w:p>
    <w:p>
      <w:pPr>
        <w:pStyle w:val="FirstParagraph"/>
      </w:pPr>
      <w:r>
        <w:t xml:space="preserve">The theory of Section 2 and the evidence of Ehrenberg and Marcus (1982) and Smith (2021) put the schooling response, if there is one, among teens from poorer families: the opportunity-cost channel binds hardest where the alternative to school is a minimum wage job, and the liquidity channel operates only where the family cannot pay for school. Smith (2021) finds that a 10 percent rise in the state minimum lowers dropout by 0.5 to 1.0 points among teens whose parents lack a diploma and does nothing for the rest. The CPS basic monthly files identify the family’s income category, so I split teens by family income below versus at or above $50,000, close to the median for teen households over the period; Appendix D repeats the analysis with a split at the weighted median income category among teens in the same survey year, which removes the drift of a nominal threshold (60 percent of teens were below $50,000 in 1995, 28 percent in 2024). Smith (2021) reports his own estimates with income-percentile splits and finds the effect concentrated in the bottom of the distribution and shrinking as the threshold rises toward the median, so a median split is a test of the same claim at a coarser cut.</w:t>
      </w:r>
    </w:p>
    <w:p>
      <w:pPr>
        <w:pStyle w:val="BodyText"/>
      </w:pPr>
      <w:r>
        <w:t xml:space="preserve">Appendix Tables 16 and 17 give the post-event averages for the four shares by family income and age, and Figure 4 plots the event-time coefficients for the pooled ages. No share differs by income. For low-income teens, enrolled-and-employed changes by</w:t>
      </w:r>
      <w:r>
        <w:t xml:space="preserve"> </w:t>
      </w:r>
      <m:oMath>
        <m:r>
          <m:rPr>
            <m:sty m:val="p"/>
          </m:rPr>
          <m:t>+</m:t>
        </m:r>
        <m:r>
          <m:t>0.4</m:t>
        </m:r>
      </m:oMath>
      <w:r>
        <w:t xml:space="preserve"> </w:t>
      </w:r>
      <w:r>
        <w:t xml:space="preserve">points (s.e. 0.8) at 16–17 and</w:t>
      </w:r>
      <w:r>
        <w:t xml:space="preserve"> </w:t>
      </w:r>
      <m:oMath>
        <m:r>
          <m:rPr>
            <m:sty m:val="p"/>
          </m:rPr>
          <m:t>+</m:t>
        </m:r>
        <m:r>
          <m:t>0.6</m:t>
        </m:r>
      </m:oMath>
      <w:r>
        <w:t xml:space="preserve"> </w:t>
      </w:r>
      <w:r>
        <w:t xml:space="preserve">(0.8) at 18–19, enrolled-only by</w:t>
      </w:r>
      <w:r>
        <w:t xml:space="preserve"> </w:t>
      </w:r>
      <m:oMath>
        <m:r>
          <m:rPr>
            <m:sty m:val="p"/>
          </m:rPr>
          <m:t>−</m:t>
        </m:r>
        <m:r>
          <m:t>0.5</m:t>
        </m:r>
      </m:oMath>
      <w:r>
        <w:t xml:space="preserve"> </w:t>
      </w:r>
      <w:r>
        <w:t xml:space="preserve">(1.0) and</w:t>
      </w:r>
      <w:r>
        <w:t xml:space="preserve"> </w:t>
      </w:r>
      <m:oMath>
        <m:r>
          <m:rPr>
            <m:sty m:val="p"/>
          </m:rPr>
          <m:t>−</m:t>
        </m:r>
        <m:r>
          <m:t>0.2</m:t>
        </m:r>
      </m:oMath>
      <w:r>
        <w:t xml:space="preserve"> </w:t>
      </w:r>
      <w:r>
        <w:t xml:space="preserve">(0.9), employed-only by</w:t>
      </w:r>
      <w:r>
        <w:t xml:space="preserve"> </w:t>
      </w:r>
      <m:oMath>
        <m:r>
          <m:rPr>
            <m:sty m:val="p"/>
          </m:rPr>
          <m:t>−</m:t>
        </m:r>
        <m:r>
          <m:t>0.2</m:t>
        </m:r>
      </m:oMath>
      <w:r>
        <w:t xml:space="preserve"> </w:t>
      </w:r>
      <w:r>
        <w:t xml:space="preserve">(0.4) and</w:t>
      </w:r>
      <w:r>
        <w:t xml:space="preserve"> </w:t>
      </w:r>
      <m:oMath>
        <m:r>
          <m:rPr>
            <m:sty m:val="p"/>
          </m:rPr>
          <m:t>+</m:t>
        </m:r>
        <m:r>
          <m:t>0.6</m:t>
        </m:r>
      </m:oMath>
      <w:r>
        <w:t xml:space="preserve"> </w:t>
      </w:r>
      <w:r>
        <w:t xml:space="preserve">(1.1), neither by</w:t>
      </w:r>
      <w:r>
        <w:t xml:space="preserve"> </w:t>
      </w:r>
      <m:oMath>
        <m:r>
          <m:rPr>
            <m:sty m:val="p"/>
          </m:rPr>
          <m:t>+</m:t>
        </m:r>
        <m:r>
          <m:t>0.3</m:t>
        </m:r>
      </m:oMath>
      <w:r>
        <w:t xml:space="preserve"> </w:t>
      </w:r>
      <w:r>
        <w:t xml:space="preserve">(0.5) and</w:t>
      </w:r>
      <w:r>
        <w:t xml:space="preserve"> </w:t>
      </w:r>
      <m:oMath>
        <m:r>
          <m:rPr>
            <m:sty m:val="p"/>
          </m:rPr>
          <m:t>−</m:t>
        </m:r>
        <m:r>
          <m:t>1.0</m:t>
        </m:r>
      </m:oMath>
      <w:r>
        <w:t xml:space="preserve"> </w:t>
      </w:r>
      <w:r>
        <w:t xml:space="preserve">(0.7); for high-income teens the corresponding figures are</w:t>
      </w:r>
      <w:r>
        <w:t xml:space="preserve"> </w:t>
      </w:r>
      <m:oMath>
        <m:r>
          <m:rPr>
            <m:sty m:val="p"/>
          </m:rPr>
          <m:t>−</m:t>
        </m:r>
        <m:r>
          <m:t>0.6</m:t>
        </m:r>
      </m:oMath>
      <w:r>
        <w:t xml:space="preserve"> </w:t>
      </w:r>
      <w:r>
        <w:t xml:space="preserve">(0.5) and</w:t>
      </w:r>
      <w:r>
        <w:t xml:space="preserve"> </w:t>
      </w:r>
      <m:oMath>
        <m:r>
          <m:rPr>
            <m:sty m:val="p"/>
          </m:rPr>
          <m:t>+</m:t>
        </m:r>
        <m:r>
          <m:t>0.9</m:t>
        </m:r>
      </m:oMath>
      <w:r>
        <w:t xml:space="preserve"> </w:t>
      </w:r>
      <w:r>
        <w:t xml:space="preserve">(0.9),</w:t>
      </w:r>
      <w:r>
        <w:t xml:space="preserve"> </w:t>
      </w:r>
      <m:oMath>
        <m:r>
          <m:rPr>
            <m:sty m:val="p"/>
          </m:rPr>
          <m:t>+</m:t>
        </m:r>
        <m:r>
          <m:t>0.2</m:t>
        </m:r>
      </m:oMath>
      <w:r>
        <w:t xml:space="preserve"> </w:t>
      </w:r>
      <w:r>
        <w:t xml:space="preserve">(0.6) and</w:t>
      </w:r>
      <w:r>
        <w:t xml:space="preserve"> </w:t>
      </w:r>
      <m:oMath>
        <m:r>
          <m:rPr>
            <m:sty m:val="p"/>
          </m:rPr>
          <m:t>−</m:t>
        </m:r>
        <m:r>
          <m:t>0.6</m:t>
        </m:r>
      </m:oMath>
      <w:r>
        <w:t xml:space="preserve"> </w:t>
      </w:r>
      <w:r>
        <w:t xml:space="preserve">(0.8),</w:t>
      </w:r>
      <w:r>
        <w:t xml:space="preserve"> </w:t>
      </w:r>
      <m:oMath>
        <m:r>
          <m:rPr>
            <m:sty m:val="p"/>
          </m:rPr>
          <m:t>+</m:t>
        </m:r>
        <m:r>
          <m:t>0.5</m:t>
        </m:r>
      </m:oMath>
      <w:r>
        <w:t xml:space="preserve"> </w:t>
      </w:r>
      <w:r>
        <w:t xml:space="preserve">(0.3) and</w:t>
      </w:r>
      <w:r>
        <w:t xml:space="preserve"> </w:t>
      </w:r>
      <m:oMath>
        <m:r>
          <m:rPr>
            <m:sty m:val="p"/>
          </m:rPr>
          <m:t>+</m:t>
        </m:r>
        <m:r>
          <m:t>0.3</m:t>
        </m:r>
      </m:oMath>
      <w:r>
        <w:t xml:space="preserve"> </w:t>
      </w:r>
      <w:r>
        <w:t xml:space="preserve">(0.9),</w:t>
      </w:r>
      <w:r>
        <w:t xml:space="preserve"> </w:t>
      </w:r>
      <m:oMath>
        <m:r>
          <m:rPr>
            <m:sty m:val="p"/>
          </m:rPr>
          <m:t>−</m:t>
        </m:r>
        <m:r>
          <m:t>0.1</m:t>
        </m:r>
      </m:oMath>
      <w:r>
        <w:t xml:space="preserve"> </w:t>
      </w:r>
      <w:r>
        <w:t xml:space="preserve">(0.4) and</w:t>
      </w:r>
      <w:r>
        <w:t xml:space="preserve"> </w:t>
      </w:r>
      <m:oMath>
        <m:r>
          <m:rPr>
            <m:sty m:val="p"/>
          </m:rPr>
          <m:t>−</m:t>
        </m:r>
        <m:r>
          <m:t>0.5</m:t>
        </m:r>
      </m:oMath>
      <w:r>
        <w:t xml:space="preserve"> </w:t>
      </w:r>
      <w:r>
        <w:t xml:space="preserve">(0.6). Enrollment among low-income teens changes by</w:t>
      </w:r>
      <w:r>
        <w:t xml:space="preserve"> </w:t>
      </w:r>
      <m:oMath>
        <m:r>
          <m:rPr>
            <m:sty m:val="p"/>
          </m:rPr>
          <m:t>−</m:t>
        </m:r>
        <m:r>
          <m:t>0.1</m:t>
        </m:r>
      </m:oMath>
      <w:r>
        <w:t xml:space="preserve"> </w:t>
      </w:r>
      <w:r>
        <w:t xml:space="preserve">(0.6) at 16–17 and</w:t>
      </w:r>
      <w:r>
        <w:t xml:space="preserve"> </w:t>
      </w:r>
      <m:oMath>
        <m:r>
          <m:rPr>
            <m:sty m:val="p"/>
          </m:rPr>
          <m:t>+</m:t>
        </m:r>
        <m:r>
          <m:t>0.4</m:t>
        </m:r>
      </m:oMath>
      <w:r>
        <w:t xml:space="preserve"> </w:t>
      </w:r>
      <w:r>
        <w:t xml:space="preserve">(1.2) at 18–19. The low-minus-high differences are within one standard error of zero for every share and age, and the within-year median split in the appendix gives the same picture. The prediction of the liquidity channel, a rise in enrollment among poorer teens, does not appear: the low-income enrollment interval at 16–17 excludes a rise larger than 1.1 points.</w:t>
      </w:r>
    </w:p>
    <w:p>
      <w:pPr>
        <w:pStyle w:val="BodyText"/>
      </w:pPr>
      <w:r>
        <w:t xml:space="preserve">The stacked coefficients in Table 3 repeat the pattern within each income group. No coefficient is significant at the 5 percent level; the largest is employed-only among high-income 16–17 year olds,</w:t>
      </w:r>
      <w:r>
        <w:t xml:space="preserve"> </w:t>
      </w:r>
      <m:oMath>
        <m:r>
          <m:rPr>
            <m:sty m:val="p"/>
          </m:rPr>
          <m:t>+</m:t>
        </m:r>
        <m:r>
          <m:t>0.5</m:t>
        </m:r>
      </m:oMath>
      <w:r>
        <w:t xml:space="preserve"> </w:t>
      </w:r>
      <w:r>
        <w:t xml:space="preserve">points (s.e. 0.3), and the neither share changes by</w:t>
      </w:r>
      <w:r>
        <w:t xml:space="preserve"> </w:t>
      </w:r>
      <m:oMath>
        <m:r>
          <m:rPr>
            <m:sty m:val="p"/>
          </m:rPr>
          <m:t>−</m:t>
        </m:r>
        <m:r>
          <m:t>0.3</m:t>
        </m:r>
      </m:oMath>
      <w:r>
        <w:t xml:space="preserve"> </w:t>
      </w:r>
      <w:r>
        <w:t xml:space="preserve">(0.5) for low-income and</w:t>
      </w:r>
      <w:r>
        <w:t xml:space="preserve"> </w:t>
      </w:r>
      <m:oMath>
        <m:r>
          <m:rPr>
            <m:sty m:val="p"/>
          </m:rPr>
          <m:t>−</m:t>
        </m:r>
        <m:r>
          <m:t>0.2</m:t>
        </m:r>
      </m:oMath>
      <w:r>
        <w:t xml:space="preserve"> </w:t>
      </w:r>
      <w:r>
        <w:t xml:space="preserve">(0.3) for high-income 16–17 year olds.</w:t>
      </w:r>
    </w:p>
    <w:p>
      <w:pPr>
        <w:pStyle w:val="TableCaption"/>
      </w:pPr>
      <w:r>
        <w:t xml:space="preserve">Table 3: Stacked difference-in-differences estimates for school–work status by family income</w:t>
      </w:r>
    </w:p>
    <w:tbl>
      <w:tblPr>
        <w:tblStyle w:val="Table"/>
        <w:tblW w:type="dxa" w:w="9360"/>
        <w:tblLook w:firstRow="0" w:lastRow="0" w:firstColumn="0" w:lastColumn="0" w:noHBand="0" w:noVBand="0" w:val="0000"/>
        <w:jc w:val="start"/>
        <w:tblCaption w:val="Table 3: Stacked difference-in-differences estimates for school–work status by family income"/>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Enrolled and employed</w:t>
            </w:r>
          </w:p>
        </w:tc>
        <w:tc>
          <w:tcPr/>
          <w:p>
            <w:pPr>
              <w:pStyle w:val="Compact"/>
              <w:jc w:val="left"/>
            </w:pPr>
            <w:r>
              <w:t xml:space="preserve">-0.001</w:t>
            </w:r>
          </w:p>
        </w:tc>
        <w:tc>
          <w:tcPr/>
          <w:p>
            <w:pPr>
              <w:pStyle w:val="Compact"/>
              <w:jc w:val="left"/>
            </w:pPr>
            <w:r>
              <w:t xml:space="preserve">-0.000</w:t>
            </w:r>
          </w:p>
        </w:tc>
        <w:tc>
          <w:tcPr/>
          <w:p>
            <w:pPr>
              <w:pStyle w:val="Compact"/>
              <w:jc w:val="left"/>
            </w:pPr>
            <w:r>
              <w:t xml:space="preserve">0.001</w:t>
            </w:r>
          </w:p>
        </w:tc>
        <w:tc>
          <w:tcPr/>
          <w:p>
            <w:pPr>
              <w:pStyle w:val="Compact"/>
              <w:jc w:val="left"/>
            </w:pPr>
            <w:r>
              <w:t xml:space="preserve">0.006</w:t>
            </w:r>
          </w:p>
        </w:tc>
        <w:tc>
          <w:tcPr/>
          <w:p>
            <w:pPr>
              <w:pStyle w:val="Compact"/>
              <w:jc w:val="left"/>
            </w:pPr>
            <w:r>
              <w:t xml:space="preserve">0.000</w:t>
            </w:r>
          </w:p>
        </w:tc>
        <w:tc>
          <w:tcPr/>
          <w:p>
            <w:pPr>
              <w:pStyle w:val="Compact"/>
              <w:jc w:val="left"/>
            </w:pPr>
            <w:r>
              <w:t xml:space="preserve">0.003</w:t>
            </w:r>
          </w:p>
        </w:tc>
      </w:tr>
      <w:tr>
        <w:tc>
          <w:tcPr/>
          <w:p>
            <w:pPr>
              <w:pStyle w:val="Compact"/>
            </w:pPr>
          </w:p>
        </w:tc>
        <w:tc>
          <w:tcPr/>
          <w:p>
            <w:pPr>
              <w:pStyle w:val="Compact"/>
              <w:jc w:val="left"/>
            </w:pPr>
            <w:r>
              <w:t xml:space="preserve">(0.006)</w:t>
            </w:r>
          </w:p>
        </w:tc>
        <w:tc>
          <w:tcPr/>
          <w:p>
            <w:pPr>
              <w:pStyle w:val="Compact"/>
              <w:jc w:val="left"/>
            </w:pPr>
            <w:r>
              <w:t xml:space="preserve">(0.004)</w:t>
            </w:r>
          </w:p>
        </w:tc>
        <w:tc>
          <w:tcPr/>
          <w:p>
            <w:pPr>
              <w:pStyle w:val="Compact"/>
              <w:jc w:val="left"/>
            </w:pPr>
            <w:r>
              <w:t xml:space="preserve">(0.005)</w:t>
            </w:r>
          </w:p>
        </w:tc>
        <w:tc>
          <w:tcPr/>
          <w:p>
            <w:pPr>
              <w:pStyle w:val="Compact"/>
              <w:jc w:val="left"/>
            </w:pPr>
            <w:r>
              <w:t xml:space="preserve">(0.008)</w:t>
            </w:r>
          </w:p>
        </w:tc>
        <w:tc>
          <w:tcPr/>
          <w:p>
            <w:pPr>
              <w:pStyle w:val="Compact"/>
              <w:jc w:val="left"/>
            </w:pPr>
            <w:r>
              <w:t xml:space="preserve">(0.003)</w:t>
            </w:r>
          </w:p>
        </w:tc>
        <w:tc>
          <w:tcPr/>
          <w:p>
            <w:pPr>
              <w:pStyle w:val="Compact"/>
              <w:jc w:val="left"/>
            </w:pPr>
            <w:r>
              <w:t xml:space="preserve">(0.005)</w:t>
            </w:r>
          </w:p>
        </w:tc>
      </w:tr>
      <w:tr>
        <w:tc>
          <w:tcPr/>
          <w:p>
            <w:pPr>
              <w:pStyle w:val="Compact"/>
              <w:jc w:val="left"/>
            </w:pPr>
            <w:r>
              <w:t xml:space="preserve">Enrolled only</w:t>
            </w:r>
          </w:p>
        </w:tc>
        <w:tc>
          <w:tcPr/>
          <w:p>
            <w:pPr>
              <w:pStyle w:val="Compact"/>
              <w:jc w:val="left"/>
            </w:pPr>
            <w:r>
              <w:t xml:space="preserve">0.004</w:t>
            </w:r>
          </w:p>
        </w:tc>
        <w:tc>
          <w:tcPr/>
          <w:p>
            <w:pPr>
              <w:pStyle w:val="Compact"/>
              <w:jc w:val="left"/>
            </w:pPr>
            <w:r>
              <w:t xml:space="preserve">-0.002</w:t>
            </w:r>
          </w:p>
        </w:tc>
        <w:tc>
          <w:tcPr/>
          <w:p>
            <w:pPr>
              <w:pStyle w:val="Compact"/>
              <w:jc w:val="left"/>
            </w:pPr>
            <w:r>
              <w:t xml:space="preserve">0.003</w:t>
            </w:r>
          </w:p>
        </w:tc>
        <w:tc>
          <w:tcPr/>
          <w:p>
            <w:pPr>
              <w:pStyle w:val="Compact"/>
              <w:jc w:val="left"/>
            </w:pPr>
            <w:r>
              <w:t xml:space="preserve">-0.010</w:t>
            </w:r>
          </w:p>
        </w:tc>
        <w:tc>
          <w:tcPr/>
          <w:p>
            <w:pPr>
              <w:pStyle w:val="Compact"/>
              <w:jc w:val="left"/>
            </w:pPr>
            <w:r>
              <w:t xml:space="preserve">0.003</w:t>
            </w:r>
          </w:p>
        </w:tc>
        <w:tc>
          <w:tcPr/>
          <w:p>
            <w:pPr>
              <w:pStyle w:val="Compact"/>
              <w:jc w:val="left"/>
            </w:pPr>
            <w:r>
              <w:t xml:space="preserve">-0.006</w:t>
            </w:r>
          </w:p>
        </w:tc>
      </w:tr>
      <w:tr>
        <w:tc>
          <w:tcPr/>
          <w:p>
            <w:pPr>
              <w:pStyle w:val="Compact"/>
            </w:pPr>
          </w:p>
        </w:tc>
        <w:tc>
          <w:tcPr/>
          <w:p>
            <w:pPr>
              <w:pStyle w:val="Compact"/>
              <w:jc w:val="left"/>
            </w:pPr>
            <w:r>
              <w:t xml:space="preserve">(0.006)</w:t>
            </w:r>
          </w:p>
        </w:tc>
        <w:tc>
          <w:tcPr/>
          <w:p>
            <w:pPr>
              <w:pStyle w:val="Compact"/>
              <w:jc w:val="left"/>
            </w:pPr>
            <w:r>
              <w:t xml:space="preserve">(0.005)</w:t>
            </w:r>
          </w:p>
        </w:tc>
        <w:tc>
          <w:tcPr/>
          <w:p>
            <w:pPr>
              <w:pStyle w:val="Compact"/>
              <w:jc w:val="left"/>
            </w:pPr>
            <w:r>
              <w:t xml:space="preserve">(0.009)</w:t>
            </w:r>
          </w:p>
        </w:tc>
        <w:tc>
          <w:tcPr/>
          <w:p>
            <w:pPr>
              <w:pStyle w:val="Compact"/>
              <w:jc w:val="left"/>
            </w:pPr>
            <w:r>
              <w:t xml:space="preserve">(0.007)</w:t>
            </w:r>
          </w:p>
        </w:tc>
        <w:tc>
          <w:tcPr/>
          <w:p>
            <w:pPr>
              <w:pStyle w:val="Compact"/>
              <w:jc w:val="left"/>
            </w:pPr>
            <w:r>
              <w:t xml:space="preserve">(0.006)</w:t>
            </w:r>
          </w:p>
        </w:tc>
        <w:tc>
          <w:tcPr/>
          <w:p>
            <w:pPr>
              <w:pStyle w:val="Compact"/>
              <w:jc w:val="left"/>
            </w:pPr>
            <w:r>
              <w:t xml:space="preserve">(0.005)</w:t>
            </w:r>
          </w:p>
        </w:tc>
      </w:tr>
      <w:tr>
        <w:tc>
          <w:tcPr/>
          <w:p>
            <w:pPr>
              <w:pStyle w:val="Compact"/>
              <w:jc w:val="left"/>
            </w:pPr>
            <w:r>
              <w:t xml:space="preserve">Employed only</w:t>
            </w:r>
          </w:p>
        </w:tc>
        <w:tc>
          <w:tcPr/>
          <w:p>
            <w:pPr>
              <w:pStyle w:val="Compact"/>
              <w:jc w:val="left"/>
            </w:pPr>
            <w:r>
              <w:t xml:space="preserve">-0.000</w:t>
            </w:r>
          </w:p>
        </w:tc>
        <w:tc>
          <w:tcPr/>
          <w:p>
            <w:pPr>
              <w:pStyle w:val="Compact"/>
              <w:jc w:val="left"/>
            </w:pPr>
            <w:r>
              <w:t xml:space="preserve">0.004</w:t>
            </w:r>
            <w:r>
              <w:rPr>
                <w:vertAlign w:val="superscript"/>
              </w:rPr>
              <w:t xml:space="preserve">*</w:t>
            </w:r>
          </w:p>
        </w:tc>
        <w:tc>
          <w:tcPr/>
          <w:p>
            <w:pPr>
              <w:pStyle w:val="Compact"/>
              <w:jc w:val="left"/>
            </w:pPr>
            <w:r>
              <w:t xml:space="preserve">0.001</w:t>
            </w:r>
          </w:p>
        </w:tc>
        <w:tc>
          <w:tcPr/>
          <w:p>
            <w:pPr>
              <w:pStyle w:val="Compact"/>
              <w:jc w:val="left"/>
            </w:pPr>
            <w:r>
              <w:t xml:space="preserve">0.007</w:t>
            </w:r>
          </w:p>
        </w:tc>
        <w:tc>
          <w:tcPr/>
          <w:p>
            <w:pPr>
              <w:pStyle w:val="Compact"/>
              <w:jc w:val="left"/>
            </w:pPr>
            <w:r>
              <w:t xml:space="preserve">0.001</w:t>
            </w:r>
          </w:p>
        </w:tc>
        <w:tc>
          <w:tcPr/>
          <w:p>
            <w:pPr>
              <w:pStyle w:val="Compact"/>
              <w:jc w:val="left"/>
            </w:pPr>
            <w:r>
              <w:t xml:space="preserve">0.006</w:t>
            </w:r>
          </w:p>
        </w:tc>
      </w:tr>
      <w:tr>
        <w:tc>
          <w:tcPr/>
          <w:p>
            <w:pPr>
              <w:pStyle w:val="Compact"/>
            </w:pP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(0.008)</w:t>
            </w:r>
          </w:p>
        </w:tc>
        <w:tc>
          <w:tcPr/>
          <w:p>
            <w:pPr>
              <w:pStyle w:val="Compact"/>
              <w:jc w:val="left"/>
            </w:pPr>
            <w:r>
              <w:t xml:space="preserve">(0.007)</w:t>
            </w:r>
          </w:p>
        </w:tc>
        <w:tc>
          <w:tcPr/>
          <w:p>
            <w:pPr>
              <w:pStyle w:val="Compact"/>
              <w:jc w:val="left"/>
            </w:pPr>
            <w:r>
              <w:t xml:space="preserve">(0.005)</w:t>
            </w:r>
          </w:p>
        </w:tc>
        <w:tc>
          <w:tcPr/>
          <w:p>
            <w:pPr>
              <w:pStyle w:val="Compact"/>
              <w:jc w:val="left"/>
            </w:pPr>
            <w:r>
              <w:t xml:space="preserve">(0.004)</w:t>
            </w:r>
          </w:p>
        </w:tc>
      </w:tr>
      <w:tr>
        <w:tc>
          <w:tcPr/>
          <w:p>
            <w:pPr>
              <w:pStyle w:val="Compact"/>
              <w:jc w:val="left"/>
            </w:pPr>
            <w:r>
              <w:t xml:space="preserve">Neither enrolled nor employed</w:t>
            </w:r>
          </w:p>
        </w:tc>
        <w:tc>
          <w:tcPr/>
          <w:p>
            <w:pPr>
              <w:pStyle w:val="Compact"/>
              <w:jc w:val="left"/>
            </w:pPr>
            <w:r>
              <w:t xml:space="preserve">-0.003</w:t>
            </w:r>
          </w:p>
        </w:tc>
        <w:tc>
          <w:tcPr/>
          <w:p>
            <w:pPr>
              <w:pStyle w:val="Compact"/>
              <w:jc w:val="left"/>
            </w:pPr>
            <w:r>
              <w:t xml:space="preserve">-0.002</w:t>
            </w:r>
          </w:p>
        </w:tc>
        <w:tc>
          <w:tcPr/>
          <w:p>
            <w:pPr>
              <w:pStyle w:val="Compact"/>
              <w:jc w:val="left"/>
            </w:pPr>
            <w:r>
              <w:t xml:space="preserve">-0.005</w:t>
            </w:r>
          </w:p>
        </w:tc>
        <w:tc>
          <w:tcPr/>
          <w:p>
            <w:pPr>
              <w:pStyle w:val="Compact"/>
              <w:jc w:val="left"/>
            </w:pPr>
            <w:r>
              <w:t xml:space="preserve">-0.003</w:t>
            </w:r>
          </w:p>
        </w:tc>
        <w:tc>
          <w:tcPr/>
          <w:p>
            <w:pPr>
              <w:pStyle w:val="Compact"/>
              <w:jc w:val="left"/>
            </w:pPr>
            <w:r>
              <w:t xml:space="preserve">-0.005</w:t>
            </w:r>
          </w:p>
        </w:tc>
        <w:tc>
          <w:tcPr/>
          <w:p>
            <w:pPr>
              <w:pStyle w:val="Compact"/>
              <w:jc w:val="left"/>
            </w:pPr>
            <w:r>
              <w:t xml:space="preserve">-0.002</w:t>
            </w:r>
          </w:p>
        </w:tc>
      </w:tr>
      <w:tr>
        <w:tc>
          <w:tcPr/>
          <w:p>
            <w:pPr>
              <w:pStyle w:val="Compact"/>
            </w:pPr>
          </w:p>
        </w:tc>
        <w:tc>
          <w:tcPr/>
          <w:p>
            <w:pPr>
              <w:pStyle w:val="Compact"/>
              <w:jc w:val="left"/>
            </w:pPr>
            <w:r>
              <w:t xml:space="preserve">(0.005)</w:t>
            </w:r>
          </w:p>
        </w:tc>
        <w:tc>
          <w:tcPr/>
          <w:p>
            <w:pPr>
              <w:pStyle w:val="Compact"/>
              <w:jc w:val="left"/>
            </w:pPr>
            <w:r>
              <w:t xml:space="preserve">(0.003)</w:t>
            </w:r>
          </w:p>
        </w:tc>
        <w:tc>
          <w:tcPr/>
          <w:p>
            <w:pPr>
              <w:pStyle w:val="Compact"/>
              <w:jc w:val="left"/>
            </w:pPr>
            <w:r>
              <w:t xml:space="preserve">(0.006)</w:t>
            </w:r>
          </w:p>
        </w:tc>
        <w:tc>
          <w:tcPr/>
          <w:p>
            <w:pPr>
              <w:pStyle w:val="Compact"/>
              <w:jc w:val="left"/>
            </w:pPr>
            <w:r>
              <w:t xml:space="preserve">(0.004)</w:t>
            </w:r>
          </w:p>
        </w:tc>
        <w:tc>
          <w:tcPr/>
          <w:p>
            <w:pPr>
              <w:pStyle w:val="Compact"/>
              <w:jc w:val="left"/>
            </w:pPr>
            <w:r>
              <w:t xml:space="preserve">(0.004)</w:t>
            </w:r>
          </w:p>
        </w:tc>
        <w:tc>
          <w:tcPr/>
          <w:p>
            <w:pPr>
              <w:pStyle w:val="Compact"/>
              <w:jc w:val="left"/>
            </w:pPr>
            <w:r>
              <w:t xml:space="preserve">(0.003)</w:t>
            </w:r>
          </w:p>
        </w:tc>
      </w:tr>
    </w:tbl>
    <w:p>
      <w:pPr>
        <w:pStyle w:val="BodyText"/>
      </w:pPr>
      <w:r>
        <w:t xml:space="preserve">Notes: Low: family income below $50,000; High: $50,000 or more. Specification as in Table 2; standard errors clustered by state in parentheses.</w:t>
      </w:r>
    </w:p>
    <w:p>
      <w:pPr>
        <w:pStyle w:val="CaptionedFigure"/>
      </w:pPr>
      <w:r>
        <w:drawing>
          <wp:inline>
            <wp:extent cx="5334000" cy="4103076"/>
            <wp:effectExtent b="0" l="0" r="0" t="0"/>
            <wp:docPr descr="" title="" id="40" name="Picture"/>
            <a:graphic>
              <a:graphicData uri="http://schemas.openxmlformats.org/drawingml/2006/picture">
                <pic:pic>
                  <pic:nvPicPr>
                    <pic:cNvPr descr="figures/figR2_groups_ses.png" id="41" name="Picture"/>
                    <pic:cNvPicPr>
                      <a:picLocks noChangeArrowheads="1" noChangeAspect="1"/>
                    </pic:cNvPicPr>
                  </pic:nvPicPr>
                  <pic:blipFill>
                    <a:blip r:embed="rId39"/>
                    <a:stretch>
                      <a:fillRect/>
                    </a:stretch>
                  </pic:blipFill>
                  <pic:spPr bwMode="auto">
                    <a:xfrm>
                      <a:off x="0" y="0"/>
                      <a:ext cx="5334000" cy="4103076"/>
                    </a:xfrm>
                    <a:prstGeom prst="rect">
                      <a:avLst/>
                    </a:prstGeom>
                    <a:noFill/>
                    <a:ln w="9525">
                      <a:noFill/>
                      <a:headEnd/>
                      <a:tailEnd/>
                    </a:ln>
                  </pic:spPr>
                </pic:pic>
              </a:graphicData>
            </a:graphic>
          </wp:inline>
        </w:drawing>
      </w:r>
    </w:p>
    <w:p>
      <w:pPr>
        <w:pStyle w:val="ImageCaption"/>
      </w:pPr>
      <w:r>
        <w:t xml:space="preserve">Figure 4: Event-time effects on the four school–work shares by family income, ages 16–19</w:t>
      </w:r>
    </w:p>
    <w:bookmarkEnd w:id="42"/>
    <w:bookmarkStart w:id="46" w:name="school-and-work-by-sex"/>
    <w:p>
      <w:pPr>
        <w:pStyle w:val="Heading2"/>
      </w:pPr>
      <w:r>
        <w:t xml:space="preserve">5.3 School and work by sex</w:t>
      </w:r>
    </w:p>
    <w:p>
      <w:pPr>
        <w:pStyle w:val="FirstParagraph"/>
      </w:pPr>
      <w:r>
        <w:t xml:space="preserve">Girls and boys differ on both margins that the theory of Section 2 turns on. Over 2010–2026, 77 percent of 16–19 year old girls are enrolled and 31 percent employed, against 74 and 29 percent of boys, and hourly-paid girls earn $10.84 an hour against $11.71 for boys, so a rise in the minimum binds on more of the jobs girls hold. If the opportunity-cost channel operates, it should show first among girls, whose wage moves more; if the liquidity channel operates, it should show among whichever group is closer to the enrollment margin, which at 18–19 is boys. Appendix Tables 19 and 20 give the post-event averages for the four shares by sex and age, Table 4 the stacked coefficients, and Figure 5 the event-time coefficients for the pooled ages.</w:t>
      </w:r>
    </w:p>
    <w:p>
      <w:pPr>
        <w:pStyle w:val="BodyText"/>
      </w:pPr>
      <w:r>
        <w:t xml:space="preserve">The one cell in the paper where the shares move is girls aged 16–17. Their share enrolled and employed falls by 1.3 points (s.e. 0.5) and their employment by the same 1.3 (0.5), with pre-event averages of 0.0, and their share enrolled only rises by 1.2 (0.7), so enrollment is unchanged (</w:t>
      </w:r>
      <m:oMath>
        <m:r>
          <m:rPr>
            <m:sty m:val="p"/>
          </m:rPr>
          <m:t>−</m:t>
        </m:r>
        <m:r>
          <m:t>0.1</m:t>
        </m:r>
      </m:oMath>
      <w:r>
        <w:t xml:space="preserve">, s.e. 0.5) and the movement is out of work and into school only, the shift that Neumark and Shupe (2019) describe. Boys of the same age move the other way,</w:t>
      </w:r>
      <w:r>
        <w:t xml:space="preserve"> </w:t>
      </w:r>
      <m:oMath>
        <m:r>
          <m:rPr>
            <m:sty m:val="p"/>
          </m:rPr>
          <m:t>+</m:t>
        </m:r>
        <m:r>
          <m:t>0.8</m:t>
        </m:r>
      </m:oMath>
      <w:r>
        <w:t xml:space="preserve"> </w:t>
      </w:r>
      <w:r>
        <w:t xml:space="preserve">(1.0) on enrolled-and-employed and</w:t>
      </w:r>
      <w:r>
        <w:t xml:space="preserve"> </w:t>
      </w:r>
      <m:oMath>
        <m:r>
          <m:rPr>
            <m:sty m:val="p"/>
          </m:rPr>
          <m:t>+</m:t>
        </m:r>
        <m:r>
          <m:t>1.2</m:t>
        </m:r>
      </m:oMath>
      <w:r>
        <w:t xml:space="preserve"> </w:t>
      </w:r>
      <w:r>
        <w:t xml:space="preserve">(0.9) on employment, so the girl–boy difference on employment is</w:t>
      </w:r>
      <w:r>
        <w:t xml:space="preserve"> </w:t>
      </w:r>
      <m:oMath>
        <m:r>
          <m:rPr>
            <m:sty m:val="p"/>
          </m:rPr>
          <m:t>−</m:t>
        </m:r>
        <m:r>
          <m:t>2.5</m:t>
        </m:r>
      </m:oMath>
      <w:r>
        <w:t xml:space="preserve"> </w:t>
      </w:r>
      <w:r>
        <w:t xml:space="preserve">points with a standard error of about 1.0. At 18–19 girls’ four shares change by</w:t>
      </w:r>
      <w:r>
        <w:t xml:space="preserve"> </w:t>
      </w:r>
      <m:oMath>
        <m:r>
          <m:rPr>
            <m:sty m:val="p"/>
          </m:rPr>
          <m:t>+</m:t>
        </m:r>
        <m:r>
          <m:t>0.8</m:t>
        </m:r>
      </m:oMath>
      <w:r>
        <w:t xml:space="preserve"> </w:t>
      </w:r>
      <w:r>
        <w:t xml:space="preserve">(1.0),</w:t>
      </w:r>
      <w:r>
        <w:t xml:space="preserve"> </w:t>
      </w:r>
      <m:oMath>
        <m:r>
          <m:rPr>
            <m:sty m:val="p"/>
          </m:rPr>
          <m:t>+</m:t>
        </m:r>
        <m:r>
          <m:t>0.5</m:t>
        </m:r>
      </m:oMath>
      <w:r>
        <w:t xml:space="preserve"> </w:t>
      </w:r>
      <w:r>
        <w:t xml:space="preserve">(0.9),</w:t>
      </w:r>
      <w:r>
        <w:t xml:space="preserve"> </w:t>
      </w:r>
      <m:oMath>
        <m:r>
          <m:rPr>
            <m:sty m:val="p"/>
          </m:rPr>
          <m:t>−</m:t>
        </m:r>
        <m:r>
          <m:t>0.2</m:t>
        </m:r>
      </m:oMath>
      <w:r>
        <w:t xml:space="preserve"> </w:t>
      </w:r>
      <w:r>
        <w:t xml:space="preserve">(0.9) and</w:t>
      </w:r>
      <w:r>
        <w:t xml:space="preserve"> </w:t>
      </w:r>
      <m:oMath>
        <m:r>
          <m:rPr>
            <m:sty m:val="p"/>
          </m:rPr>
          <m:t>−</m:t>
        </m:r>
        <m:r>
          <m:t>1.1</m:t>
        </m:r>
      </m:oMath>
      <w:r>
        <w:t xml:space="preserve"> </w:t>
      </w:r>
      <w:r>
        <w:t xml:space="preserve">(0.8), with pre-event averages of the same size and sign (</w:t>
      </w:r>
      <m:oMath>
        <m:r>
          <m:rPr>
            <m:sty m:val="p"/>
          </m:rPr>
          <m:t>+</m:t>
        </m:r>
        <m:r>
          <m:t>1.4</m:t>
        </m:r>
      </m:oMath>
      <w:r>
        <w:t xml:space="preserve">,</w:t>
      </w:r>
      <w:r>
        <w:t xml:space="preserve"> </w:t>
      </w:r>
      <m:oMath>
        <m:r>
          <m:rPr>
            <m:sty m:val="p"/>
          </m:rPr>
          <m:t>+</m:t>
        </m:r>
        <m:r>
          <m:t>1.8</m:t>
        </m:r>
      </m:oMath>
      <w:r>
        <w:t xml:space="preserve">,</w:t>
      </w:r>
      <w:r>
        <w:t xml:space="preserve"> </w:t>
      </w:r>
      <m:oMath>
        <m:r>
          <m:rPr>
            <m:sty m:val="p"/>
          </m:rPr>
          <m:t>−</m:t>
        </m:r>
        <m:r>
          <m:t>1.8</m:t>
        </m:r>
      </m:oMath>
      <w:r>
        <w:t xml:space="preserve">,</w:t>
      </w:r>
      <w:r>
        <w:t xml:space="preserve"> </w:t>
      </w:r>
      <m:oMath>
        <m:r>
          <m:rPr>
            <m:sty m:val="p"/>
          </m:rPr>
          <m:t>−</m:t>
        </m:r>
        <m:r>
          <m:t>1.4</m:t>
        </m:r>
      </m:oMath>
      <w:r>
        <w:t xml:space="preserve">), which is drift rather than response, and boys’ by</w:t>
      </w:r>
      <w:r>
        <w:t xml:space="preserve"> </w:t>
      </w:r>
      <m:oMath>
        <m:r>
          <m:rPr>
            <m:sty m:val="p"/>
          </m:rPr>
          <m:t>+</m:t>
        </m:r>
        <m:r>
          <m:t>0.5</m:t>
        </m:r>
      </m:oMath>
      <w:r>
        <w:t xml:space="preserve"> </w:t>
      </w:r>
      <w:r>
        <w:t xml:space="preserve">(0.7),</w:t>
      </w:r>
      <w:r>
        <w:t xml:space="preserve"> </w:t>
      </w:r>
      <m:oMath>
        <m:r>
          <m:rPr>
            <m:sty m:val="p"/>
          </m:rPr>
          <m:t>−</m:t>
        </m:r>
        <m:r>
          <m:t>1.6</m:t>
        </m:r>
      </m:oMath>
      <w:r>
        <w:t xml:space="preserve"> </w:t>
      </w:r>
      <w:r>
        <w:t xml:space="preserve">(0.9),</w:t>
      </w:r>
      <w:r>
        <w:t xml:space="preserve"> </w:t>
      </w:r>
      <m:oMath>
        <m:r>
          <m:rPr>
            <m:sty m:val="p"/>
          </m:rPr>
          <m:t>+</m:t>
        </m:r>
        <m:r>
          <m:t>0.9</m:t>
        </m:r>
      </m:oMath>
      <w:r>
        <w:t xml:space="preserve"> </w:t>
      </w:r>
      <w:r>
        <w:t xml:space="preserve">(0.9) and</w:t>
      </w:r>
      <w:r>
        <w:t xml:space="preserve"> </w:t>
      </w:r>
      <m:oMath>
        <m:r>
          <m:rPr>
            <m:sty m:val="p"/>
          </m:rPr>
          <m:t>+</m:t>
        </m:r>
        <m:r>
          <m:t>0.1</m:t>
        </m:r>
      </m:oMath>
      <w:r>
        <w:t xml:space="preserve"> </w:t>
      </w:r>
      <w:r>
        <w:t xml:space="preserve">(0.6). Pooling the ages, girls’ employment changes by</w:t>
      </w:r>
      <w:r>
        <w:t xml:space="preserve"> </w:t>
      </w:r>
      <m:oMath>
        <m:r>
          <m:rPr>
            <m:sty m:val="p"/>
          </m:rPr>
          <m:t>−</m:t>
        </m:r>
        <m:r>
          <m:t>0.6</m:t>
        </m:r>
      </m:oMath>
      <w:r>
        <w:t xml:space="preserve"> </w:t>
      </w:r>
      <w:r>
        <w:t xml:space="preserve">(0.6) and boys’ by</w:t>
      </w:r>
      <w:r>
        <w:t xml:space="preserve"> </w:t>
      </w:r>
      <m:oMath>
        <m:r>
          <m:rPr>
            <m:sty m:val="p"/>
          </m:rPr>
          <m:t>+</m:t>
        </m:r>
        <m:r>
          <m:t>1.3</m:t>
        </m:r>
      </m:oMath>
      <w:r>
        <w:t xml:space="preserve"> </w:t>
      </w:r>
      <w:r>
        <w:t xml:space="preserve">(0.6). The girls’ estimate at 16–17 is one of 36 cells in the sex split and the only one beyond two standard errors; the wage first stage for girls at that age, 5.4 percent (1.9), is no larger than boys’ 4.7 (1.7); and in Figure 5 the pooled enrolled-only series for girls sits about a point above the boys’ series after the increases but also in the two years before them, so the divergence between the sexes is not timed to the events. I read the 16–17 estimate as the upper bound of what the design can find: a fall of about one point in the employment of the youngest girls, balanced by more schooling only, and no change in their enrollment. The stacked coefficients (Table 4) say the same. At 16–17, girls’ enrolled-and-employed changes by</w:t>
      </w:r>
      <w:r>
        <w:t xml:space="preserve"> </w:t>
      </w:r>
      <m:oMath>
        <m:r>
          <m:rPr>
            <m:sty m:val="p"/>
          </m:rPr>
          <m:t>−</m:t>
        </m:r>
        <m:r>
          <m:t>1.3</m:t>
        </m:r>
      </m:oMath>
      <w:r>
        <w:t xml:space="preserve"> </w:t>
      </w:r>
      <w:r>
        <w:t xml:space="preserve">points (s.e. 0.6) and enrolled-only by</w:t>
      </w:r>
      <w:r>
        <w:t xml:space="preserve"> </w:t>
      </w:r>
      <m:oMath>
        <m:r>
          <m:rPr>
            <m:sty m:val="p"/>
          </m:rPr>
          <m:t>+</m:t>
        </m:r>
        <m:r>
          <m:t>1.1</m:t>
        </m:r>
      </m:oMath>
      <w:r>
        <w:t xml:space="preserve"> </w:t>
      </w:r>
      <w:r>
        <w:t xml:space="preserve">(0.7); boys’ by</w:t>
      </w:r>
      <w:r>
        <w:t xml:space="preserve"> </w:t>
      </w:r>
      <m:oMath>
        <m:r>
          <m:rPr>
            <m:sty m:val="p"/>
          </m:rPr>
          <m:t>+</m:t>
        </m:r>
        <m:r>
          <m:t>1.1</m:t>
        </m:r>
      </m:oMath>
      <w:r>
        <w:t xml:space="preserve"> </w:t>
      </w:r>
      <w:r>
        <w:t xml:space="preserve">(0.6) and</w:t>
      </w:r>
      <w:r>
        <w:t xml:space="preserve"> </w:t>
      </w:r>
      <m:oMath>
        <m:r>
          <m:rPr>
            <m:sty m:val="p"/>
          </m:rPr>
          <m:t>−</m:t>
        </m:r>
        <m:r>
          <m:t>1.1</m:t>
        </m:r>
      </m:oMath>
      <w:r>
        <w:t xml:space="preserve"> </w:t>
      </w:r>
      <w:r>
        <w:t xml:space="preserve">(0.6). At 18–19 girls’ four shares change by</w:t>
      </w:r>
      <w:r>
        <w:t xml:space="preserve"> </w:t>
      </w:r>
      <m:oMath>
        <m:r>
          <m:rPr>
            <m:sty m:val="p"/>
          </m:rPr>
          <m:t>−</m:t>
        </m:r>
        <m:r>
          <m:t>0.3</m:t>
        </m:r>
      </m:oMath>
      <w:r>
        <w:t xml:space="preserve"> </w:t>
      </w:r>
      <w:r>
        <w:t xml:space="preserve">(0.6),</w:t>
      </w:r>
      <w:r>
        <w:t xml:space="preserve"> </w:t>
      </w:r>
      <m:oMath>
        <m:r>
          <m:rPr>
            <m:sty m:val="p"/>
          </m:rPr>
          <m:t>−</m:t>
        </m:r>
        <m:r>
          <m:t>0.4</m:t>
        </m:r>
      </m:oMath>
      <w:r>
        <w:t xml:space="preserve"> </w:t>
      </w:r>
      <w:r>
        <w:t xml:space="preserve">(0.8),</w:t>
      </w:r>
      <w:r>
        <w:t xml:space="preserve"> </w:t>
      </w:r>
      <m:oMath>
        <m:r>
          <m:rPr>
            <m:sty m:val="p"/>
          </m:rPr>
          <m:t>+</m:t>
        </m:r>
        <m:r>
          <m:t>0.8</m:t>
        </m:r>
      </m:oMath>
      <w:r>
        <w:t xml:space="preserve"> </w:t>
      </w:r>
      <w:r>
        <w:t xml:space="preserve">(0.7) and</w:t>
      </w:r>
      <w:r>
        <w:t xml:space="preserve"> </w:t>
      </w:r>
      <m:oMath>
        <m:r>
          <m:rPr>
            <m:sty m:val="p"/>
          </m:rPr>
          <m:t>+</m:t>
        </m:r>
        <m:r>
          <m:t>0.0</m:t>
        </m:r>
      </m:oMath>
      <w:r>
        <w:t xml:space="preserve"> </w:t>
      </w:r>
      <w:r>
        <w:t xml:space="preserve">(0.6), and boys’ by</w:t>
      </w:r>
      <w:r>
        <w:t xml:space="preserve"> </w:t>
      </w:r>
      <m:oMath>
        <m:r>
          <m:rPr>
            <m:sty m:val="p"/>
          </m:rPr>
          <m:t>+</m:t>
        </m:r>
        <m:r>
          <m:t>1.1</m:t>
        </m:r>
      </m:oMath>
      <w:r>
        <w:t xml:space="preserve"> </w:t>
      </w:r>
      <w:r>
        <w:t xml:space="preserve">(0.6),</w:t>
      </w:r>
      <w:r>
        <w:t xml:space="preserve"> </w:t>
      </w:r>
      <m:oMath>
        <m:r>
          <m:rPr>
            <m:sty m:val="p"/>
          </m:rPr>
          <m:t>−</m:t>
        </m:r>
        <m:r>
          <m:t>0.8</m:t>
        </m:r>
      </m:oMath>
      <w:r>
        <w:t xml:space="preserve"> </w:t>
      </w:r>
      <w:r>
        <w:t xml:space="preserve">(0.7),</w:t>
      </w:r>
      <w:r>
        <w:t xml:space="preserve"> </w:t>
      </w:r>
      <m:oMath>
        <m:r>
          <m:rPr>
            <m:sty m:val="p"/>
          </m:rPr>
          <m:t>+</m:t>
        </m:r>
        <m:r>
          <m:t>0.2</m:t>
        </m:r>
      </m:oMath>
      <w:r>
        <w:t xml:space="preserve"> </w:t>
      </w:r>
      <w:r>
        <w:t xml:space="preserve">(0.7) and</w:t>
      </w:r>
      <w:r>
        <w:t xml:space="preserve"> </w:t>
      </w:r>
      <m:oMath>
        <m:r>
          <m:rPr>
            <m:sty m:val="p"/>
          </m:rPr>
          <m:t>−</m:t>
        </m:r>
        <m:r>
          <m:t>0.6</m:t>
        </m:r>
      </m:oMath>
      <w:r>
        <w:t xml:space="preserve"> </w:t>
      </w:r>
      <w:r>
        <w:t xml:space="preserve">(0.6). Pooling the ages, boys shift about a point from enrolled-only to enrolled-and-employed (</w:t>
      </w:r>
      <m:oMath>
        <m:r>
          <m:rPr>
            <m:sty m:val="p"/>
          </m:rPr>
          <m:t>+</m:t>
        </m:r>
        <m:r>
          <m:t>1.1</m:t>
        </m:r>
      </m:oMath>
      <w:r>
        <w:t xml:space="preserve">, s.e. 0.5, and</w:t>
      </w:r>
      <w:r>
        <w:t xml:space="preserve"> </w:t>
      </w:r>
      <m:oMath>
        <m:r>
          <m:rPr>
            <m:sty m:val="p"/>
          </m:rPr>
          <m:t>−</m:t>
        </m:r>
        <m:r>
          <m:t>1.0</m:t>
        </m:r>
      </m:oMath>
      <w:r>
        <w:t xml:space="preserve">, 0.4) and girls about half a point the other way (</w:t>
      </w:r>
      <m:oMath>
        <m:r>
          <m:rPr>
            <m:sty m:val="p"/>
          </m:rPr>
          <m:t>−</m:t>
        </m:r>
        <m:r>
          <m:t>0.8</m:t>
        </m:r>
      </m:oMath>
      <w:r>
        <w:t xml:space="preserve">, 0.4, and</w:t>
      </w:r>
      <w:r>
        <w:t xml:space="preserve"> </w:t>
      </w:r>
      <m:oMath>
        <m:r>
          <m:rPr>
            <m:sty m:val="p"/>
          </m:rPr>
          <m:t>+</m:t>
        </m:r>
        <m:r>
          <m:t>0.3</m:t>
        </m:r>
      </m:oMath>
      <w:r>
        <w:t xml:space="preserve">, 0.7), which is why the two sexes cancel in Table 2: the pooled estimates are nulls because the sexes offset, not because nothing happens to either. Enrollment does not change for either sex at any age.</w:t>
      </w:r>
    </w:p>
    <w:p>
      <w:pPr>
        <w:pStyle w:val="TableCaption"/>
      </w:pPr>
      <w:r>
        <w:t xml:space="preserve">Table 4: Stacked difference-in-differences estimates for school–work status by sex</w:t>
      </w:r>
    </w:p>
    <w:tbl>
      <w:tblPr>
        <w:tblStyle w:val="Table"/>
        <w:tblW w:type="dxa" w:w="9360"/>
        <w:tblLook w:firstRow="0" w:lastRow="0" w:firstColumn="0" w:lastColumn="0" w:noHBand="0" w:noVBand="0" w:val="0000"/>
        <w:jc w:val="start"/>
        <w:tblCaption w:val="Table 4: Stacked difference-in-differences estimates for school–work status by sex"/>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Girls</w:t>
            </w:r>
          </w:p>
        </w:tc>
        <w:tc>
          <w:tcPr/>
          <w:p>
            <w:pPr>
              <w:pStyle w:val="Compact"/>
              <w:jc w:val="left"/>
            </w:pPr>
            <w:r>
              <w:t xml:space="preserve">Boys</w:t>
            </w:r>
          </w:p>
        </w:tc>
        <w:tc>
          <w:tcPr/>
          <w:p>
            <w:pPr>
              <w:pStyle w:val="Compact"/>
              <w:jc w:val="left"/>
            </w:pPr>
            <w:r>
              <w:t xml:space="preserve">Girls</w:t>
            </w:r>
          </w:p>
        </w:tc>
        <w:tc>
          <w:tcPr/>
          <w:p>
            <w:pPr>
              <w:pStyle w:val="Compact"/>
              <w:jc w:val="left"/>
            </w:pPr>
            <w:r>
              <w:t xml:space="preserve">Boys</w:t>
            </w:r>
          </w:p>
        </w:tc>
        <w:tc>
          <w:tcPr/>
          <w:p>
            <w:pPr>
              <w:pStyle w:val="Compact"/>
              <w:jc w:val="left"/>
            </w:pPr>
            <w:r>
              <w:t xml:space="preserve">Girls</w:t>
            </w:r>
          </w:p>
        </w:tc>
        <w:tc>
          <w:tcPr/>
          <w:p>
            <w:pPr>
              <w:pStyle w:val="Compact"/>
              <w:jc w:val="left"/>
            </w:pPr>
            <w:r>
              <w:t xml:space="preserve">Boys</w:t>
            </w:r>
          </w:p>
        </w:tc>
      </w:tr>
      <w:tr>
        <w:tc>
          <w:tcPr/>
          <w:p>
            <w:pPr>
              <w:pStyle w:val="Compact"/>
              <w:jc w:val="left"/>
            </w:pPr>
            <w:r>
              <w:t xml:space="preserve">Enrolled and employed</w:t>
            </w:r>
          </w:p>
        </w:tc>
        <w:tc>
          <w:tcPr/>
          <w:p>
            <w:pPr>
              <w:pStyle w:val="Compact"/>
              <w:jc w:val="left"/>
            </w:pPr>
            <w:r>
              <w:t xml:space="preserve">-0.013</w:t>
            </w:r>
            <w:r>
              <w:rPr>
                <w:vertAlign w:val="superscript"/>
              </w:rPr>
              <w:t xml:space="preserve">**</w:t>
            </w:r>
          </w:p>
        </w:tc>
        <w:tc>
          <w:tcPr/>
          <w:p>
            <w:pPr>
              <w:pStyle w:val="Compact"/>
              <w:jc w:val="left"/>
            </w:pPr>
            <w:r>
              <w:t xml:space="preserve">0.011</w:t>
            </w:r>
            <w:r>
              <w:rPr>
                <w:vertAlign w:val="superscript"/>
              </w:rPr>
              <w:t xml:space="preserve">*</w:t>
            </w:r>
          </w:p>
        </w:tc>
        <w:tc>
          <w:tcPr/>
          <w:p>
            <w:pPr>
              <w:pStyle w:val="Compact"/>
              <w:jc w:val="left"/>
            </w:pPr>
            <w:r>
              <w:t xml:space="preserve">-0.003</w:t>
            </w:r>
          </w:p>
        </w:tc>
        <w:tc>
          <w:tcPr/>
          <w:p>
            <w:pPr>
              <w:pStyle w:val="Compact"/>
              <w:jc w:val="left"/>
            </w:pPr>
            <w:r>
              <w:t xml:space="preserve">0.011</w:t>
            </w:r>
            <w:r>
              <w:rPr>
                <w:vertAlign w:val="superscript"/>
              </w:rPr>
              <w:t xml:space="preserve">*</w:t>
            </w:r>
          </w:p>
        </w:tc>
        <w:tc>
          <w:tcPr/>
          <w:p>
            <w:pPr>
              <w:pStyle w:val="Compact"/>
              <w:jc w:val="left"/>
            </w:pPr>
            <w:r>
              <w:t xml:space="preserve">-0.008</w:t>
            </w:r>
            <w:r>
              <w:rPr>
                <w:vertAlign w:val="superscript"/>
              </w:rPr>
              <w:t xml:space="preserve">*</w:t>
            </w:r>
          </w:p>
        </w:tc>
        <w:tc>
          <w:tcPr/>
          <w:p>
            <w:pPr>
              <w:pStyle w:val="Compact"/>
              <w:jc w:val="left"/>
            </w:pPr>
            <w:r>
              <w:t xml:space="preserve">0.011</w:t>
            </w:r>
            <w:r>
              <w:rPr>
                <w:vertAlign w:val="superscript"/>
              </w:rPr>
              <w:t xml:space="preserve">**</w:t>
            </w:r>
          </w:p>
        </w:tc>
      </w:tr>
      <w:tr>
        <w:tc>
          <w:tcPr/>
          <w:p>
            <w:pPr>
              <w:pStyle w:val="Compact"/>
            </w:pP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(0.004)</w:t>
            </w:r>
          </w:p>
        </w:tc>
        <w:tc>
          <w:tcPr/>
          <w:p>
            <w:pPr>
              <w:pStyle w:val="Compact"/>
              <w:jc w:val="left"/>
            </w:pPr>
            <w:r>
              <w:t xml:space="preserve">(0.005)</w:t>
            </w:r>
          </w:p>
        </w:tc>
      </w:tr>
      <w:tr>
        <w:tc>
          <w:tcPr/>
          <w:p>
            <w:pPr>
              <w:pStyle w:val="Compact"/>
              <w:jc w:val="left"/>
            </w:pPr>
            <w:r>
              <w:t xml:space="preserve">Enrolled only</w:t>
            </w:r>
          </w:p>
        </w:tc>
        <w:tc>
          <w:tcPr/>
          <w:p>
            <w:pPr>
              <w:pStyle w:val="Compact"/>
              <w:jc w:val="left"/>
            </w:pPr>
            <w:r>
              <w:t xml:space="preserve">0.011</w:t>
            </w:r>
          </w:p>
        </w:tc>
        <w:tc>
          <w:tcPr/>
          <w:p>
            <w:pPr>
              <w:pStyle w:val="Compact"/>
              <w:jc w:val="left"/>
            </w:pPr>
            <w:r>
              <w:t xml:space="preserve">-0.011</w:t>
            </w:r>
            <w:r>
              <w:rPr>
                <w:vertAlign w:val="superscript"/>
              </w:rPr>
              <w:t xml:space="preserve">*</w:t>
            </w:r>
          </w:p>
        </w:tc>
        <w:tc>
          <w:tcPr/>
          <w:p>
            <w:pPr>
              <w:pStyle w:val="Compact"/>
              <w:jc w:val="left"/>
            </w:pPr>
            <w:r>
              <w:t xml:space="preserve">-0.004</w:t>
            </w:r>
          </w:p>
        </w:tc>
        <w:tc>
          <w:tcPr/>
          <w:p>
            <w:pPr>
              <w:pStyle w:val="Compact"/>
              <w:jc w:val="left"/>
            </w:pPr>
            <w:r>
              <w:t xml:space="preserve">-0.008</w:t>
            </w:r>
          </w:p>
        </w:tc>
        <w:tc>
          <w:tcPr/>
          <w:p>
            <w:pPr>
              <w:pStyle w:val="Compact"/>
              <w:jc w:val="left"/>
            </w:pPr>
            <w:r>
              <w:t xml:space="preserve">0.003</w:t>
            </w:r>
          </w:p>
        </w:tc>
        <w:tc>
          <w:tcPr/>
          <w:p>
            <w:pPr>
              <w:pStyle w:val="Compact"/>
              <w:jc w:val="left"/>
            </w:pPr>
            <w:r>
              <w:t xml:space="preserve">-0.010</w:t>
            </w:r>
            <w:r>
              <w:rPr>
                <w:vertAlign w:val="superscript"/>
              </w:rPr>
              <w:t xml:space="preserve">**</w:t>
            </w:r>
          </w:p>
        </w:tc>
      </w:tr>
      <w:tr>
        <w:tc>
          <w:tcPr/>
          <w:p>
            <w:pPr>
              <w:pStyle w:val="Compact"/>
            </w:pPr>
          </w:p>
        </w:tc>
        <w:tc>
          <w:tcPr/>
          <w:p>
            <w:pPr>
              <w:pStyle w:val="Compact"/>
              <w:jc w:val="left"/>
            </w:pPr>
            <w:r>
              <w:t xml:space="preserve">(0.007)</w:t>
            </w:r>
          </w:p>
        </w:tc>
        <w:tc>
          <w:tcPr/>
          <w:p>
            <w:pPr>
              <w:pStyle w:val="Compact"/>
              <w:jc w:val="left"/>
            </w:pPr>
            <w:r>
              <w:t xml:space="preserve">(0.006)</w:t>
            </w:r>
          </w:p>
        </w:tc>
        <w:tc>
          <w:tcPr/>
          <w:p>
            <w:pPr>
              <w:pStyle w:val="Compact"/>
              <w:jc w:val="left"/>
            </w:pPr>
            <w:r>
              <w:t xml:space="preserve">(0.008)</w:t>
            </w:r>
          </w:p>
        </w:tc>
        <w:tc>
          <w:tcPr/>
          <w:p>
            <w:pPr>
              <w:pStyle w:val="Compact"/>
              <w:jc w:val="left"/>
            </w:pPr>
            <w:r>
              <w:t xml:space="preserve">(0.007)</w:t>
            </w:r>
          </w:p>
        </w:tc>
        <w:tc>
          <w:tcPr/>
          <w:p>
            <w:pPr>
              <w:pStyle w:val="Compact"/>
              <w:jc w:val="left"/>
            </w:pPr>
            <w:r>
              <w:t xml:space="preserve">(0.007)</w:t>
            </w:r>
          </w:p>
        </w:tc>
        <w:tc>
          <w:tcPr/>
          <w:p>
            <w:pPr>
              <w:pStyle w:val="Compact"/>
              <w:jc w:val="left"/>
            </w:pPr>
            <w:r>
              <w:t xml:space="preserve">(0.004)</w:t>
            </w:r>
          </w:p>
        </w:tc>
      </w:tr>
      <w:tr>
        <w:tc>
          <w:tcPr/>
          <w:p>
            <w:pPr>
              <w:pStyle w:val="Compact"/>
              <w:jc w:val="left"/>
            </w:pPr>
            <w:r>
              <w:t xml:space="preserve">Employed only</w:t>
            </w:r>
          </w:p>
        </w:tc>
        <w:tc>
          <w:tcPr/>
          <w:p>
            <w:pPr>
              <w:pStyle w:val="Compact"/>
              <w:jc w:val="left"/>
            </w:pPr>
            <w:r>
              <w:t xml:space="preserve">0.000</w:t>
            </w:r>
          </w:p>
        </w:tc>
        <w:tc>
          <w:tcPr/>
          <w:p>
            <w:pPr>
              <w:pStyle w:val="Compact"/>
              <w:jc w:val="left"/>
            </w:pPr>
            <w:r>
              <w:t xml:space="preserve">0.005</w:t>
            </w:r>
            <w:r>
              <w:rPr>
                <w:vertAlign w:val="superscript"/>
              </w:rPr>
              <w:t xml:space="preserve">*</w:t>
            </w:r>
          </w:p>
        </w:tc>
        <w:tc>
          <w:tcPr/>
          <w:p>
            <w:pPr>
              <w:pStyle w:val="Compact"/>
              <w:jc w:val="left"/>
            </w:pPr>
            <w:r>
              <w:t xml:space="preserve">0.008</w:t>
            </w:r>
          </w:p>
        </w:tc>
        <w:tc>
          <w:tcPr/>
          <w:p>
            <w:pPr>
              <w:pStyle w:val="Compact"/>
              <w:jc w:val="left"/>
            </w:pPr>
            <w:r>
              <w:t xml:space="preserve">0.002</w:t>
            </w:r>
          </w:p>
        </w:tc>
        <w:tc>
          <w:tcPr/>
          <w:p>
            <w:pPr>
              <w:pStyle w:val="Compact"/>
              <w:jc w:val="left"/>
            </w:pPr>
            <w:r>
              <w:t xml:space="preserve">0.004</w:t>
            </w:r>
          </w:p>
        </w:tc>
        <w:tc>
          <w:tcPr/>
          <w:p>
            <w:pPr>
              <w:pStyle w:val="Compact"/>
              <w:jc w:val="left"/>
            </w:pPr>
            <w:r>
              <w:t xml:space="preserve">0.004</w:t>
            </w:r>
          </w:p>
        </w:tc>
      </w:tr>
      <w:tr>
        <w:tc>
          <w:tcPr/>
          <w:p>
            <w:pPr>
              <w:pStyle w:val="Compact"/>
            </w:pP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(0.007)</w:t>
            </w:r>
          </w:p>
        </w:tc>
        <w:tc>
          <w:tcPr/>
          <w:p>
            <w:pPr>
              <w:pStyle w:val="Compact"/>
              <w:jc w:val="left"/>
            </w:pPr>
            <w:r>
              <w:t xml:space="preserve">(0.007)</w:t>
            </w:r>
          </w:p>
        </w:tc>
        <w:tc>
          <w:tcPr/>
          <w:p>
            <w:pPr>
              <w:pStyle w:val="Compact"/>
              <w:jc w:val="left"/>
            </w:pPr>
            <w:r>
              <w:t xml:space="preserve">(0.004)</w:t>
            </w:r>
          </w:p>
        </w:tc>
        <w:tc>
          <w:tcPr/>
          <w:p>
            <w:pPr>
              <w:pStyle w:val="Compact"/>
              <w:jc w:val="left"/>
            </w:pPr>
            <w:r>
              <w:t xml:space="preserve">(0.004)</w:t>
            </w:r>
          </w:p>
        </w:tc>
      </w:tr>
      <w:tr>
        <w:tc>
          <w:tcPr/>
          <w:p>
            <w:pPr>
              <w:pStyle w:val="Compact"/>
              <w:jc w:val="left"/>
            </w:pPr>
            <w:r>
              <w:t xml:space="preserve">Neither enrolled nor employed</w:t>
            </w:r>
          </w:p>
        </w:tc>
        <w:tc>
          <w:tcPr/>
          <w:p>
            <w:pPr>
              <w:pStyle w:val="Compact"/>
              <w:jc w:val="left"/>
            </w:pPr>
            <w:r>
              <w:t xml:space="preserve">0.001</w:t>
            </w:r>
          </w:p>
        </w:tc>
        <w:tc>
          <w:tcPr/>
          <w:p>
            <w:pPr>
              <w:pStyle w:val="Compact"/>
              <w:jc w:val="left"/>
            </w:pPr>
            <w:r>
              <w:t xml:space="preserve">-0.005</w:t>
            </w:r>
          </w:p>
        </w:tc>
        <w:tc>
          <w:tcPr/>
          <w:p>
            <w:pPr>
              <w:pStyle w:val="Compact"/>
              <w:jc w:val="left"/>
            </w:pPr>
            <w:r>
              <w:t xml:space="preserve">0.000</w:t>
            </w:r>
          </w:p>
        </w:tc>
        <w:tc>
          <w:tcPr/>
          <w:p>
            <w:pPr>
              <w:pStyle w:val="Compact"/>
              <w:jc w:val="left"/>
            </w:pPr>
            <w:r>
              <w:t xml:space="preserve">-0.006</w:t>
            </w:r>
          </w:p>
        </w:tc>
        <w:tc>
          <w:tcPr/>
          <w:p>
            <w:pPr>
              <w:pStyle w:val="Compact"/>
              <w:jc w:val="left"/>
            </w:pPr>
            <w:r>
              <w:t xml:space="preserve">0.000</w:t>
            </w:r>
          </w:p>
        </w:tc>
        <w:tc>
          <w:tcPr/>
          <w:p>
            <w:pPr>
              <w:pStyle w:val="Compact"/>
              <w:jc w:val="left"/>
            </w:pPr>
            <w:r>
              <w:t xml:space="preserve">-0.005</w:t>
            </w:r>
          </w:p>
        </w:tc>
      </w:tr>
      <w:tr>
        <w:tc>
          <w:tcPr/>
          <w:p>
            <w:pPr>
              <w:pStyle w:val="Compact"/>
            </w:pPr>
          </w:p>
        </w:tc>
        <w:tc>
          <w:tcPr/>
          <w:p>
            <w:pPr>
              <w:pStyle w:val="Compact"/>
              <w:jc w:val="left"/>
            </w:pPr>
            <w:r>
              <w:t xml:space="preserve">(0.004)</w:t>
            </w:r>
          </w:p>
        </w:tc>
        <w:tc>
          <w:tcPr/>
          <w:p>
            <w:pPr>
              <w:pStyle w:val="Compact"/>
              <w:jc w:val="left"/>
            </w:pPr>
            <w:r>
              <w:t xml:space="preserve">(0.004)</w:t>
            </w: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(0.003)</w:t>
            </w:r>
          </w:p>
        </w:tc>
        <w:tc>
          <w:tcPr/>
          <w:p>
            <w:pPr>
              <w:pStyle w:val="Compact"/>
              <w:jc w:val="left"/>
            </w:pPr>
            <w:r>
              <w:t xml:space="preserve">(0.004)</w:t>
            </w:r>
          </w:p>
        </w:tc>
      </w:tr>
    </w:tbl>
    <w:p>
      <w:pPr>
        <w:pStyle w:val="BodyText"/>
      </w:pPr>
      <w:r>
        <w:t xml:space="preserve">Notes: Specification as in Table 2; standard errors clustered by state in parentheses.</w:t>
      </w:r>
    </w:p>
    <w:p>
      <w:pPr>
        <w:pStyle w:val="CaptionedFigure"/>
      </w:pPr>
      <w:r>
        <w:drawing>
          <wp:inline>
            <wp:extent cx="5334000" cy="4103076"/>
            <wp:effectExtent b="0" l="0" r="0" t="0"/>
            <wp:docPr descr="" title="" id="44" name="Picture"/>
            <a:graphic>
              <a:graphicData uri="http://schemas.openxmlformats.org/drawingml/2006/picture">
                <pic:pic>
                  <pic:nvPicPr>
                    <pic:cNvPr descr="figures/figR2_groups_sex.png" id="45" name="Picture"/>
                    <pic:cNvPicPr>
                      <a:picLocks noChangeArrowheads="1" noChangeAspect="1"/>
                    </pic:cNvPicPr>
                  </pic:nvPicPr>
                  <pic:blipFill>
                    <a:blip r:embed="rId43"/>
                    <a:stretch>
                      <a:fillRect/>
                    </a:stretch>
                  </pic:blipFill>
                  <pic:spPr bwMode="auto">
                    <a:xfrm>
                      <a:off x="0" y="0"/>
                      <a:ext cx="5334000" cy="4103076"/>
                    </a:xfrm>
                    <a:prstGeom prst="rect">
                      <a:avLst/>
                    </a:prstGeom>
                    <a:noFill/>
                    <a:ln w="9525">
                      <a:noFill/>
                      <a:headEnd/>
                      <a:tailEnd/>
                    </a:ln>
                  </pic:spPr>
                </pic:pic>
              </a:graphicData>
            </a:graphic>
          </wp:inline>
        </w:drawing>
      </w:r>
    </w:p>
    <w:p>
      <w:pPr>
        <w:pStyle w:val="ImageCaption"/>
      </w:pPr>
      <w:r>
        <w:t xml:space="preserve">Figure 5: Event-time effects on the four school–work shares by sex, ages 16–19</w:t>
      </w:r>
    </w:p>
    <w:bookmarkEnd w:id="46"/>
    <w:bookmarkStart w:id="50" w:name="school-and-work-by-race"/>
    <w:p>
      <w:pPr>
        <w:pStyle w:val="Heading2"/>
      </w:pPr>
      <w:r>
        <w:t xml:space="preserve">5.4 School and work by race</w:t>
      </w:r>
    </w:p>
    <w:p>
      <w:pPr>
        <w:pStyle w:val="FirstParagraph"/>
      </w:pPr>
      <w:r>
        <w:t xml:space="preserve">Non-Hispanic white teens are 53 percent of 16–19 year olds over 2010–2026; the rest are Hispanic (half of the non-white group), Black (a third) and other. The two groups enrol at the same rate, 75 percent, but white teens are employed at 35 percent against 25 percent for non-white teens, and the share neither in school nor at work is 11 against 14 percent. Non-white teens are concentrated in the jurisdictions that raised their minimums, the large states of the West and Northeast and the big-city counties, so they carry more of the weight in the treated population than in the controls, and their families have lower incomes on average, so the liquidity channel, if it operates, should show among them. Appendix Tables 21 and 22 give the post-event averages by race and age, Table 5 the stacked coefficients, and Figure 6 the event-time coefficients for the pooled ages.</w:t>
      </w:r>
    </w:p>
    <w:p>
      <w:pPr>
        <w:pStyle w:val="BodyText"/>
      </w:pPr>
      <w:r>
        <w:t xml:space="preserve">Nothing differs by race. For white teens the four shares change by</w:t>
      </w:r>
      <w:r>
        <w:t xml:space="preserve"> </w:t>
      </w:r>
      <m:oMath>
        <m:r>
          <m:rPr>
            <m:sty m:val="p"/>
          </m:rPr>
          <m:t>+</m:t>
        </m:r>
        <m:r>
          <m:t>0.3</m:t>
        </m:r>
      </m:oMath>
      <w:r>
        <w:t xml:space="preserve"> </w:t>
      </w:r>
      <w:r>
        <w:t xml:space="preserve">(s.e. 0.7),</w:t>
      </w:r>
      <w:r>
        <w:t xml:space="preserve"> </w:t>
      </w:r>
      <m:oMath>
        <m:r>
          <m:rPr>
            <m:sty m:val="p"/>
          </m:rPr>
          <m:t>−</m:t>
        </m:r>
        <m:r>
          <m:t>0.2</m:t>
        </m:r>
      </m:oMath>
      <w:r>
        <w:t xml:space="preserve"> </w:t>
      </w:r>
      <w:r>
        <w:t xml:space="preserve">(0.7),</w:t>
      </w:r>
      <w:r>
        <w:t xml:space="preserve"> </w:t>
      </w:r>
      <m:oMath>
        <m:r>
          <m:rPr>
            <m:sty m:val="p"/>
          </m:rPr>
          <m:t>+</m:t>
        </m:r>
        <m:r>
          <m:t>0.2</m:t>
        </m:r>
      </m:oMath>
      <w:r>
        <w:t xml:space="preserve"> </w:t>
      </w:r>
      <w:r>
        <w:t xml:space="preserve">(0.4) and</w:t>
      </w:r>
      <w:r>
        <w:t xml:space="preserve"> </w:t>
      </w:r>
      <m:oMath>
        <m:r>
          <m:rPr>
            <m:sty m:val="p"/>
          </m:rPr>
          <m:t>−</m:t>
        </m:r>
        <m:r>
          <m:t>0.3</m:t>
        </m:r>
      </m:oMath>
      <w:r>
        <w:t xml:space="preserve"> </w:t>
      </w:r>
      <w:r>
        <w:t xml:space="preserve">(0.5) at 16–17 and by</w:t>
      </w:r>
      <w:r>
        <w:t xml:space="preserve"> </w:t>
      </w:r>
      <m:oMath>
        <m:r>
          <m:rPr>
            <m:sty m:val="p"/>
          </m:rPr>
          <m:t>+</m:t>
        </m:r>
        <m:r>
          <m:t>0.0</m:t>
        </m:r>
      </m:oMath>
      <w:r>
        <w:t xml:space="preserve"> </w:t>
      </w:r>
      <w:r>
        <w:t xml:space="preserve">(1.0),</w:t>
      </w:r>
      <w:r>
        <w:t xml:space="preserve"> </w:t>
      </w:r>
      <m:oMath>
        <m:r>
          <m:rPr>
            <m:sty m:val="p"/>
          </m:rPr>
          <m:t>−</m:t>
        </m:r>
        <m:r>
          <m:t>0.9</m:t>
        </m:r>
      </m:oMath>
      <w:r>
        <w:t xml:space="preserve"> </w:t>
      </w:r>
      <w:r>
        <w:t xml:space="preserve">(0.8),</w:t>
      </w:r>
      <w:r>
        <w:t xml:space="preserve"> </w:t>
      </w:r>
      <m:oMath>
        <m:r>
          <m:rPr>
            <m:sty m:val="p"/>
          </m:rPr>
          <m:t>+</m:t>
        </m:r>
        <m:r>
          <m:t>0.6</m:t>
        </m:r>
      </m:oMath>
      <w:r>
        <w:t xml:space="preserve"> </w:t>
      </w:r>
      <w:r>
        <w:t xml:space="preserve">(1.0) and</w:t>
      </w:r>
      <w:r>
        <w:t xml:space="preserve"> </w:t>
      </w:r>
      <m:oMath>
        <m:r>
          <m:rPr>
            <m:sty m:val="p"/>
          </m:rPr>
          <m:t>+</m:t>
        </m:r>
        <m:r>
          <m:t>0.3</m:t>
        </m:r>
      </m:oMath>
      <w:r>
        <w:t xml:space="preserve"> </w:t>
      </w:r>
      <w:r>
        <w:t xml:space="preserve">(0.7) at 18–19; for non-white teens by</w:t>
      </w:r>
      <w:r>
        <w:t xml:space="preserve"> </w:t>
      </w:r>
      <m:oMath>
        <m:r>
          <m:rPr>
            <m:sty m:val="p"/>
          </m:rPr>
          <m:t>−</m:t>
        </m:r>
        <m:r>
          <m:t>1.2</m:t>
        </m:r>
      </m:oMath>
      <w:r>
        <w:t xml:space="preserve"> </w:t>
      </w:r>
      <w:r>
        <w:t xml:space="preserve">(0.7),</w:t>
      </w:r>
      <w:r>
        <w:t xml:space="preserve"> </w:t>
      </w:r>
      <m:oMath>
        <m:r>
          <m:rPr>
            <m:sty m:val="p"/>
          </m:rPr>
          <m:t>+</m:t>
        </m:r>
        <m:r>
          <m:t>0.7</m:t>
        </m:r>
      </m:oMath>
      <w:r>
        <w:t xml:space="preserve"> </w:t>
      </w:r>
      <w:r>
        <w:t xml:space="preserve">(1.2),</w:t>
      </w:r>
      <w:r>
        <w:t xml:space="preserve"> </w:t>
      </w:r>
      <m:oMath>
        <m:r>
          <m:rPr>
            <m:sty m:val="p"/>
          </m:rPr>
          <m:t>+</m:t>
        </m:r>
        <m:r>
          <m:t>0.1</m:t>
        </m:r>
      </m:oMath>
      <w:r>
        <w:t xml:space="preserve"> </w:t>
      </w:r>
      <w:r>
        <w:t xml:space="preserve">(0.4) and</w:t>
      </w:r>
      <w:r>
        <w:t xml:space="preserve"> </w:t>
      </w:r>
      <m:oMath>
        <m:r>
          <m:rPr>
            <m:sty m:val="p"/>
          </m:rPr>
          <m:t>+</m:t>
        </m:r>
        <m:r>
          <m:t>0.3</m:t>
        </m:r>
      </m:oMath>
      <w:r>
        <w:t xml:space="preserve"> </w:t>
      </w:r>
      <w:r>
        <w:t xml:space="preserve">(0.5), and by</w:t>
      </w:r>
      <w:r>
        <w:t xml:space="preserve"> </w:t>
      </w:r>
      <m:oMath>
        <m:r>
          <m:rPr>
            <m:sty m:val="p"/>
          </m:rPr>
          <m:t>+</m:t>
        </m:r>
        <m:r>
          <m:t>1.1</m:t>
        </m:r>
      </m:oMath>
      <w:r>
        <w:t xml:space="preserve"> </w:t>
      </w:r>
      <w:r>
        <w:t xml:space="preserve">(0.7),</w:t>
      </w:r>
      <w:r>
        <w:t xml:space="preserve"> </w:t>
      </w:r>
      <m:oMath>
        <m:r>
          <m:rPr>
            <m:sty m:val="p"/>
          </m:rPr>
          <m:t>+</m:t>
        </m:r>
        <m:r>
          <m:t>0.2</m:t>
        </m:r>
      </m:oMath>
      <w:r>
        <w:t xml:space="preserve"> </w:t>
      </w:r>
      <w:r>
        <w:t xml:space="preserve">(1.1),</w:t>
      </w:r>
      <w:r>
        <w:t xml:space="preserve"> </w:t>
      </w:r>
      <m:oMath>
        <m:r>
          <m:rPr>
            <m:sty m:val="p"/>
          </m:rPr>
          <m:t>−</m:t>
        </m:r>
        <m:r>
          <m:t>0.0</m:t>
        </m:r>
      </m:oMath>
      <w:r>
        <w:t xml:space="preserve"> </w:t>
      </w:r>
      <w:r>
        <w:t xml:space="preserve">(1.0) and</w:t>
      </w:r>
      <w:r>
        <w:t xml:space="preserve"> </w:t>
      </w:r>
      <m:oMath>
        <m:r>
          <m:rPr>
            <m:sty m:val="p"/>
          </m:rPr>
          <m:t>−</m:t>
        </m:r>
        <m:r>
          <m:t>1.2</m:t>
        </m:r>
      </m:oMath>
      <w:r>
        <w:t xml:space="preserve"> </w:t>
      </w:r>
      <w:r>
        <w:t xml:space="preserve">(0.8). Enrollment of non-white teens changes by</w:t>
      </w:r>
      <w:r>
        <w:t xml:space="preserve"> </w:t>
      </w:r>
      <m:oMath>
        <m:r>
          <m:rPr>
            <m:sty m:val="p"/>
          </m:rPr>
          <m:t>−</m:t>
        </m:r>
        <m:r>
          <m:t>0.4</m:t>
        </m:r>
      </m:oMath>
      <w:r>
        <w:t xml:space="preserve"> </w:t>
      </w:r>
      <w:r>
        <w:t xml:space="preserve">(0.7) at 16–17 and</w:t>
      </w:r>
      <w:r>
        <w:t xml:space="preserve"> </w:t>
      </w:r>
      <m:oMath>
        <m:r>
          <m:rPr>
            <m:sty m:val="p"/>
          </m:rPr>
          <m:t>+</m:t>
        </m:r>
        <m:r>
          <m:t>1.2</m:t>
        </m:r>
      </m:oMath>
      <w:r>
        <w:t xml:space="preserve"> </w:t>
      </w:r>
      <w:r>
        <w:t xml:space="preserve">(1.0) at 18–19, employment by</w:t>
      </w:r>
      <w:r>
        <w:t xml:space="preserve"> </w:t>
      </w:r>
      <m:oMath>
        <m:r>
          <m:rPr>
            <m:sty m:val="p"/>
          </m:rPr>
          <m:t>−</m:t>
        </m:r>
        <m:r>
          <m:t>1.1</m:t>
        </m:r>
      </m:oMath>
      <w:r>
        <w:t xml:space="preserve"> </w:t>
      </w:r>
      <w:r>
        <w:t xml:space="preserve">(0.9) and</w:t>
      </w:r>
      <w:r>
        <w:t xml:space="preserve"> </w:t>
      </w:r>
      <m:oMath>
        <m:r>
          <m:rPr>
            <m:sty m:val="p"/>
          </m:rPr>
          <m:t>+</m:t>
        </m:r>
        <m:r>
          <m:t>1.0</m:t>
        </m:r>
      </m:oMath>
      <w:r>
        <w:t xml:space="preserve"> </w:t>
      </w:r>
      <w:r>
        <w:t xml:space="preserve">(1.3), and the pooled estimates are within half a point of zero for every share. The non-white enrolled-and-employed estimate at 16–17 has the sign of the girls’ estimate of Section 5.3, but it is under two standard errors, its pre-event average is</w:t>
      </w:r>
      <w:r>
        <w:t xml:space="preserve"> </w:t>
      </w:r>
      <m:oMath>
        <m:r>
          <m:rPr>
            <m:sty m:val="p"/>
          </m:rPr>
          <m:t>−</m:t>
        </m:r>
        <m:r>
          <m:t>0.3</m:t>
        </m:r>
      </m:oMath>
      <w:r>
        <w:t xml:space="preserve">, and the enrolled-only estimate beside it is</w:t>
      </w:r>
      <w:r>
        <w:t xml:space="preserve"> </w:t>
      </w:r>
      <m:oMath>
        <m:r>
          <m:rPr>
            <m:sty m:val="p"/>
          </m:rPr>
          <m:t>+</m:t>
        </m:r>
        <m:r>
          <m:t>0.7</m:t>
        </m:r>
      </m:oMath>
      <w:r>
        <w:t xml:space="preserve"> </w:t>
      </w:r>
      <w:r>
        <w:t xml:space="preserve">(1.2). The liquidity channel’s prediction, a rise in enrollment among the group with lower family incomes, does not appear: the non-white enrollment interval at 16–17 excludes a rise larger than 1.0 point. The stacked coefficients (Table 5) agree. At 16–17 the white shares change by</w:t>
      </w:r>
      <w:r>
        <w:t xml:space="preserve"> </w:t>
      </w:r>
      <m:oMath>
        <m:r>
          <m:rPr>
            <m:sty m:val="p"/>
          </m:rPr>
          <m:t>+</m:t>
        </m:r>
        <m:r>
          <m:t>0.3</m:t>
        </m:r>
      </m:oMath>
      <w:r>
        <w:t xml:space="preserve"> </w:t>
      </w:r>
      <w:r>
        <w:t xml:space="preserve">(s.e. 0.6),</w:t>
      </w:r>
      <w:r>
        <w:t xml:space="preserve"> </w:t>
      </w:r>
      <m:oMath>
        <m:r>
          <m:rPr>
            <m:sty m:val="p"/>
          </m:rPr>
          <m:t>−</m:t>
        </m:r>
        <m:r>
          <m:t>0.4</m:t>
        </m:r>
      </m:oMath>
      <w:r>
        <w:t xml:space="preserve"> </w:t>
      </w:r>
      <w:r>
        <w:t xml:space="preserve">(0.7),</w:t>
      </w:r>
      <w:r>
        <w:t xml:space="preserve"> </w:t>
      </w:r>
      <m:oMath>
        <m:r>
          <m:rPr>
            <m:sty m:val="p"/>
          </m:rPr>
          <m:t>+</m:t>
        </m:r>
        <m:r>
          <m:t>0.2</m:t>
        </m:r>
      </m:oMath>
      <w:r>
        <w:t xml:space="preserve"> </w:t>
      </w:r>
      <w:r>
        <w:t xml:space="preserve">(0.3) and</w:t>
      </w:r>
      <w:r>
        <w:t xml:space="preserve"> </w:t>
      </w:r>
      <m:oMath>
        <m:r>
          <m:rPr>
            <m:sty m:val="p"/>
          </m:rPr>
          <m:t>−</m:t>
        </m:r>
        <m:r>
          <m:t>0.1</m:t>
        </m:r>
      </m:oMath>
      <w:r>
        <w:t xml:space="preserve"> </w:t>
      </w:r>
      <w:r>
        <w:t xml:space="preserve">(0.4), and the non-white shares by</w:t>
      </w:r>
      <w:r>
        <w:t xml:space="preserve"> </w:t>
      </w:r>
      <m:oMath>
        <m:r>
          <m:rPr>
            <m:sty m:val="p"/>
          </m:rPr>
          <m:t>−</m:t>
        </m:r>
        <m:r>
          <m:t>0.6</m:t>
        </m:r>
      </m:oMath>
      <w:r>
        <w:t xml:space="preserve"> </w:t>
      </w:r>
      <w:r>
        <w:t xml:space="preserve">(0.6),</w:t>
      </w:r>
      <w:r>
        <w:t xml:space="preserve"> </w:t>
      </w:r>
      <m:oMath>
        <m:r>
          <m:rPr>
            <m:sty m:val="p"/>
          </m:rPr>
          <m:t>+</m:t>
        </m:r>
        <m:r>
          <m:t>0.6</m:t>
        </m:r>
      </m:oMath>
      <w:r>
        <w:t xml:space="preserve"> </w:t>
      </w:r>
      <w:r>
        <w:t xml:space="preserve">(0.8),</w:t>
      </w:r>
      <w:r>
        <w:t xml:space="preserve"> </w:t>
      </w:r>
      <m:oMath>
        <m:r>
          <m:rPr>
            <m:sty m:val="p"/>
          </m:rPr>
          <m:t>+</m:t>
        </m:r>
        <m:r>
          <m:t>0.3</m:t>
        </m:r>
      </m:oMath>
      <w:r>
        <w:t xml:space="preserve"> </w:t>
      </w:r>
      <w:r>
        <w:t xml:space="preserve">(0.4) and</w:t>
      </w:r>
      <w:r>
        <w:t xml:space="preserve"> </w:t>
      </w:r>
      <m:oMath>
        <m:r>
          <m:rPr>
            <m:sty m:val="p"/>
          </m:rPr>
          <m:t>−</m:t>
        </m:r>
        <m:r>
          <m:t>0.3</m:t>
        </m:r>
      </m:oMath>
      <w:r>
        <w:t xml:space="preserve"> </w:t>
      </w:r>
      <w:r>
        <w:t xml:space="preserve">(0.3). The one coefficient beyond two standard errors is non-white enrolled-and-employed at 18–19,</w:t>
      </w:r>
      <w:r>
        <w:t xml:space="preserve"> </w:t>
      </w:r>
      <m:oMath>
        <m:r>
          <m:rPr>
            <m:sty m:val="p"/>
          </m:rPr>
          <m:t>+</m:t>
        </m:r>
        <m:r>
          <m:t>1.4</m:t>
        </m:r>
      </m:oMath>
      <w:r>
        <w:t xml:space="preserve"> </w:t>
      </w:r>
      <w:r>
        <w:t xml:space="preserve">(0.4), a rise, beside</w:t>
      </w:r>
      <w:r>
        <w:t xml:space="preserve"> </w:t>
      </w:r>
      <m:oMath>
        <m:r>
          <m:rPr>
            <m:sty m:val="p"/>
          </m:rPr>
          <m:t>−</m:t>
        </m:r>
        <m:r>
          <m:t>0.8</m:t>
        </m:r>
      </m:oMath>
      <w:r>
        <w:t xml:space="preserve"> </w:t>
      </w:r>
      <w:r>
        <w:t xml:space="preserve">(0.7) for white teens.</w:t>
      </w:r>
    </w:p>
    <w:p>
      <w:pPr>
        <w:pStyle w:val="TableCaption"/>
      </w:pPr>
      <w:r>
        <w:t xml:space="preserve">Table 5: Stacked difference-in-differences estimates for school–work status by race</w:t>
      </w:r>
    </w:p>
    <w:tbl>
      <w:tblPr>
        <w:tblStyle w:val="Table"/>
        <w:tblW w:type="dxa" w:w="9360"/>
        <w:tblLook w:firstRow="0" w:lastRow="0" w:firstColumn="0" w:lastColumn="0" w:noHBand="0" w:noVBand="0" w:val="0000"/>
        <w:jc w:val="start"/>
        <w:tblCaption w:val="Table 5: Stacked difference-in-differences estimates for school–work status by race"/>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White</w:t>
            </w:r>
          </w:p>
        </w:tc>
        <w:tc>
          <w:tcPr/>
          <w:p>
            <w:pPr>
              <w:pStyle w:val="Compact"/>
              <w:jc w:val="left"/>
            </w:pPr>
            <w:r>
              <w:t xml:space="preserve">Non-white</w:t>
            </w:r>
          </w:p>
        </w:tc>
        <w:tc>
          <w:tcPr/>
          <w:p>
            <w:pPr>
              <w:pStyle w:val="Compact"/>
              <w:jc w:val="left"/>
            </w:pPr>
            <w:r>
              <w:t xml:space="preserve">White</w:t>
            </w:r>
          </w:p>
        </w:tc>
        <w:tc>
          <w:tcPr/>
          <w:p>
            <w:pPr>
              <w:pStyle w:val="Compact"/>
              <w:jc w:val="left"/>
            </w:pPr>
            <w:r>
              <w:t xml:space="preserve">Non-white</w:t>
            </w:r>
          </w:p>
        </w:tc>
        <w:tc>
          <w:tcPr/>
          <w:p>
            <w:pPr>
              <w:pStyle w:val="Compact"/>
              <w:jc w:val="left"/>
            </w:pPr>
            <w:r>
              <w:t xml:space="preserve">White</w:t>
            </w:r>
          </w:p>
        </w:tc>
        <w:tc>
          <w:tcPr/>
          <w:p>
            <w:pPr>
              <w:pStyle w:val="Compact"/>
              <w:jc w:val="left"/>
            </w:pPr>
            <w:r>
              <w:t xml:space="preserve">Non-white</w:t>
            </w:r>
          </w:p>
        </w:tc>
      </w:tr>
      <w:tr>
        <w:tc>
          <w:tcPr/>
          <w:p>
            <w:pPr>
              <w:pStyle w:val="Compact"/>
              <w:jc w:val="left"/>
            </w:pPr>
            <w:r>
              <w:t xml:space="preserve">Enrolled and employed</w:t>
            </w:r>
          </w:p>
        </w:tc>
        <w:tc>
          <w:tcPr/>
          <w:p>
            <w:pPr>
              <w:pStyle w:val="Compact"/>
              <w:jc w:val="left"/>
            </w:pPr>
            <w:r>
              <w:t xml:space="preserve">0.003</w:t>
            </w:r>
          </w:p>
        </w:tc>
        <w:tc>
          <w:tcPr/>
          <w:p>
            <w:pPr>
              <w:pStyle w:val="Compact"/>
              <w:jc w:val="left"/>
            </w:pPr>
            <w:r>
              <w:t xml:space="preserve">-0.006</w:t>
            </w:r>
          </w:p>
        </w:tc>
        <w:tc>
          <w:tcPr/>
          <w:p>
            <w:pPr>
              <w:pStyle w:val="Compact"/>
              <w:jc w:val="left"/>
            </w:pPr>
            <w:r>
              <w:t xml:space="preserve">-0.008</w:t>
            </w:r>
          </w:p>
        </w:tc>
        <w:tc>
          <w:tcPr/>
          <w:p>
            <w:pPr>
              <w:pStyle w:val="Compact"/>
              <w:jc w:val="left"/>
            </w:pPr>
            <w:r>
              <w:t xml:space="preserve">0.014</w:t>
            </w:r>
            <w:r>
              <w:rPr>
                <w:vertAlign w:val="superscript"/>
              </w:rPr>
              <w:t xml:space="preserve">***</w:t>
            </w:r>
          </w:p>
        </w:tc>
        <w:tc>
          <w:tcPr/>
          <w:p>
            <w:pPr>
              <w:pStyle w:val="Compact"/>
              <w:jc w:val="left"/>
            </w:pPr>
            <w:r>
              <w:t xml:space="preserve">-0.003</w:t>
            </w:r>
          </w:p>
        </w:tc>
        <w:tc>
          <w:tcPr/>
          <w:p>
            <w:pPr>
              <w:pStyle w:val="Compact"/>
              <w:jc w:val="left"/>
            </w:pPr>
            <w:r>
              <w:t xml:space="preserve">0.004</w:t>
            </w:r>
          </w:p>
        </w:tc>
      </w:tr>
      <w:tr>
        <w:tc>
          <w:tcPr/>
          <w:p>
            <w:pPr>
              <w:pStyle w:val="Compact"/>
            </w:pPr>
          </w:p>
        </w:tc>
        <w:tc>
          <w:tcPr/>
          <w:p>
            <w:pPr>
              <w:pStyle w:val="Compact"/>
              <w:jc w:val="left"/>
            </w:pPr>
            <w:r>
              <w:t xml:space="preserve">(0.006)</w:t>
            </w:r>
          </w:p>
        </w:tc>
        <w:tc>
          <w:tcPr/>
          <w:p>
            <w:pPr>
              <w:pStyle w:val="Compact"/>
              <w:jc w:val="left"/>
            </w:pPr>
            <w:r>
              <w:t xml:space="preserve">(0.006)</w:t>
            </w:r>
          </w:p>
        </w:tc>
        <w:tc>
          <w:tcPr/>
          <w:p>
            <w:pPr>
              <w:pStyle w:val="Compact"/>
              <w:jc w:val="left"/>
            </w:pPr>
            <w:r>
              <w:t xml:space="preserve">(0.007)</w:t>
            </w:r>
          </w:p>
        </w:tc>
        <w:tc>
          <w:tcPr/>
          <w:p>
            <w:pPr>
              <w:pStyle w:val="Compact"/>
              <w:jc w:val="left"/>
            </w:pPr>
            <w:r>
              <w:t xml:space="preserve">(0.004)</w:t>
            </w:r>
          </w:p>
        </w:tc>
        <w:tc>
          <w:tcPr/>
          <w:p>
            <w:pPr>
              <w:pStyle w:val="Compact"/>
              <w:jc w:val="left"/>
            </w:pPr>
            <w:r>
              <w:t xml:space="preserve">(0.005)</w:t>
            </w:r>
          </w:p>
        </w:tc>
        <w:tc>
          <w:tcPr/>
          <w:p>
            <w:pPr>
              <w:pStyle w:val="Compact"/>
              <w:jc w:val="left"/>
            </w:pPr>
            <w:r>
              <w:t xml:space="preserve">(0.004)</w:t>
            </w:r>
          </w:p>
        </w:tc>
      </w:tr>
      <w:tr>
        <w:tc>
          <w:tcPr/>
          <w:p>
            <w:pPr>
              <w:pStyle w:val="Compact"/>
              <w:jc w:val="left"/>
            </w:pPr>
            <w:r>
              <w:t xml:space="preserve">Enrolled only</w:t>
            </w:r>
          </w:p>
        </w:tc>
        <w:tc>
          <w:tcPr/>
          <w:p>
            <w:pPr>
              <w:pStyle w:val="Compact"/>
              <w:jc w:val="left"/>
            </w:pPr>
            <w:r>
              <w:t xml:space="preserve">-0.004</w:t>
            </w:r>
          </w:p>
        </w:tc>
        <w:tc>
          <w:tcPr/>
          <w:p>
            <w:pPr>
              <w:pStyle w:val="Compact"/>
              <w:jc w:val="left"/>
            </w:pPr>
            <w:r>
              <w:t xml:space="preserve">0.006</w:t>
            </w:r>
          </w:p>
        </w:tc>
        <w:tc>
          <w:tcPr/>
          <w:p>
            <w:pPr>
              <w:pStyle w:val="Compact"/>
              <w:jc w:val="left"/>
            </w:pPr>
            <w:r>
              <w:t xml:space="preserve">-0.005</w:t>
            </w:r>
          </w:p>
        </w:tc>
        <w:tc>
          <w:tcPr/>
          <w:p>
            <w:pPr>
              <w:pStyle w:val="Compact"/>
              <w:jc w:val="left"/>
            </w:pPr>
            <w:r>
              <w:t xml:space="preserve">-0.003</w:t>
            </w:r>
          </w:p>
        </w:tc>
        <w:tc>
          <w:tcPr/>
          <w:p>
            <w:pPr>
              <w:pStyle w:val="Compact"/>
              <w:jc w:val="left"/>
            </w:pPr>
            <w:r>
              <w:t xml:space="preserve">-0.005</w:t>
            </w:r>
          </w:p>
        </w:tc>
        <w:tc>
          <w:tcPr/>
          <w:p>
            <w:pPr>
              <w:pStyle w:val="Compact"/>
              <w:jc w:val="left"/>
            </w:pPr>
            <w:r>
              <w:t xml:space="preserve">0.001</w:t>
            </w:r>
          </w:p>
        </w:tc>
      </w:tr>
      <w:tr>
        <w:tc>
          <w:tcPr/>
          <w:p>
            <w:pPr>
              <w:pStyle w:val="Compact"/>
            </w:pPr>
          </w:p>
        </w:tc>
        <w:tc>
          <w:tcPr/>
          <w:p>
            <w:pPr>
              <w:pStyle w:val="Compact"/>
              <w:jc w:val="left"/>
            </w:pPr>
            <w:r>
              <w:t xml:space="preserve">(0.007)</w:t>
            </w:r>
          </w:p>
        </w:tc>
        <w:tc>
          <w:tcPr/>
          <w:p>
            <w:pPr>
              <w:pStyle w:val="Compact"/>
              <w:jc w:val="left"/>
            </w:pPr>
            <w:r>
              <w:t xml:space="preserve">(0.008)</w:t>
            </w:r>
          </w:p>
        </w:tc>
        <w:tc>
          <w:tcPr/>
          <w:p>
            <w:pPr>
              <w:pStyle w:val="Compact"/>
              <w:jc w:val="left"/>
            </w:pPr>
            <w:r>
              <w:t xml:space="preserve">(0.008)</w:t>
            </w:r>
          </w:p>
        </w:tc>
        <w:tc>
          <w:tcPr/>
          <w:p>
            <w:pPr>
              <w:pStyle w:val="Compact"/>
              <w:jc w:val="left"/>
            </w:pPr>
            <w:r>
              <w:t xml:space="preserve">(0.009)</w:t>
            </w:r>
          </w:p>
        </w:tc>
        <w:tc>
          <w:tcPr/>
          <w:p>
            <w:pPr>
              <w:pStyle w:val="Compact"/>
              <w:jc w:val="left"/>
            </w:pPr>
            <w:r>
              <w:t xml:space="preserve">(0.006)</w:t>
            </w:r>
          </w:p>
        </w:tc>
        <w:tc>
          <w:tcPr/>
          <w:p>
            <w:pPr>
              <w:pStyle w:val="Compact"/>
              <w:jc w:val="left"/>
            </w:pPr>
            <w:r>
              <w:t xml:space="preserve">(0.007)</w:t>
            </w:r>
          </w:p>
        </w:tc>
      </w:tr>
      <w:tr>
        <w:tc>
          <w:tcPr/>
          <w:p>
            <w:pPr>
              <w:pStyle w:val="Compact"/>
              <w:jc w:val="left"/>
            </w:pPr>
            <w:r>
              <w:t xml:space="preserve">Employed only</w:t>
            </w:r>
          </w:p>
        </w:tc>
        <w:tc>
          <w:tcPr/>
          <w:p>
            <w:pPr>
              <w:pStyle w:val="Compact"/>
              <w:jc w:val="left"/>
            </w:pPr>
            <w:r>
              <w:t xml:space="preserve">0.002</w:t>
            </w:r>
          </w:p>
        </w:tc>
        <w:tc>
          <w:tcPr/>
          <w:p>
            <w:pPr>
              <w:pStyle w:val="Compact"/>
              <w:jc w:val="left"/>
            </w:pPr>
            <w:r>
              <w:t xml:space="preserve">0.003</w:t>
            </w:r>
          </w:p>
        </w:tc>
        <w:tc>
          <w:tcPr/>
          <w:p>
            <w:pPr>
              <w:pStyle w:val="Compact"/>
              <w:jc w:val="left"/>
            </w:pPr>
            <w:r>
              <w:t xml:space="preserve">0.011</w:t>
            </w:r>
          </w:p>
        </w:tc>
        <w:tc>
          <w:tcPr/>
          <w:p>
            <w:pPr>
              <w:pStyle w:val="Compact"/>
              <w:jc w:val="left"/>
            </w:pPr>
            <w:r>
              <w:t xml:space="preserve">-0.005</w:t>
            </w:r>
          </w:p>
        </w:tc>
        <w:tc>
          <w:tcPr/>
          <w:p>
            <w:pPr>
              <w:pStyle w:val="Compact"/>
              <w:jc w:val="left"/>
            </w:pPr>
            <w:r>
              <w:t xml:space="preserve">0.007</w:t>
            </w:r>
          </w:p>
        </w:tc>
        <w:tc>
          <w:tcPr/>
          <w:p>
            <w:pPr>
              <w:pStyle w:val="Compact"/>
              <w:jc w:val="left"/>
            </w:pPr>
            <w:r>
              <w:t xml:space="preserve">-0.000</w:t>
            </w:r>
          </w:p>
        </w:tc>
      </w:tr>
      <w:tr>
        <w:tc>
          <w:tcPr/>
          <w:p>
            <w:pPr>
              <w:pStyle w:val="Compact"/>
            </w:pPr>
          </w:p>
        </w:tc>
        <w:tc>
          <w:tcPr/>
          <w:p>
            <w:pPr>
              <w:pStyle w:val="Compact"/>
              <w:jc w:val="left"/>
            </w:pPr>
            <w:r>
              <w:t xml:space="preserve">(0.003)</w:t>
            </w:r>
          </w:p>
        </w:tc>
        <w:tc>
          <w:tcPr/>
          <w:p>
            <w:pPr>
              <w:pStyle w:val="Compact"/>
              <w:jc w:val="left"/>
            </w:pPr>
            <w:r>
              <w:t xml:space="preserve">(0.004)</w:t>
            </w:r>
          </w:p>
        </w:tc>
        <w:tc>
          <w:tcPr/>
          <w:p>
            <w:pPr>
              <w:pStyle w:val="Compact"/>
              <w:jc w:val="left"/>
            </w:pPr>
            <w:r>
              <w:t xml:space="preserve">(0.008)</w:t>
            </w:r>
          </w:p>
        </w:tc>
        <w:tc>
          <w:tcPr/>
          <w:p>
            <w:pPr>
              <w:pStyle w:val="Compact"/>
              <w:jc w:val="left"/>
            </w:pPr>
            <w:r>
              <w:t xml:space="preserve">(0.008)</w:t>
            </w:r>
          </w:p>
        </w:tc>
        <w:tc>
          <w:tcPr/>
          <w:p>
            <w:pPr>
              <w:pStyle w:val="Compact"/>
              <w:jc w:val="left"/>
            </w:pPr>
            <w:r>
              <w:t xml:space="preserve">(0.005)</w:t>
            </w:r>
          </w:p>
        </w:tc>
        <w:tc>
          <w:tcPr/>
          <w:p>
            <w:pPr>
              <w:pStyle w:val="Compact"/>
              <w:jc w:val="left"/>
            </w:pPr>
            <w:r>
              <w:t xml:space="preserve">(0.005)</w:t>
            </w:r>
          </w:p>
        </w:tc>
      </w:tr>
      <w:tr>
        <w:tc>
          <w:tcPr/>
          <w:p>
            <w:pPr>
              <w:pStyle w:val="Compact"/>
              <w:jc w:val="left"/>
            </w:pPr>
            <w:r>
              <w:t xml:space="preserve">Neither enrolled nor employed</w:t>
            </w:r>
          </w:p>
        </w:tc>
        <w:tc>
          <w:tcPr/>
          <w:p>
            <w:pPr>
              <w:pStyle w:val="Compact"/>
              <w:jc w:val="left"/>
            </w:pPr>
            <w:r>
              <w:t xml:space="preserve">-0.001</w:t>
            </w:r>
          </w:p>
        </w:tc>
        <w:tc>
          <w:tcPr/>
          <w:p>
            <w:pPr>
              <w:pStyle w:val="Compact"/>
              <w:jc w:val="left"/>
            </w:pPr>
            <w:r>
              <w:t xml:space="preserve">-0.003</w:t>
            </w:r>
          </w:p>
        </w:tc>
        <w:tc>
          <w:tcPr/>
          <w:p>
            <w:pPr>
              <w:pStyle w:val="Compact"/>
              <w:jc w:val="left"/>
            </w:pPr>
            <w:r>
              <w:t xml:space="preserve">0.002</w:t>
            </w:r>
          </w:p>
        </w:tc>
        <w:tc>
          <w:tcPr/>
          <w:p>
            <w:pPr>
              <w:pStyle w:val="Compact"/>
              <w:jc w:val="left"/>
            </w:pPr>
            <w:r>
              <w:t xml:space="preserve">-0.007</w:t>
            </w:r>
          </w:p>
        </w:tc>
        <w:tc>
          <w:tcPr/>
          <w:p>
            <w:pPr>
              <w:pStyle w:val="Compact"/>
              <w:jc w:val="left"/>
            </w:pPr>
            <w:r>
              <w:t xml:space="preserve">0.000</w:t>
            </w:r>
          </w:p>
        </w:tc>
        <w:tc>
          <w:tcPr/>
          <w:p>
            <w:pPr>
              <w:pStyle w:val="Compact"/>
              <w:jc w:val="left"/>
            </w:pPr>
            <w:r>
              <w:t xml:space="preserve">-0.005</w:t>
            </w:r>
          </w:p>
        </w:tc>
      </w:tr>
      <w:tr>
        <w:tc>
          <w:tcPr/>
          <w:p>
            <w:pPr>
              <w:pStyle w:val="Compact"/>
            </w:pPr>
          </w:p>
        </w:tc>
        <w:tc>
          <w:tcPr/>
          <w:p>
            <w:pPr>
              <w:pStyle w:val="Compact"/>
              <w:jc w:val="left"/>
            </w:pPr>
            <w:r>
              <w:t xml:space="preserve">(0.004)</w:t>
            </w:r>
          </w:p>
        </w:tc>
        <w:tc>
          <w:tcPr/>
          <w:p>
            <w:pPr>
              <w:pStyle w:val="Compact"/>
              <w:jc w:val="left"/>
            </w:pPr>
            <w:r>
              <w:t xml:space="preserve">(0.003)</w:t>
            </w:r>
          </w:p>
        </w:tc>
        <w:tc>
          <w:tcPr/>
          <w:p>
            <w:pPr>
              <w:pStyle w:val="Compact"/>
              <w:jc w:val="left"/>
            </w:pPr>
            <w:r>
              <w:t xml:space="preserve">(0.006)</w:t>
            </w:r>
          </w:p>
        </w:tc>
        <w:tc>
          <w:tcPr/>
          <w:p>
            <w:pPr>
              <w:pStyle w:val="Compact"/>
              <w:jc w:val="left"/>
            </w:pPr>
            <w:r>
              <w:t xml:space="preserve">(0.005)</w:t>
            </w:r>
          </w:p>
        </w:tc>
        <w:tc>
          <w:tcPr/>
          <w:p>
            <w:pPr>
              <w:pStyle w:val="Compact"/>
              <w:jc w:val="left"/>
            </w:pPr>
            <w:r>
              <w:t xml:space="preserve">(0.004)</w:t>
            </w:r>
          </w:p>
        </w:tc>
        <w:tc>
          <w:tcPr/>
          <w:p>
            <w:pPr>
              <w:pStyle w:val="Compact"/>
              <w:jc w:val="left"/>
            </w:pPr>
            <w:r>
              <w:t xml:space="preserve">(0.004)</w:t>
            </w:r>
          </w:p>
        </w:tc>
      </w:tr>
    </w:tbl>
    <w:p>
      <w:pPr>
        <w:pStyle w:val="BodyText"/>
      </w:pPr>
      <w:r>
        <w:t xml:space="preserve">Notes: White: non-Hispanic white; Non-white: Black, Hispanic and other. Specification as in Table 2; standard errors clustered by state in parentheses.</w:t>
      </w:r>
    </w:p>
    <w:p>
      <w:pPr>
        <w:pStyle w:val="CaptionedFigure"/>
      </w:pPr>
      <w:r>
        <w:drawing>
          <wp:inline>
            <wp:extent cx="5334000" cy="4103076"/>
            <wp:effectExtent b="0" l="0" r="0" t="0"/>
            <wp:docPr descr="" title="" id="48" name="Picture"/>
            <a:graphic>
              <a:graphicData uri="http://schemas.openxmlformats.org/drawingml/2006/picture">
                <pic:pic>
                  <pic:nvPicPr>
                    <pic:cNvPr descr="figures/figR2_groups_race.png" id="49" name="Picture"/>
                    <pic:cNvPicPr>
                      <a:picLocks noChangeArrowheads="1" noChangeAspect="1"/>
                    </pic:cNvPicPr>
                  </pic:nvPicPr>
                  <pic:blipFill>
                    <a:blip r:embed="rId47"/>
                    <a:stretch>
                      <a:fillRect/>
                    </a:stretch>
                  </pic:blipFill>
                  <pic:spPr bwMode="auto">
                    <a:xfrm>
                      <a:off x="0" y="0"/>
                      <a:ext cx="5334000" cy="4103076"/>
                    </a:xfrm>
                    <a:prstGeom prst="rect">
                      <a:avLst/>
                    </a:prstGeom>
                    <a:noFill/>
                    <a:ln w="9525">
                      <a:noFill/>
                      <a:headEnd/>
                      <a:tailEnd/>
                    </a:ln>
                  </pic:spPr>
                </pic:pic>
              </a:graphicData>
            </a:graphic>
          </wp:inline>
        </w:drawing>
      </w:r>
    </w:p>
    <w:p>
      <w:pPr>
        <w:pStyle w:val="ImageCaption"/>
      </w:pPr>
      <w:r>
        <w:t xml:space="preserve">Figure 6: Event-time effects on the four school–work shares by race, ages 16–19</w:t>
      </w:r>
    </w:p>
    <w:bookmarkEnd w:id="50"/>
    <w:bookmarkStart w:id="54" w:name="wages"/>
    <w:p>
      <w:pPr>
        <w:pStyle w:val="Heading2"/>
      </w:pPr>
      <w:r>
        <w:t xml:space="preserve">5.5 Wages</w:t>
      </w:r>
    </w:p>
    <w:p>
      <w:pPr>
        <w:pStyle w:val="FirstParagraph"/>
      </w:pPr>
      <w:r>
        <w:t xml:space="preserve">Appendix Table 18 and Figure 7 give the effect on teen pay. Among hourly-paid teens in the outgoing rotation groups, the hourly wage in the event units rises relative to controls by 1.8 percent in the year of the increase, 6.8 percent in the first full year after it, 5.5 percent in the second and 7.0 percent in the third for 16–17 year olds, and by 0.7, 3.6, 2.8 and 5.0 percent for 18–19 year olds; pooling the ages, by 0.9, 4.6, 3.6 and 6.0 percent. The post-event averages are 5.3 percent (s.e. 1.2), 3.0 percent (0.9) and 3.8 percent (0.9). The year-0 effect is small because that year averages up to eleven pre-increase months with the first months after, and because most schedules add their later steps in years 1 to 3; from year 1 the wage effect is five to seven standard errors from zero and grows with the schedule. The pre-event coefficients are within about one standard error of zero. Weekly earnings of all teen workers, which combine the wage with hours, rise by 4.9 percent (3.2) at 16–17 and 4.2 percent (2.4) at 18–19, so hours did not fall to offset the wage.</w:t>
      </w:r>
    </w:p>
    <w:p>
      <w:pPr>
        <w:pStyle w:val="BodyText"/>
      </w:pPr>
      <w:r>
        <w:t xml:space="preserve">The wage gain is about a seventh of the rise in the minimum. That is what one expects: a large share of hourly-paid teens already earn above the old minimum, the minimum binds most for the youngest and least experienced, and the hourly wage question is asked only of those paid by the hour. The point for the rest of the paper is that the events moved the pay of teenagers by an amount that is large relative to the precision of the time-allocation estimates, so the nulls of the previous two subsections are not nulls on the treatment.</w:t>
      </w:r>
    </w:p>
    <w:p>
      <w:pPr>
        <w:pStyle w:val="BodyText"/>
      </w:pPr>
      <w:r>
        <w:t xml:space="preserve">The stacked coefficients for the wage (Table 6) are 5.0 percent (s.e. 0.8) at 16–17, 3.2 (0.8) at 18–19 and 4.0 (0.7) pooled, next to the event-study averages of 5.3, 3.0 and 3.8; for weekly earnings they are 5.4 (2.5), 4.8 (1.5) and 5.5 (1.5). The two-way fixed effects elasticity of the teen wage with respect to the minimum, in Appendix C, is about 0.2 at every age, which for the average event implies gains of 5 to 7 percent. Where the treatment has a real effect the designs agree in sign and roughly in size.</w:t>
      </w:r>
    </w:p>
    <w:p>
      <w:pPr>
        <w:pStyle w:val="TableCaption"/>
      </w:pPr>
      <w:r>
        <w:t xml:space="preserve">Table 6: Stacked difference-in-differences estimates for teen wages and earnings, 73 events from 2010</w:t>
      </w:r>
    </w:p>
    <w:tbl>
      <w:tblPr>
        <w:tblStyle w:val="Table"/>
        <w:tblW w:type="dxa" w:w="9360"/>
        <w:tblLook w:firstRow="1" w:lastRow="0" w:firstColumn="0" w:lastColumn="0" w:noHBand="0" w:noVBand="0" w:val="0020"/>
        <w:jc w:val="start"/>
        <w:tblCaption w:val="Table 6: Stacked difference-in-differences estimates for teen wages and earnings, 73 events from 2010"/>
      </w:tblPr>
      <w:tblGrid>
        <w:gridCol w:w="2808"/>
        <w:gridCol w:w="2184"/>
        <w:gridCol w:w="2184"/>
        <w:gridCol w:w="2184"/>
      </w:tblGrid>
      <w:tr>
        <w:trPr>
          <w:tblHeader w:val="true"/>
        </w:trPr>
        <w:tc>
          <w:tcPr/>
          <w:p>
            <w:pPr>
              <w:pStyle w:val="Compact"/>
            </w:pPr>
          </w:p>
        </w:tc>
        <w:tc>
          <w:tcPr/>
          <w:p>
            <w:pPr>
              <w:pStyle w:val="Compact"/>
              <w:jc w:val="left"/>
            </w:pPr>
            <w:r>
              <w:t xml:space="preserve">Ages 16–17</w:t>
            </w:r>
          </w:p>
        </w:tc>
        <w:tc>
          <w:tcPr/>
          <w:p>
            <w:pPr>
              <w:pStyle w:val="Compact"/>
              <w:jc w:val="left"/>
            </w:pPr>
            <w:r>
              <w:t xml:space="preserve">Ages 18–19</w:t>
            </w:r>
          </w:p>
        </w:tc>
        <w:tc>
          <w:tcPr/>
          <w:p>
            <w:pPr>
              <w:pStyle w:val="Compact"/>
              <w:jc w:val="left"/>
            </w:pPr>
            <w:r>
              <w:t xml:space="preserve">Ages 16–19</w:t>
            </w:r>
          </w:p>
        </w:tc>
      </w:tr>
      <w:tr>
        <w:tc>
          <w:tcPr/>
          <w:p>
            <w:pPr>
              <w:pStyle w:val="Compact"/>
              <w:jc w:val="left"/>
            </w:pPr>
            <w:r>
              <w:t xml:space="preserve">Log hourly wage, hourly paid</w:t>
            </w:r>
          </w:p>
        </w:tc>
        <w:tc>
          <w:tcPr/>
          <w:p>
            <w:pPr>
              <w:pStyle w:val="Compact"/>
              <w:jc w:val="left"/>
            </w:pPr>
            <w:r>
              <w:t xml:space="preserve">0.050</w:t>
            </w:r>
            <w:r>
              <w:rPr>
                <w:vertAlign w:val="superscript"/>
              </w:rPr>
              <w:t xml:space="preserve">***</w:t>
            </w:r>
          </w:p>
        </w:tc>
        <w:tc>
          <w:tcPr/>
          <w:p>
            <w:pPr>
              <w:pStyle w:val="Compact"/>
              <w:jc w:val="left"/>
            </w:pPr>
            <w:r>
              <w:t xml:space="preserve">0.032</w:t>
            </w:r>
            <w:r>
              <w:rPr>
                <w:vertAlign w:val="superscript"/>
              </w:rPr>
              <w:t xml:space="preserve">***</w:t>
            </w:r>
          </w:p>
        </w:tc>
        <w:tc>
          <w:tcPr/>
          <w:p>
            <w:pPr>
              <w:pStyle w:val="Compact"/>
              <w:jc w:val="left"/>
            </w:pPr>
            <w:r>
              <w:t xml:space="preserve">0.040</w:t>
            </w:r>
            <w:r>
              <w:rPr>
                <w:vertAlign w:val="superscript"/>
              </w:rPr>
              <w:t xml:space="preserve">***</w:t>
            </w:r>
          </w:p>
        </w:tc>
      </w:tr>
      <w:tr>
        <w:tc>
          <w:tcPr/>
          <w:p>
            <w:pPr>
              <w:pStyle w:val="Compact"/>
            </w:pPr>
          </w:p>
        </w:tc>
        <w:tc>
          <w:tcPr/>
          <w:p>
            <w:pPr>
              <w:pStyle w:val="Compact"/>
              <w:jc w:val="left"/>
            </w:pPr>
            <w:r>
              <w:t xml:space="preserve">(0.008)</w:t>
            </w:r>
          </w:p>
        </w:tc>
        <w:tc>
          <w:tcPr/>
          <w:p>
            <w:pPr>
              <w:pStyle w:val="Compact"/>
              <w:jc w:val="left"/>
            </w:pPr>
            <w:r>
              <w:t xml:space="preserve">(0.008)</w:t>
            </w:r>
          </w:p>
        </w:tc>
        <w:tc>
          <w:tcPr/>
          <w:p>
            <w:pPr>
              <w:pStyle w:val="Compact"/>
              <w:jc w:val="left"/>
            </w:pPr>
            <w:r>
              <w:t xml:space="preserve">(0.007)</w:t>
            </w:r>
          </w:p>
        </w:tc>
      </w:tr>
      <w:tr>
        <w:tc>
          <w:tcPr/>
          <w:p>
            <w:pPr>
              <w:pStyle w:val="Compact"/>
              <w:jc w:val="left"/>
            </w:pPr>
            <w:r>
              <w:t xml:space="preserve">Log weekly earnings</w:t>
            </w:r>
          </w:p>
        </w:tc>
        <w:tc>
          <w:tcPr/>
          <w:p>
            <w:pPr>
              <w:pStyle w:val="Compact"/>
              <w:jc w:val="left"/>
            </w:pPr>
            <w:r>
              <w:t xml:space="preserve">0.054</w:t>
            </w:r>
            <w:r>
              <w:rPr>
                <w:vertAlign w:val="superscript"/>
              </w:rPr>
              <w:t xml:space="preserve">**</w:t>
            </w:r>
          </w:p>
        </w:tc>
        <w:tc>
          <w:tcPr/>
          <w:p>
            <w:pPr>
              <w:pStyle w:val="Compact"/>
              <w:jc w:val="left"/>
            </w:pPr>
            <w:r>
              <w:t xml:space="preserve">0.048</w:t>
            </w:r>
            <w:r>
              <w:rPr>
                <w:vertAlign w:val="superscript"/>
              </w:rPr>
              <w:t xml:space="preserve">***</w:t>
            </w:r>
          </w:p>
        </w:tc>
        <w:tc>
          <w:tcPr/>
          <w:p>
            <w:pPr>
              <w:pStyle w:val="Compact"/>
              <w:jc w:val="left"/>
            </w:pPr>
            <w:r>
              <w:t xml:space="preserve">0.055</w:t>
            </w:r>
            <w:r>
              <w:rPr>
                <w:vertAlign w:val="superscript"/>
              </w:rPr>
              <w:t xml:space="preserve">***</w:t>
            </w:r>
          </w:p>
        </w:tc>
      </w:tr>
      <w:tr>
        <w:tc>
          <w:tcPr/>
          <w:p>
            <w:pPr>
              <w:pStyle w:val="Compact"/>
            </w:pPr>
          </w:p>
        </w:tc>
        <w:tc>
          <w:tcPr/>
          <w:p>
            <w:pPr>
              <w:pStyle w:val="Compact"/>
              <w:jc w:val="left"/>
            </w:pPr>
            <w:r>
              <w:t xml:space="preserve">(0.025)</w:t>
            </w:r>
          </w:p>
        </w:tc>
        <w:tc>
          <w:tcPr/>
          <w:p>
            <w:pPr>
              <w:pStyle w:val="Compact"/>
              <w:jc w:val="left"/>
            </w:pPr>
            <w:r>
              <w:t xml:space="preserve">(0.015)</w:t>
            </w:r>
          </w:p>
        </w:tc>
        <w:tc>
          <w:tcPr/>
          <w:p>
            <w:pPr>
              <w:pStyle w:val="Compact"/>
              <w:jc w:val="left"/>
            </w:pPr>
            <w:r>
              <w:t xml:space="preserve">(0.015)</w:t>
            </w:r>
          </w:p>
        </w:tc>
      </w:tr>
    </w:tbl>
    <w:p>
      <w:pPr>
        <w:pStyle w:val="BodyText"/>
      </w:pPr>
      <w:r>
        <w:t xml:space="preserve">Notes: Outgoing rotation groups, earnings weights. Specification as in Table 2; standard errors clustered by state in parentheses.</w:t>
      </w:r>
    </w:p>
    <w:p>
      <w:pPr>
        <w:pStyle w:val="CaptionedFigure"/>
      </w:pPr>
      <w:r>
        <w:drawing>
          <wp:inline>
            <wp:extent cx="4533900" cy="3487615"/>
            <wp:effectExtent b="0" l="0" r="0" t="0"/>
            <wp:docPr descr="" title="" id="52" name="Picture"/>
            <a:graphic>
              <a:graphicData uri="http://schemas.openxmlformats.org/drawingml/2006/picture">
                <pic:pic>
                  <pic:nvPicPr>
                    <pic:cNvPr descr="figures/figR3_wage.png" id="53" name="Picture"/>
                    <pic:cNvPicPr>
                      <a:picLocks noChangeArrowheads="1" noChangeAspect="1"/>
                    </pic:cNvPicPr>
                  </pic:nvPicPr>
                  <pic:blipFill>
                    <a:blip r:embed="rId51"/>
                    <a:stretch>
                      <a:fillRect/>
                    </a:stretch>
                  </pic:blipFill>
                  <pic:spPr bwMode="auto">
                    <a:xfrm>
                      <a:off x="0" y="0"/>
                      <a:ext cx="4533900" cy="3487615"/>
                    </a:xfrm>
                    <a:prstGeom prst="rect">
                      <a:avLst/>
                    </a:prstGeom>
                    <a:noFill/>
                    <a:ln w="9525">
                      <a:noFill/>
                      <a:headEnd/>
                      <a:tailEnd/>
                    </a:ln>
                  </pic:spPr>
                </pic:pic>
              </a:graphicData>
            </a:graphic>
          </wp:inline>
        </w:drawing>
      </w:r>
    </w:p>
    <w:p>
      <w:pPr>
        <w:pStyle w:val="ImageCaption"/>
      </w:pPr>
      <w:r>
        <w:t xml:space="preserve">Figure 7: Event-time effects on the log hourly wage of hourly-paid teens, by age</w:t>
      </w:r>
    </w:p>
    <w:bookmarkEnd w:id="54"/>
    <w:bookmarkStart w:id="58" w:name="wages-by-socioeconomic-standing"/>
    <w:p>
      <w:pPr>
        <w:pStyle w:val="Heading2"/>
      </w:pPr>
      <w:r>
        <w:t xml:space="preserve">5.6 Wages by socioeconomic standing</w:t>
      </w:r>
    </w:p>
    <w:p>
      <w:pPr>
        <w:pStyle w:val="FirstParagraph"/>
      </w:pPr>
      <w:r>
        <w:t xml:space="preserve">Table 7 and Figure 8 split the wage effect by family income. The gain reaches both groups. Pooling the ages, the hourly wage of low-income teens rises 4.4 percent (s.e. 1.1) and of high-income teens 3.6 percent (0.9). At 18–19 the gain is larger for low-income teens, 4.8 percent (1.2) against 2.3 (1.0), which is what one expects if their jobs sit closer to the floor. At 16–17 the low-income estimate is imprecise, 2.6 percent (2.7), because few low-income 16–17 year olds are hourly-paid workers in an outgoing rotation month; under the within-year median split of Appendix D it is 5.0 percent (1.9). The first stage is therefore present for exactly the teens for whom the liquidity channel should operate, and the previous subsections show that their time allocation did not respond to it.</w:t>
      </w:r>
    </w:p>
    <w:p>
      <w:pPr>
        <w:pStyle w:val="TableCaption"/>
      </w:pPr>
      <w:r>
        <w:t xml:space="preserve">Table 7: Wages and earnings by family income: below versus at or above $50,000, post-event averages</w:t>
      </w:r>
    </w:p>
    <w:tbl>
      <w:tblPr>
        <w:tblStyle w:val="Table"/>
        <w:tblW w:type="dxa" w:w="9360"/>
        <w:tblLook w:firstRow="0" w:lastRow="0" w:firstColumn="0" w:lastColumn="0" w:noHBand="0" w:noVBand="0" w:val="0000"/>
        <w:jc w:val="start"/>
        <w:tblCaption w:val="Table 7: Wages and earnings by family income: below versus at or above $50,000, post-event average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Log hourly wage, hourly-paid teens</w:t>
            </w:r>
          </w:p>
        </w:tc>
        <w:tc>
          <w:tcPr/>
          <w:p>
            <w:pPr>
              <w:pStyle w:val="Compact"/>
              <w:jc w:val="left"/>
            </w:pPr>
            <w:r>
              <w:t xml:space="preserve">0.026</w:t>
            </w:r>
          </w:p>
        </w:tc>
        <w:tc>
          <w:tcPr/>
          <w:p>
            <w:pPr>
              <w:pStyle w:val="Compact"/>
              <w:jc w:val="left"/>
            </w:pPr>
            <w:r>
              <w:t xml:space="preserve">0.058</w:t>
            </w:r>
            <w:r>
              <w:rPr>
                <w:vertAlign w:val="superscript"/>
              </w:rPr>
              <w:t xml:space="preserve">***</w:t>
            </w:r>
          </w:p>
        </w:tc>
        <w:tc>
          <w:tcPr/>
          <w:p>
            <w:pPr>
              <w:pStyle w:val="Compact"/>
              <w:jc w:val="left"/>
            </w:pPr>
            <w:r>
              <w:t xml:space="preserve">0.048</w:t>
            </w:r>
            <w:r>
              <w:rPr>
                <w:vertAlign w:val="superscript"/>
              </w:rPr>
              <w:t xml:space="preserve">***</w:t>
            </w:r>
          </w:p>
        </w:tc>
        <w:tc>
          <w:tcPr/>
          <w:p>
            <w:pPr>
              <w:pStyle w:val="Compact"/>
              <w:jc w:val="left"/>
            </w:pPr>
            <w:r>
              <w:t xml:space="preserve">0.023</w:t>
            </w:r>
            <w:r>
              <w:rPr>
                <w:vertAlign w:val="superscript"/>
              </w:rPr>
              <w:t xml:space="preserve">**</w:t>
            </w:r>
          </w:p>
        </w:tc>
        <w:tc>
          <w:tcPr/>
          <w:p>
            <w:pPr>
              <w:pStyle w:val="Compact"/>
              <w:jc w:val="left"/>
            </w:pPr>
            <w:r>
              <w:t xml:space="preserve">0.044</w:t>
            </w:r>
            <w:r>
              <w:rPr>
                <w:vertAlign w:val="superscript"/>
              </w:rPr>
              <w:t xml:space="preserve">***</w:t>
            </w:r>
          </w:p>
        </w:tc>
        <w:tc>
          <w:tcPr/>
          <w:p>
            <w:pPr>
              <w:pStyle w:val="Compact"/>
              <w:jc w:val="left"/>
            </w:pPr>
            <w:r>
              <w:t xml:space="preserve">0.036</w:t>
            </w:r>
            <w:r>
              <w:rPr>
                <w:vertAlign w:val="superscript"/>
              </w:rPr>
              <w:t xml:space="preserve">***</w:t>
            </w:r>
          </w:p>
        </w:tc>
      </w:tr>
      <w:tr>
        <w:tc>
          <w:tcPr/>
          <w:p>
            <w:pPr>
              <w:pStyle w:val="Compact"/>
            </w:pPr>
          </w:p>
        </w:tc>
        <w:tc>
          <w:tcPr/>
          <w:p>
            <w:pPr>
              <w:pStyle w:val="Compact"/>
              <w:jc w:val="left"/>
            </w:pPr>
            <w:r>
              <w:t xml:space="preserve">(0.027)</w:t>
            </w:r>
          </w:p>
        </w:tc>
        <w:tc>
          <w:tcPr/>
          <w:p>
            <w:pPr>
              <w:pStyle w:val="Compact"/>
              <w:jc w:val="left"/>
            </w:pPr>
            <w:r>
              <w:t xml:space="preserve">(0.013)</w:t>
            </w:r>
          </w:p>
        </w:tc>
        <w:tc>
          <w:tcPr/>
          <w:p>
            <w:pPr>
              <w:pStyle w:val="Compact"/>
              <w:jc w:val="left"/>
            </w:pPr>
            <w:r>
              <w:t xml:space="preserve">(0.012)</w:t>
            </w:r>
          </w:p>
        </w:tc>
        <w:tc>
          <w:tcPr/>
          <w:p>
            <w:pPr>
              <w:pStyle w:val="Compact"/>
              <w:jc w:val="left"/>
            </w:pPr>
            <w:r>
              <w:t xml:space="preserve">(0.010)</w:t>
            </w:r>
          </w:p>
        </w:tc>
        <w:tc>
          <w:tcPr/>
          <w:p>
            <w:pPr>
              <w:pStyle w:val="Compact"/>
              <w:jc w:val="left"/>
            </w:pPr>
            <w:r>
              <w:t xml:space="preserve">(0.011)</w:t>
            </w:r>
          </w:p>
        </w:tc>
        <w:tc>
          <w:tcPr/>
          <w:p>
            <w:pPr>
              <w:pStyle w:val="Compact"/>
              <w:jc w:val="left"/>
            </w:pPr>
            <w:r>
              <w:t xml:space="preserve">(0.009)</w:t>
            </w:r>
          </w:p>
        </w:tc>
      </w:tr>
      <w:tr>
        <w:tc>
          <w:tcPr/>
          <w:p>
            <w:pPr>
              <w:pStyle w:val="Compact"/>
              <w:jc w:val="left"/>
            </w:pPr>
            <w:r>
              <w:t xml:space="preserve">Log weekly earnings, all teen workers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Notes: Outgoing rotation groups, earnings weights. Block-bootstrap standard errors in parentheses.</w:t>
      </w:r>
    </w:p>
    <w:p>
      <w:pPr>
        <w:pStyle w:val="BodyText"/>
      </w:pPr>
      <w:r>
        <w:t xml:space="preserve">The stacked coefficients by income (Table 8) confirm that the gain reached both groups and was somewhat larger for the poorer one. Because the stacked regression pools the base period over 36 months, it is more precise than the event-study average for the thin low-income 16–17 cell: it gives 7.3 percent (s.e. 1.4) for low-income against 4.4 (0.9) for high-income teens at 16–17, 4.1 (1.1) against 2.6 (0.9) at 18–19, and 5.2 (1.1) against 3.5 (0.7) pooled.</w:t>
      </w:r>
    </w:p>
    <w:p>
      <w:pPr>
        <w:pStyle w:val="TableCaption"/>
      </w:pPr>
      <w:r>
        <w:t xml:space="preserve">Table 8: Stacked difference-in-differences estimates for wages and earnings by family income</w:t>
      </w:r>
    </w:p>
    <w:tbl>
      <w:tblPr>
        <w:tblStyle w:val="Table"/>
        <w:tblW w:type="dxa" w:w="9360"/>
        <w:tblLook w:firstRow="0" w:lastRow="0" w:firstColumn="0" w:lastColumn="0" w:noHBand="0" w:noVBand="0" w:val="0000"/>
        <w:jc w:val="start"/>
        <w:tblCaption w:val="Table 8: Stacked difference-in-differences estimates for wages and earnings by family income"/>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Log hourly wage, hourly paid</w:t>
            </w:r>
          </w:p>
        </w:tc>
        <w:tc>
          <w:tcPr/>
          <w:p>
            <w:pPr>
              <w:pStyle w:val="Compact"/>
              <w:jc w:val="left"/>
            </w:pPr>
            <w:r>
              <w:t xml:space="preserve">0.073</w:t>
            </w:r>
            <w:r>
              <w:rPr>
                <w:vertAlign w:val="superscript"/>
              </w:rPr>
              <w:t xml:space="preserve">***</w:t>
            </w:r>
          </w:p>
        </w:tc>
        <w:tc>
          <w:tcPr/>
          <w:p>
            <w:pPr>
              <w:pStyle w:val="Compact"/>
              <w:jc w:val="left"/>
            </w:pPr>
            <w:r>
              <w:t xml:space="preserve">0.044</w:t>
            </w:r>
            <w:r>
              <w:rPr>
                <w:vertAlign w:val="superscript"/>
              </w:rPr>
              <w:t xml:space="preserve">***</w:t>
            </w:r>
          </w:p>
        </w:tc>
        <w:tc>
          <w:tcPr/>
          <w:p>
            <w:pPr>
              <w:pStyle w:val="Compact"/>
              <w:jc w:val="left"/>
            </w:pPr>
            <w:r>
              <w:t xml:space="preserve">0.041</w:t>
            </w:r>
            <w:r>
              <w:rPr>
                <w:vertAlign w:val="superscript"/>
              </w:rPr>
              <w:t xml:space="preserve">***</w:t>
            </w:r>
          </w:p>
        </w:tc>
        <w:tc>
          <w:tcPr/>
          <w:p>
            <w:pPr>
              <w:pStyle w:val="Compact"/>
              <w:jc w:val="left"/>
            </w:pPr>
            <w:r>
              <w:t xml:space="preserve">0.026</w:t>
            </w:r>
            <w:r>
              <w:rPr>
                <w:vertAlign w:val="superscript"/>
              </w:rPr>
              <w:t xml:space="preserve">***</w:t>
            </w:r>
          </w:p>
        </w:tc>
        <w:tc>
          <w:tcPr/>
          <w:p>
            <w:pPr>
              <w:pStyle w:val="Compact"/>
              <w:jc w:val="left"/>
            </w:pPr>
            <w:r>
              <w:t xml:space="preserve">0.052</w:t>
            </w:r>
            <w:r>
              <w:rPr>
                <w:vertAlign w:val="superscript"/>
              </w:rPr>
              <w:t xml:space="preserve">***</w:t>
            </w:r>
          </w:p>
        </w:tc>
        <w:tc>
          <w:tcPr/>
          <w:p>
            <w:pPr>
              <w:pStyle w:val="Compact"/>
              <w:jc w:val="left"/>
            </w:pPr>
            <w:r>
              <w:t xml:space="preserve">0.035</w:t>
            </w:r>
            <w:r>
              <w:rPr>
                <w:vertAlign w:val="superscript"/>
              </w:rPr>
              <w:t xml:space="preserve">***</w:t>
            </w:r>
          </w:p>
        </w:tc>
      </w:tr>
      <w:tr>
        <w:tc>
          <w:tcPr/>
          <w:p>
            <w:pPr>
              <w:pStyle w:val="Compact"/>
            </w:pPr>
          </w:p>
        </w:tc>
        <w:tc>
          <w:tcPr/>
          <w:p>
            <w:pPr>
              <w:pStyle w:val="Compact"/>
              <w:jc w:val="left"/>
            </w:pPr>
            <w:r>
              <w:t xml:space="preserve">(0.014)</w:t>
            </w:r>
          </w:p>
        </w:tc>
        <w:tc>
          <w:tcPr/>
          <w:p>
            <w:pPr>
              <w:pStyle w:val="Compact"/>
              <w:jc w:val="left"/>
            </w:pPr>
            <w:r>
              <w:t xml:space="preserve">(0.009)</w:t>
            </w:r>
          </w:p>
        </w:tc>
        <w:tc>
          <w:tcPr/>
          <w:p>
            <w:pPr>
              <w:pStyle w:val="Compact"/>
              <w:jc w:val="left"/>
            </w:pPr>
            <w:r>
              <w:t xml:space="preserve">(0.011)</w:t>
            </w:r>
          </w:p>
        </w:tc>
        <w:tc>
          <w:tcPr/>
          <w:p>
            <w:pPr>
              <w:pStyle w:val="Compact"/>
              <w:jc w:val="left"/>
            </w:pPr>
            <w:r>
              <w:t xml:space="preserve">(0.009)</w:t>
            </w:r>
          </w:p>
        </w:tc>
        <w:tc>
          <w:tcPr/>
          <w:p>
            <w:pPr>
              <w:pStyle w:val="Compact"/>
              <w:jc w:val="left"/>
            </w:pPr>
            <w:r>
              <w:t xml:space="preserve">(0.011)</w:t>
            </w:r>
          </w:p>
        </w:tc>
        <w:tc>
          <w:tcPr/>
          <w:p>
            <w:pPr>
              <w:pStyle w:val="Compact"/>
              <w:jc w:val="left"/>
            </w:pPr>
            <w:r>
              <w:t xml:space="preserve">(0.007)</w:t>
            </w:r>
          </w:p>
        </w:tc>
      </w:tr>
      <w:tr>
        <w:tc>
          <w:tcPr/>
          <w:p>
            <w:pPr>
              <w:pStyle w:val="Compact"/>
              <w:jc w:val="left"/>
            </w:pPr>
            <w:r>
              <w:t xml:space="preserve">Log weekly earnings</w:t>
            </w:r>
          </w:p>
        </w:tc>
        <w:tc>
          <w:tcPr/>
          <w:p>
            <w:pPr>
              <w:pStyle w:val="Compact"/>
              <w:jc w:val="left"/>
            </w:pPr>
            <w:r>
              <w:t xml:space="preserve">0.076</w:t>
            </w:r>
            <w:r>
              <w:rPr>
                <w:vertAlign w:val="superscript"/>
              </w:rPr>
              <w:t xml:space="preserve">**</w:t>
            </w:r>
          </w:p>
        </w:tc>
        <w:tc>
          <w:tcPr/>
          <w:p>
            <w:pPr>
              <w:pStyle w:val="Compact"/>
              <w:jc w:val="left"/>
            </w:pPr>
            <w:r>
              <w:t xml:space="preserve">0.059</w:t>
            </w:r>
            <w:r>
              <w:rPr>
                <w:vertAlign w:val="superscript"/>
              </w:rPr>
              <w:t xml:space="preserve">**</w:t>
            </w:r>
          </w:p>
        </w:tc>
        <w:tc>
          <w:tcPr/>
          <w:p>
            <w:pPr>
              <w:pStyle w:val="Compact"/>
              <w:jc w:val="left"/>
            </w:pPr>
            <w:r>
              <w:t xml:space="preserve">0.046</w:t>
            </w:r>
          </w:p>
        </w:tc>
        <w:tc>
          <w:tcPr/>
          <w:p>
            <w:pPr>
              <w:pStyle w:val="Compact"/>
              <w:jc w:val="left"/>
            </w:pPr>
            <w:r>
              <w:t xml:space="preserve">0.043</w:t>
            </w:r>
            <w:r>
              <w:rPr>
                <w:vertAlign w:val="superscript"/>
              </w:rPr>
              <w:t xml:space="preserve">***</w:t>
            </w:r>
          </w:p>
        </w:tc>
        <w:tc>
          <w:tcPr/>
          <w:p>
            <w:pPr>
              <w:pStyle w:val="Compact"/>
              <w:jc w:val="left"/>
            </w:pPr>
            <w:r>
              <w:t xml:space="preserve">0.058</w:t>
            </w:r>
            <w:r>
              <w:rPr>
                <w:vertAlign w:val="superscript"/>
              </w:rPr>
              <w:t xml:space="preserve">**</w:t>
            </w:r>
          </w:p>
        </w:tc>
        <w:tc>
          <w:tcPr/>
          <w:p>
            <w:pPr>
              <w:pStyle w:val="Compact"/>
              <w:jc w:val="left"/>
            </w:pPr>
            <w:r>
              <w:t xml:space="preserve">0.054</w:t>
            </w:r>
            <w:r>
              <w:rPr>
                <w:vertAlign w:val="superscript"/>
              </w:rPr>
              <w:t xml:space="preserve">***</w:t>
            </w:r>
          </w:p>
        </w:tc>
      </w:tr>
      <w:tr>
        <w:tc>
          <w:tcPr/>
          <w:p>
            <w:pPr>
              <w:pStyle w:val="Compact"/>
            </w:pPr>
          </w:p>
        </w:tc>
        <w:tc>
          <w:tcPr/>
          <w:p>
            <w:pPr>
              <w:pStyle w:val="Compact"/>
              <w:jc w:val="left"/>
            </w:pPr>
            <w:r>
              <w:t xml:space="preserve">(0.033)</w:t>
            </w:r>
          </w:p>
        </w:tc>
        <w:tc>
          <w:tcPr/>
          <w:p>
            <w:pPr>
              <w:pStyle w:val="Compact"/>
              <w:jc w:val="left"/>
            </w:pPr>
            <w:r>
              <w:t xml:space="preserve">(0.027)</w:t>
            </w:r>
          </w:p>
        </w:tc>
        <w:tc>
          <w:tcPr/>
          <w:p>
            <w:pPr>
              <w:pStyle w:val="Compact"/>
              <w:jc w:val="left"/>
            </w:pPr>
            <w:r>
              <w:t xml:space="preserve">(0.030)</w:t>
            </w:r>
          </w:p>
        </w:tc>
        <w:tc>
          <w:tcPr/>
          <w:p>
            <w:pPr>
              <w:pStyle w:val="Compact"/>
              <w:jc w:val="left"/>
            </w:pPr>
            <w:r>
              <w:t xml:space="preserve">(0.014)</w:t>
            </w:r>
          </w:p>
        </w:tc>
        <w:tc>
          <w:tcPr/>
          <w:p>
            <w:pPr>
              <w:pStyle w:val="Compact"/>
              <w:jc w:val="left"/>
            </w:pPr>
            <w:r>
              <w:t xml:space="preserve">(0.026)</w:t>
            </w:r>
          </w:p>
        </w:tc>
        <w:tc>
          <w:tcPr/>
          <w:p>
            <w:pPr>
              <w:pStyle w:val="Compact"/>
              <w:jc w:val="left"/>
            </w:pPr>
            <w:r>
              <w:t xml:space="preserve">(0.015)</w:t>
            </w:r>
          </w:p>
        </w:tc>
      </w:tr>
    </w:tbl>
    <w:p>
      <w:pPr>
        <w:pStyle w:val="BodyText"/>
      </w:pPr>
      <w:r>
        <w:t xml:space="preserve">Notes: Low: family income below $50,000; High: $50,000 or more. Outgoing rotation groups, earnings weights. Specification as in Table 2; standard errors clustered by state in parentheses.</w:t>
      </w:r>
    </w:p>
    <w:p>
      <w:pPr>
        <w:pStyle w:val="CaptionedFigure"/>
      </w:pPr>
      <w:r>
        <w:drawing>
          <wp:inline>
            <wp:extent cx="5334000" cy="1493520"/>
            <wp:effectExtent b="0" l="0" r="0" t="0"/>
            <wp:docPr descr="" title="" id="56" name="Picture"/>
            <a:graphic>
              <a:graphicData uri="http://schemas.openxmlformats.org/drawingml/2006/picture">
                <pic:pic>
                  <pic:nvPicPr>
                    <pic:cNvPr descr="figures/figR4_wage_ses.png" id="57" name="Picture"/>
                    <pic:cNvPicPr>
                      <a:picLocks noChangeArrowheads="1" noChangeAspect="1"/>
                    </pic:cNvPicPr>
                  </pic:nvPicPr>
                  <pic:blipFill>
                    <a:blip r:embed="rId55"/>
                    <a:stretch>
                      <a:fillRect/>
                    </a:stretch>
                  </pic:blipFill>
                  <pic:spPr bwMode="auto">
                    <a:xfrm>
                      <a:off x="0" y="0"/>
                      <a:ext cx="5334000" cy="1493520"/>
                    </a:xfrm>
                    <a:prstGeom prst="rect">
                      <a:avLst/>
                    </a:prstGeom>
                    <a:noFill/>
                    <a:ln w="9525">
                      <a:noFill/>
                      <a:headEnd/>
                      <a:tailEnd/>
                    </a:ln>
                  </pic:spPr>
                </pic:pic>
              </a:graphicData>
            </a:graphic>
          </wp:inline>
        </w:drawing>
      </w:r>
    </w:p>
    <w:p>
      <w:pPr>
        <w:pStyle w:val="ImageCaption"/>
      </w:pPr>
      <w:r>
        <w:t xml:space="preserve">Figure 8: Event-time effects on the log hourly wage by family income and age</w:t>
      </w:r>
    </w:p>
    <w:bookmarkEnd w:id="58"/>
    <w:bookmarkStart w:id="62" w:name="wages-by-sex"/>
    <w:p>
      <w:pPr>
        <w:pStyle w:val="Heading2"/>
      </w:pPr>
      <w:r>
        <w:t xml:space="preserve">5.7 Wages by sex</w:t>
      </w:r>
    </w:p>
    <w:p>
      <w:pPr>
        <w:pStyle w:val="FirstParagraph"/>
      </w:pPr>
      <w:r>
        <w:t xml:space="preserve">Table 9 and Figure 9 split the wage effect by sex. The gain reaches both. Girls’ hourly wage rises 5.4 percent (s.e. 1.9) at 16–17, 3.4 (0.9) at 18–19 and 4.1 (1.0) pooled; boys’ 4.7 (1.7), 2.5 (1.4) and 3.5 (1.2). The girls’ gain is larger at every age, as their lower starting wage implies, but by less than a standard error, and by the third year after the increase both are at about 6 percent. Weekly earnings rise 5.5 (3.2) at 16–17 and 4.5 (2.6) at 18–19 for girls and 5.4 (4.8) and 3.7 (3.4) for boys, so hours did not fall for either. The employment estimate for girls at 16–17 in Section 5.3 therefore does not come with a smaller wage gain or a fall in the earnings of those who work. The stacked coefficients (Table 10) are 5.3 percent (s.e. 1.2), 2.6 (0.8) and 3.8 (0.8) for girls and 4.4 (0.9), 3.5 (1.0) and 4.0 (0.9) for boys.</w:t>
      </w:r>
    </w:p>
    <w:p>
      <w:pPr>
        <w:pStyle w:val="TableCaption"/>
      </w:pPr>
      <w:r>
        <w:t xml:space="preserve">Table 9: Wages and earnings by sex: post-event averages</w:t>
      </w:r>
    </w:p>
    <w:tbl>
      <w:tblPr>
        <w:tblStyle w:val="Table"/>
        <w:tblW w:type="dxa" w:w="9360"/>
        <w:tblLook w:firstRow="0" w:lastRow="0" w:firstColumn="0" w:lastColumn="0" w:noHBand="0" w:noVBand="0" w:val="0000"/>
        <w:jc w:val="start"/>
        <w:tblCaption w:val="Table 9: Wages and earnings by sex: post-event average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Girls</w:t>
            </w:r>
          </w:p>
        </w:tc>
        <w:tc>
          <w:tcPr/>
          <w:p>
            <w:pPr>
              <w:pStyle w:val="Compact"/>
              <w:jc w:val="left"/>
            </w:pPr>
            <w:r>
              <w:t xml:space="preserve">Boys</w:t>
            </w:r>
          </w:p>
        </w:tc>
        <w:tc>
          <w:tcPr/>
          <w:p>
            <w:pPr>
              <w:pStyle w:val="Compact"/>
              <w:jc w:val="left"/>
            </w:pPr>
            <w:r>
              <w:t xml:space="preserve">Girls</w:t>
            </w:r>
          </w:p>
        </w:tc>
        <w:tc>
          <w:tcPr/>
          <w:p>
            <w:pPr>
              <w:pStyle w:val="Compact"/>
              <w:jc w:val="left"/>
            </w:pPr>
            <w:r>
              <w:t xml:space="preserve">Boys</w:t>
            </w:r>
          </w:p>
        </w:tc>
        <w:tc>
          <w:tcPr/>
          <w:p>
            <w:pPr>
              <w:pStyle w:val="Compact"/>
              <w:jc w:val="left"/>
            </w:pPr>
            <w:r>
              <w:t xml:space="preserve">Girls</w:t>
            </w:r>
          </w:p>
        </w:tc>
        <w:tc>
          <w:tcPr/>
          <w:p>
            <w:pPr>
              <w:pStyle w:val="Compact"/>
              <w:jc w:val="left"/>
            </w:pPr>
            <w:r>
              <w:t xml:space="preserve">Boys</w:t>
            </w:r>
          </w:p>
        </w:tc>
      </w:tr>
      <w:tr>
        <w:tc>
          <w:tcPr/>
          <w:p>
            <w:pPr>
              <w:pStyle w:val="Compact"/>
              <w:jc w:val="left"/>
            </w:pPr>
            <w:r>
              <w:t xml:space="preserve">Log hourly wage, hourly-paid teens</w:t>
            </w:r>
          </w:p>
        </w:tc>
        <w:tc>
          <w:tcPr/>
          <w:p>
            <w:pPr>
              <w:pStyle w:val="Compact"/>
              <w:jc w:val="left"/>
            </w:pPr>
            <w:r>
              <w:t xml:space="preserve">0.054</w:t>
            </w:r>
            <w:r>
              <w:rPr>
                <w:vertAlign w:val="superscript"/>
              </w:rPr>
              <w:t xml:space="preserve">***</w:t>
            </w:r>
          </w:p>
        </w:tc>
        <w:tc>
          <w:tcPr/>
          <w:p>
            <w:pPr>
              <w:pStyle w:val="Compact"/>
              <w:jc w:val="left"/>
            </w:pPr>
            <w:r>
              <w:t xml:space="preserve">0.047</w:t>
            </w:r>
            <w:r>
              <w:rPr>
                <w:vertAlign w:val="superscript"/>
              </w:rPr>
              <w:t xml:space="preserve">***</w:t>
            </w:r>
          </w:p>
        </w:tc>
        <w:tc>
          <w:tcPr/>
          <w:p>
            <w:pPr>
              <w:pStyle w:val="Compact"/>
              <w:jc w:val="left"/>
            </w:pPr>
            <w:r>
              <w:t xml:space="preserve">0.034</w:t>
            </w:r>
            <w:r>
              <w:rPr>
                <w:vertAlign w:val="superscript"/>
              </w:rPr>
              <w:t xml:space="preserve">***</w:t>
            </w:r>
          </w:p>
        </w:tc>
        <w:tc>
          <w:tcPr/>
          <w:p>
            <w:pPr>
              <w:pStyle w:val="Compact"/>
              <w:jc w:val="left"/>
            </w:pPr>
            <w:r>
              <w:t xml:space="preserve">0.025</w:t>
            </w:r>
            <w:r>
              <w:rPr>
                <w:vertAlign w:val="superscript"/>
              </w:rPr>
              <w:t xml:space="preserve">*</w:t>
            </w:r>
          </w:p>
        </w:tc>
        <w:tc>
          <w:tcPr/>
          <w:p>
            <w:pPr>
              <w:pStyle w:val="Compact"/>
              <w:jc w:val="left"/>
            </w:pPr>
            <w:r>
              <w:t xml:space="preserve">0.041</w:t>
            </w:r>
            <w:r>
              <w:rPr>
                <w:vertAlign w:val="superscript"/>
              </w:rPr>
              <w:t xml:space="preserve">***</w:t>
            </w:r>
          </w:p>
        </w:tc>
        <w:tc>
          <w:tcPr/>
          <w:p>
            <w:pPr>
              <w:pStyle w:val="Compact"/>
              <w:jc w:val="left"/>
            </w:pPr>
            <w:r>
              <w:t xml:space="preserve">0.035</w:t>
            </w:r>
            <w:r>
              <w:rPr>
                <w:vertAlign w:val="superscript"/>
              </w:rPr>
              <w:t xml:space="preserve">***</w:t>
            </w:r>
          </w:p>
        </w:tc>
      </w:tr>
      <w:tr>
        <w:tc>
          <w:tcPr/>
          <w:p>
            <w:pPr>
              <w:pStyle w:val="Compact"/>
            </w:pPr>
          </w:p>
        </w:tc>
        <w:tc>
          <w:tcPr/>
          <w:p>
            <w:pPr>
              <w:pStyle w:val="Compact"/>
              <w:jc w:val="left"/>
            </w:pPr>
            <w:r>
              <w:t xml:space="preserve">(0.019)</w:t>
            </w:r>
          </w:p>
        </w:tc>
        <w:tc>
          <w:tcPr/>
          <w:p>
            <w:pPr>
              <w:pStyle w:val="Compact"/>
              <w:jc w:val="left"/>
            </w:pPr>
            <w:r>
              <w:t xml:space="preserve">(0.017)</w:t>
            </w:r>
          </w:p>
        </w:tc>
        <w:tc>
          <w:tcPr/>
          <w:p>
            <w:pPr>
              <w:pStyle w:val="Compact"/>
              <w:jc w:val="left"/>
            </w:pPr>
            <w:r>
              <w:t xml:space="preserve">(0.009)</w:t>
            </w:r>
          </w:p>
        </w:tc>
        <w:tc>
          <w:tcPr/>
          <w:p>
            <w:pPr>
              <w:pStyle w:val="Compact"/>
              <w:jc w:val="left"/>
            </w:pPr>
            <w:r>
              <w:t xml:space="preserve">(0.014)</w:t>
            </w:r>
          </w:p>
        </w:tc>
        <w:tc>
          <w:tcPr/>
          <w:p>
            <w:pPr>
              <w:pStyle w:val="Compact"/>
              <w:jc w:val="left"/>
            </w:pPr>
            <w:r>
              <w:t xml:space="preserve">(0.010)</w:t>
            </w:r>
          </w:p>
        </w:tc>
        <w:tc>
          <w:tcPr/>
          <w:p>
            <w:pPr>
              <w:pStyle w:val="Compact"/>
              <w:jc w:val="left"/>
            </w:pPr>
            <w:r>
              <w:t xml:space="preserve">(0.012)</w:t>
            </w:r>
          </w:p>
        </w:tc>
      </w:tr>
      <w:tr>
        <w:tc>
          <w:tcPr/>
          <w:p>
            <w:pPr>
              <w:pStyle w:val="Compact"/>
              <w:jc w:val="left"/>
            </w:pPr>
            <w:r>
              <w:t xml:space="preserve">Log weekly earnings, all teen workers</w:t>
            </w:r>
          </w:p>
        </w:tc>
        <w:tc>
          <w:tcPr/>
          <w:p>
            <w:pPr>
              <w:pStyle w:val="Compact"/>
              <w:jc w:val="left"/>
            </w:pPr>
            <w:r>
              <w:t xml:space="preserve">0.055</w:t>
            </w:r>
            <w:r>
              <w:rPr>
                <w:vertAlign w:val="superscript"/>
              </w:rPr>
              <w:t xml:space="preserve">*</w:t>
            </w:r>
          </w:p>
        </w:tc>
        <w:tc>
          <w:tcPr/>
          <w:p>
            <w:pPr>
              <w:pStyle w:val="Compact"/>
              <w:jc w:val="left"/>
            </w:pPr>
            <w:r>
              <w:t xml:space="preserve">0.054</w:t>
            </w:r>
          </w:p>
        </w:tc>
        <w:tc>
          <w:tcPr/>
          <w:p>
            <w:pPr>
              <w:pStyle w:val="Compact"/>
              <w:jc w:val="left"/>
            </w:pPr>
            <w:r>
              <w:t xml:space="preserve">0.045</w:t>
            </w:r>
            <w:r>
              <w:rPr>
                <w:vertAlign w:val="superscript"/>
              </w:rPr>
              <w:t xml:space="preserve">*</w:t>
            </w:r>
          </w:p>
        </w:tc>
        <w:tc>
          <w:tcPr/>
          <w:p>
            <w:pPr>
              <w:pStyle w:val="Compact"/>
              <w:jc w:val="left"/>
            </w:pPr>
            <w:r>
              <w:t xml:space="preserve">0.037</w:t>
            </w:r>
          </w:p>
        </w:tc>
        <w:tc>
          <w:tcPr/>
          <w:p>
            <w:pPr>
              <w:pStyle w:val="Compact"/>
              <w:jc w:val="left"/>
            </w:pPr>
            <w:r>
              <w:t xml:space="preserve">0.043</w:t>
            </w:r>
            <w:r>
              <w:rPr>
                <w:vertAlign w:val="superscript"/>
              </w:rPr>
              <w:t xml:space="preserve">*</w:t>
            </w:r>
          </w:p>
        </w:tc>
        <w:tc>
          <w:tcPr/>
          <w:p>
            <w:pPr>
              <w:pStyle w:val="Compact"/>
              <w:jc w:val="left"/>
            </w:pPr>
            <w:r>
              <w:t xml:space="preserve">0.041</w:t>
            </w:r>
          </w:p>
        </w:tc>
      </w:tr>
      <w:tr>
        <w:tc>
          <w:tcPr/>
          <w:p>
            <w:pPr>
              <w:pStyle w:val="Compact"/>
            </w:pPr>
          </w:p>
        </w:tc>
        <w:tc>
          <w:tcPr/>
          <w:p>
            <w:pPr>
              <w:pStyle w:val="Compact"/>
              <w:jc w:val="left"/>
            </w:pPr>
            <w:r>
              <w:t xml:space="preserve">(0.032)</w:t>
            </w:r>
          </w:p>
        </w:tc>
        <w:tc>
          <w:tcPr/>
          <w:p>
            <w:pPr>
              <w:pStyle w:val="Compact"/>
              <w:jc w:val="left"/>
            </w:pPr>
            <w:r>
              <w:t xml:space="preserve">(0.048)</w:t>
            </w:r>
          </w:p>
        </w:tc>
        <w:tc>
          <w:tcPr/>
          <w:p>
            <w:pPr>
              <w:pStyle w:val="Compact"/>
              <w:jc w:val="left"/>
            </w:pPr>
            <w:r>
              <w:t xml:space="preserve">(0.026)</w:t>
            </w:r>
          </w:p>
        </w:tc>
        <w:tc>
          <w:tcPr/>
          <w:p>
            <w:pPr>
              <w:pStyle w:val="Compact"/>
              <w:jc w:val="left"/>
            </w:pPr>
            <w:r>
              <w:t xml:space="preserve">(0.034)</w:t>
            </w:r>
          </w:p>
        </w:tc>
        <w:tc>
          <w:tcPr/>
          <w:p>
            <w:pPr>
              <w:pStyle w:val="Compact"/>
              <w:jc w:val="left"/>
            </w:pPr>
            <w:r>
              <w:t xml:space="preserve">(0.022)</w:t>
            </w:r>
          </w:p>
        </w:tc>
        <w:tc>
          <w:tcPr/>
          <w:p>
            <w:pPr>
              <w:pStyle w:val="Compact"/>
              <w:jc w:val="left"/>
            </w:pPr>
            <w:r>
              <w:t xml:space="preserve">(0.036)</w:t>
            </w:r>
          </w:p>
        </w:tc>
      </w:tr>
    </w:tbl>
    <w:p>
      <w:pPr>
        <w:pStyle w:val="BodyText"/>
      </w:pPr>
      <w:r>
        <w:t xml:space="preserve">Notes: Outgoing rotation groups, earnings weights. Block-bootstrap standard errors in parentheses.</w:t>
      </w:r>
    </w:p>
    <w:p>
      <w:pPr>
        <w:pStyle w:val="TableCaption"/>
      </w:pPr>
      <w:r>
        <w:t xml:space="preserve">Table 10: Stacked difference-in-differences estimates for wages and earnings by sex</w:t>
      </w:r>
    </w:p>
    <w:tbl>
      <w:tblPr>
        <w:tblStyle w:val="Table"/>
        <w:tblW w:type="dxa" w:w="9360"/>
        <w:tblLook w:firstRow="0" w:lastRow="0" w:firstColumn="0" w:lastColumn="0" w:noHBand="0" w:noVBand="0" w:val="0000"/>
        <w:jc w:val="start"/>
        <w:tblCaption w:val="Table 10: Stacked difference-in-differences estimates for wages and earnings by sex"/>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Girls</w:t>
            </w:r>
          </w:p>
        </w:tc>
        <w:tc>
          <w:tcPr/>
          <w:p>
            <w:pPr>
              <w:pStyle w:val="Compact"/>
              <w:jc w:val="left"/>
            </w:pPr>
            <w:r>
              <w:t xml:space="preserve">Boys</w:t>
            </w:r>
          </w:p>
        </w:tc>
        <w:tc>
          <w:tcPr/>
          <w:p>
            <w:pPr>
              <w:pStyle w:val="Compact"/>
              <w:jc w:val="left"/>
            </w:pPr>
            <w:r>
              <w:t xml:space="preserve">Girls</w:t>
            </w:r>
          </w:p>
        </w:tc>
        <w:tc>
          <w:tcPr/>
          <w:p>
            <w:pPr>
              <w:pStyle w:val="Compact"/>
              <w:jc w:val="left"/>
            </w:pPr>
            <w:r>
              <w:t xml:space="preserve">Boys</w:t>
            </w:r>
          </w:p>
        </w:tc>
        <w:tc>
          <w:tcPr/>
          <w:p>
            <w:pPr>
              <w:pStyle w:val="Compact"/>
              <w:jc w:val="left"/>
            </w:pPr>
            <w:r>
              <w:t xml:space="preserve">Girls</w:t>
            </w:r>
          </w:p>
        </w:tc>
        <w:tc>
          <w:tcPr/>
          <w:p>
            <w:pPr>
              <w:pStyle w:val="Compact"/>
              <w:jc w:val="left"/>
            </w:pPr>
            <w:r>
              <w:t xml:space="preserve">Boys</w:t>
            </w:r>
          </w:p>
        </w:tc>
      </w:tr>
      <w:tr>
        <w:tc>
          <w:tcPr/>
          <w:p>
            <w:pPr>
              <w:pStyle w:val="Compact"/>
              <w:jc w:val="left"/>
            </w:pPr>
            <w:r>
              <w:t xml:space="preserve">Log hourly wage, hourly paid</w:t>
            </w:r>
          </w:p>
        </w:tc>
        <w:tc>
          <w:tcPr/>
          <w:p>
            <w:pPr>
              <w:pStyle w:val="Compact"/>
              <w:jc w:val="left"/>
            </w:pPr>
            <w:r>
              <w:t xml:space="preserve">0.053</w:t>
            </w:r>
            <w:r>
              <w:rPr>
                <w:vertAlign w:val="superscript"/>
              </w:rPr>
              <w:t xml:space="preserve">***</w:t>
            </w:r>
          </w:p>
        </w:tc>
        <w:tc>
          <w:tcPr/>
          <w:p>
            <w:pPr>
              <w:pStyle w:val="Compact"/>
              <w:jc w:val="left"/>
            </w:pPr>
            <w:r>
              <w:t xml:space="preserve">0.044</w:t>
            </w:r>
            <w:r>
              <w:rPr>
                <w:vertAlign w:val="superscript"/>
              </w:rPr>
              <w:t xml:space="preserve">***</w:t>
            </w:r>
          </w:p>
        </w:tc>
        <w:tc>
          <w:tcPr/>
          <w:p>
            <w:pPr>
              <w:pStyle w:val="Compact"/>
              <w:jc w:val="left"/>
            </w:pPr>
            <w:r>
              <w:t xml:space="preserve">0.026</w:t>
            </w:r>
            <w:r>
              <w:rPr>
                <w:vertAlign w:val="superscript"/>
              </w:rPr>
              <w:t xml:space="preserve">***</w:t>
            </w:r>
          </w:p>
        </w:tc>
        <w:tc>
          <w:tcPr/>
          <w:p>
            <w:pPr>
              <w:pStyle w:val="Compact"/>
              <w:jc w:val="left"/>
            </w:pPr>
            <w:r>
              <w:t xml:space="preserve">0.035</w:t>
            </w:r>
            <w:r>
              <w:rPr>
                <w:vertAlign w:val="superscript"/>
              </w:rPr>
              <w:t xml:space="preserve">***</w:t>
            </w:r>
          </w:p>
        </w:tc>
        <w:tc>
          <w:tcPr/>
          <w:p>
            <w:pPr>
              <w:pStyle w:val="Compact"/>
              <w:jc w:val="left"/>
            </w:pPr>
            <w:r>
              <w:t xml:space="preserve">0.038</w:t>
            </w:r>
            <w:r>
              <w:rPr>
                <w:vertAlign w:val="superscript"/>
              </w:rPr>
              <w:t xml:space="preserve">***</w:t>
            </w:r>
          </w:p>
        </w:tc>
        <w:tc>
          <w:tcPr/>
          <w:p>
            <w:pPr>
              <w:pStyle w:val="Compact"/>
              <w:jc w:val="left"/>
            </w:pPr>
            <w:r>
              <w:t xml:space="preserve">0.040</w:t>
            </w:r>
            <w:r>
              <w:rPr>
                <w:vertAlign w:val="superscript"/>
              </w:rPr>
              <w:t xml:space="preserve">***</w:t>
            </w:r>
          </w:p>
        </w:tc>
      </w:tr>
      <w:tr>
        <w:tc>
          <w:tcPr/>
          <w:p>
            <w:pPr>
              <w:pStyle w:val="Compact"/>
            </w:pPr>
          </w:p>
        </w:tc>
        <w:tc>
          <w:tcPr/>
          <w:p>
            <w:pPr>
              <w:pStyle w:val="Compact"/>
              <w:jc w:val="left"/>
            </w:pPr>
            <w:r>
              <w:t xml:space="preserve">(0.012)</w:t>
            </w:r>
          </w:p>
        </w:tc>
        <w:tc>
          <w:tcPr/>
          <w:p>
            <w:pPr>
              <w:pStyle w:val="Compact"/>
              <w:jc w:val="left"/>
            </w:pPr>
            <w:r>
              <w:t xml:space="preserve">(0.009)</w:t>
            </w:r>
          </w:p>
        </w:tc>
        <w:tc>
          <w:tcPr/>
          <w:p>
            <w:pPr>
              <w:pStyle w:val="Compact"/>
              <w:jc w:val="left"/>
            </w:pPr>
            <w:r>
              <w:t xml:space="preserve">(0.008)</w:t>
            </w:r>
          </w:p>
        </w:tc>
        <w:tc>
          <w:tcPr/>
          <w:p>
            <w:pPr>
              <w:pStyle w:val="Compact"/>
              <w:jc w:val="left"/>
            </w:pPr>
            <w:r>
              <w:t xml:space="preserve">(0.010)</w:t>
            </w:r>
          </w:p>
        </w:tc>
        <w:tc>
          <w:tcPr/>
          <w:p>
            <w:pPr>
              <w:pStyle w:val="Compact"/>
              <w:jc w:val="left"/>
            </w:pPr>
            <w:r>
              <w:t xml:space="preserve">(0.008)</w:t>
            </w:r>
          </w:p>
        </w:tc>
        <w:tc>
          <w:tcPr/>
          <w:p>
            <w:pPr>
              <w:pStyle w:val="Compact"/>
              <w:jc w:val="left"/>
            </w:pPr>
            <w:r>
              <w:t xml:space="preserve">(0.009)</w:t>
            </w:r>
          </w:p>
        </w:tc>
      </w:tr>
      <w:tr>
        <w:tc>
          <w:tcPr/>
          <w:p>
            <w:pPr>
              <w:pStyle w:val="Compact"/>
              <w:jc w:val="left"/>
            </w:pPr>
            <w:r>
              <w:t xml:space="preserve">Log weekly earnings</w:t>
            </w:r>
          </w:p>
        </w:tc>
        <w:tc>
          <w:tcPr/>
          <w:p>
            <w:pPr>
              <w:pStyle w:val="Compact"/>
              <w:jc w:val="left"/>
            </w:pPr>
            <w:r>
              <w:t xml:space="preserve">0.044</w:t>
            </w:r>
          </w:p>
        </w:tc>
        <w:tc>
          <w:tcPr/>
          <w:p>
            <w:pPr>
              <w:pStyle w:val="Compact"/>
              <w:jc w:val="left"/>
            </w:pPr>
            <w:r>
              <w:t xml:space="preserve">0.054</w:t>
            </w:r>
            <w:r>
              <w:rPr>
                <w:vertAlign w:val="superscript"/>
              </w:rPr>
              <w:t xml:space="preserve">*</w:t>
            </w:r>
          </w:p>
        </w:tc>
        <w:tc>
          <w:tcPr/>
          <w:p>
            <w:pPr>
              <w:pStyle w:val="Compact"/>
              <w:jc w:val="left"/>
            </w:pPr>
            <w:r>
              <w:t xml:space="preserve">0.055</w:t>
            </w:r>
            <w:r>
              <w:rPr>
                <w:vertAlign w:val="superscript"/>
              </w:rPr>
              <w:t xml:space="preserve">***</w:t>
            </w:r>
          </w:p>
        </w:tc>
        <w:tc>
          <w:tcPr/>
          <w:p>
            <w:pPr>
              <w:pStyle w:val="Compact"/>
              <w:jc w:val="left"/>
            </w:pPr>
            <w:r>
              <w:t xml:space="preserve">0.035</w:t>
            </w:r>
            <w:r>
              <w:rPr>
                <w:vertAlign w:val="superscript"/>
              </w:rPr>
              <w:t xml:space="preserve">**</w:t>
            </w:r>
          </w:p>
        </w:tc>
        <w:tc>
          <w:tcPr/>
          <w:p>
            <w:pPr>
              <w:pStyle w:val="Compact"/>
              <w:jc w:val="left"/>
            </w:pPr>
            <w:r>
              <w:t xml:space="preserve">0.058</w:t>
            </w:r>
            <w:r>
              <w:rPr>
                <w:vertAlign w:val="superscript"/>
              </w:rPr>
              <w:t xml:space="preserve">***</w:t>
            </w:r>
          </w:p>
        </w:tc>
        <w:tc>
          <w:tcPr/>
          <w:p>
            <w:pPr>
              <w:pStyle w:val="Compact"/>
              <w:jc w:val="left"/>
            </w:pPr>
            <w:r>
              <w:t xml:space="preserve">0.045</w:t>
            </w:r>
            <w:r>
              <w:rPr>
                <w:vertAlign w:val="superscript"/>
              </w:rPr>
              <w:t xml:space="preserve">**</w:t>
            </w:r>
          </w:p>
        </w:tc>
      </w:tr>
      <w:tr>
        <w:tc>
          <w:tcPr/>
          <w:p>
            <w:pPr>
              <w:pStyle w:val="Compact"/>
            </w:pPr>
          </w:p>
        </w:tc>
        <w:tc>
          <w:tcPr/>
          <w:p>
            <w:pPr>
              <w:pStyle w:val="Compact"/>
              <w:jc w:val="left"/>
            </w:pPr>
            <w:r>
              <w:t xml:space="preserve">(0.032)</w:t>
            </w:r>
          </w:p>
        </w:tc>
        <w:tc>
          <w:tcPr/>
          <w:p>
            <w:pPr>
              <w:pStyle w:val="Compact"/>
              <w:jc w:val="left"/>
            </w:pPr>
            <w:r>
              <w:t xml:space="preserve">(0.032)</w:t>
            </w:r>
          </w:p>
        </w:tc>
        <w:tc>
          <w:tcPr/>
          <w:p>
            <w:pPr>
              <w:pStyle w:val="Compact"/>
              <w:jc w:val="left"/>
            </w:pPr>
            <w:r>
              <w:t xml:space="preserve">(0.017)</w:t>
            </w:r>
          </w:p>
        </w:tc>
        <w:tc>
          <w:tcPr/>
          <w:p>
            <w:pPr>
              <w:pStyle w:val="Compact"/>
              <w:jc w:val="left"/>
            </w:pPr>
            <w:r>
              <w:t xml:space="preserve">(0.018)</w:t>
            </w:r>
          </w:p>
        </w:tc>
        <w:tc>
          <w:tcPr/>
          <w:p>
            <w:pPr>
              <w:pStyle w:val="Compact"/>
              <w:jc w:val="left"/>
            </w:pPr>
            <w:r>
              <w:t xml:space="preserve">(0.017)</w:t>
            </w:r>
          </w:p>
        </w:tc>
        <w:tc>
          <w:tcPr/>
          <w:p>
            <w:pPr>
              <w:pStyle w:val="Compact"/>
              <w:jc w:val="left"/>
            </w:pPr>
            <w:r>
              <w:t xml:space="preserve">(0.022)</w:t>
            </w:r>
          </w:p>
        </w:tc>
      </w:tr>
    </w:tbl>
    <w:p>
      <w:pPr>
        <w:pStyle w:val="BodyText"/>
      </w:pPr>
      <w:r>
        <w:t xml:space="preserve">Notes: Outgoing rotation groups, earnings weights. Specification as in Table 2; standard errors clustered by state in parentheses.</w:t>
      </w:r>
    </w:p>
    <w:p>
      <w:pPr>
        <w:pStyle w:val="CaptionedFigure"/>
      </w:pPr>
      <w:r>
        <w:drawing>
          <wp:inline>
            <wp:extent cx="5334000" cy="1493520"/>
            <wp:effectExtent b="0" l="0" r="0" t="0"/>
            <wp:docPr descr="" title="" id="60" name="Picture"/>
            <a:graphic>
              <a:graphicData uri="http://schemas.openxmlformats.org/drawingml/2006/picture">
                <pic:pic>
                  <pic:nvPicPr>
                    <pic:cNvPr descr="figures/figR4_wage_sex.png" id="61" name="Picture"/>
                    <pic:cNvPicPr>
                      <a:picLocks noChangeArrowheads="1" noChangeAspect="1"/>
                    </pic:cNvPicPr>
                  </pic:nvPicPr>
                  <pic:blipFill>
                    <a:blip r:embed="rId59"/>
                    <a:stretch>
                      <a:fillRect/>
                    </a:stretch>
                  </pic:blipFill>
                  <pic:spPr bwMode="auto">
                    <a:xfrm>
                      <a:off x="0" y="0"/>
                      <a:ext cx="5334000" cy="1493520"/>
                    </a:xfrm>
                    <a:prstGeom prst="rect">
                      <a:avLst/>
                    </a:prstGeom>
                    <a:noFill/>
                    <a:ln w="9525">
                      <a:noFill/>
                      <a:headEnd/>
                      <a:tailEnd/>
                    </a:ln>
                  </pic:spPr>
                </pic:pic>
              </a:graphicData>
            </a:graphic>
          </wp:inline>
        </w:drawing>
      </w:r>
    </w:p>
    <w:p>
      <w:pPr>
        <w:pStyle w:val="ImageCaption"/>
      </w:pPr>
      <w:r>
        <w:t xml:space="preserve">Figure 9: Event-time effects on the log hourly wage by sex and age</w:t>
      </w:r>
    </w:p>
    <w:bookmarkEnd w:id="62"/>
    <w:bookmarkStart w:id="66" w:name="wages-by-race"/>
    <w:p>
      <w:pPr>
        <w:pStyle w:val="Heading2"/>
      </w:pPr>
      <w:r>
        <w:t xml:space="preserve">5.8 Wages by race</w:t>
      </w:r>
    </w:p>
    <w:p>
      <w:pPr>
        <w:pStyle w:val="FirstParagraph"/>
      </w:pPr>
      <w:r>
        <w:t xml:space="preserve">Table 11 and Figure 10 split the wage effect by race. Non-white teens gain more: 7.4 percent (s.e. 1.6) at 16–17 against 4.9 (1.8) for white teens, 3.5 (1.4) against 2.8 (1.3) at 18–19, and 4.3 (1.2) against 3.6 (1.3) pooled. The 2.5-point difference at 16–17 is what one expects if non-white teens’ jobs sit closer to the floor and if they are concentrated in the units with the largest increases. Weekly earnings of non-white teen workers are too thinly measured to say much,</w:t>
      </w:r>
      <w:r>
        <w:t xml:space="preserve"> </w:t>
      </w:r>
      <m:oMath>
        <m:r>
          <m:rPr>
            <m:sty m:val="p"/>
          </m:rPr>
          <m:t>+</m:t>
        </m:r>
        <m:r>
          <m:t>4.7</m:t>
        </m:r>
      </m:oMath>
      <w:r>
        <w:t xml:space="preserve"> </w:t>
      </w:r>
      <w:r>
        <w:t xml:space="preserve">(7.4) at 16–17 and</w:t>
      </w:r>
      <w:r>
        <w:t xml:space="preserve"> </w:t>
      </w:r>
      <m:oMath>
        <m:r>
          <m:rPr>
            <m:sty m:val="p"/>
          </m:rPr>
          <m:t>+</m:t>
        </m:r>
        <m:r>
          <m:t>3.1</m:t>
        </m:r>
      </m:oMath>
      <w:r>
        <w:t xml:space="preserve"> </w:t>
      </w:r>
      <w:r>
        <w:t xml:space="preserve">(3.8) at 18–19, against</w:t>
      </w:r>
      <w:r>
        <w:t xml:space="preserve"> </w:t>
      </w:r>
      <m:oMath>
        <m:r>
          <m:rPr>
            <m:sty m:val="p"/>
          </m:rPr>
          <m:t>+</m:t>
        </m:r>
        <m:r>
          <m:t>5.8</m:t>
        </m:r>
      </m:oMath>
      <w:r>
        <w:t xml:space="preserve"> </w:t>
      </w:r>
      <w:r>
        <w:t xml:space="preserve">(3.3) and</w:t>
      </w:r>
      <w:r>
        <w:t xml:space="preserve"> </w:t>
      </w:r>
      <m:oMath>
        <m:r>
          <m:rPr>
            <m:sty m:val="p"/>
          </m:rPr>
          <m:t>+</m:t>
        </m:r>
        <m:r>
          <m:t>6.0</m:t>
        </m:r>
      </m:oMath>
      <w:r>
        <w:t xml:space="preserve"> </w:t>
      </w:r>
      <w:r>
        <w:t xml:space="preserve">(3.1) for white teens. The first stage is present, and larger, for the group whose families have lower incomes, and Section 5.4 shows that their time allocation did not respond to it. The stacked coefficients (Table 12) are 4.8 percent (s.e. 1.0), 2.6 (1.2) and 3.6 (0.9) for white teens and 5.7 (1.2), 4.2 (1.0) and 4.8 (0.9) for non-white teens.</w:t>
      </w:r>
    </w:p>
    <w:p>
      <w:pPr>
        <w:pStyle w:val="TableCaption"/>
      </w:pPr>
      <w:r>
        <w:t xml:space="preserve">Table 11: Wages and earnings by race: post-event averages</w:t>
      </w:r>
    </w:p>
    <w:tbl>
      <w:tblPr>
        <w:tblStyle w:val="Table"/>
        <w:tblW w:type="dxa" w:w="9360"/>
        <w:tblLook w:firstRow="0" w:lastRow="0" w:firstColumn="0" w:lastColumn="0" w:noHBand="0" w:noVBand="0" w:val="0000"/>
        <w:jc w:val="start"/>
        <w:tblCaption w:val="Table 11: Wages and earnings by race: post-event average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White</w:t>
            </w:r>
          </w:p>
        </w:tc>
        <w:tc>
          <w:tcPr/>
          <w:p>
            <w:pPr>
              <w:pStyle w:val="Compact"/>
              <w:jc w:val="left"/>
            </w:pPr>
            <w:r>
              <w:t xml:space="preserve">Non-white</w:t>
            </w:r>
          </w:p>
        </w:tc>
        <w:tc>
          <w:tcPr/>
          <w:p>
            <w:pPr>
              <w:pStyle w:val="Compact"/>
              <w:jc w:val="left"/>
            </w:pPr>
            <w:r>
              <w:t xml:space="preserve">White</w:t>
            </w:r>
          </w:p>
        </w:tc>
        <w:tc>
          <w:tcPr/>
          <w:p>
            <w:pPr>
              <w:pStyle w:val="Compact"/>
              <w:jc w:val="left"/>
            </w:pPr>
            <w:r>
              <w:t xml:space="preserve">Non-white</w:t>
            </w:r>
          </w:p>
        </w:tc>
        <w:tc>
          <w:tcPr/>
          <w:p>
            <w:pPr>
              <w:pStyle w:val="Compact"/>
              <w:jc w:val="left"/>
            </w:pPr>
            <w:r>
              <w:t xml:space="preserve">White</w:t>
            </w:r>
          </w:p>
        </w:tc>
        <w:tc>
          <w:tcPr/>
          <w:p>
            <w:pPr>
              <w:pStyle w:val="Compact"/>
              <w:jc w:val="left"/>
            </w:pPr>
            <w:r>
              <w:t xml:space="preserve">Non-white</w:t>
            </w:r>
          </w:p>
        </w:tc>
      </w:tr>
      <w:tr>
        <w:tc>
          <w:tcPr/>
          <w:p>
            <w:pPr>
              <w:pStyle w:val="Compact"/>
              <w:jc w:val="left"/>
            </w:pPr>
            <w:r>
              <w:t xml:space="preserve">Log hourly wage, hourly-paid teens</w:t>
            </w:r>
          </w:p>
        </w:tc>
        <w:tc>
          <w:tcPr/>
          <w:p>
            <w:pPr>
              <w:pStyle w:val="Compact"/>
              <w:jc w:val="left"/>
            </w:pPr>
            <w:r>
              <w:t xml:space="preserve">0.049</w:t>
            </w:r>
            <w:r>
              <w:rPr>
                <w:vertAlign w:val="superscript"/>
              </w:rPr>
              <w:t xml:space="preserve">***</w:t>
            </w:r>
          </w:p>
        </w:tc>
        <w:tc>
          <w:tcPr/>
          <w:p>
            <w:pPr>
              <w:pStyle w:val="Compact"/>
              <w:jc w:val="left"/>
            </w:pPr>
            <w:r>
              <w:t xml:space="preserve">0.074</w:t>
            </w:r>
            <w:r>
              <w:rPr>
                <w:vertAlign w:val="superscript"/>
              </w:rPr>
              <w:t xml:space="preserve">***</w:t>
            </w:r>
          </w:p>
        </w:tc>
        <w:tc>
          <w:tcPr/>
          <w:p>
            <w:pPr>
              <w:pStyle w:val="Compact"/>
              <w:jc w:val="left"/>
            </w:pPr>
            <w:r>
              <w:t xml:space="preserve">0.028</w:t>
            </w:r>
            <w:r>
              <w:rPr>
                <w:vertAlign w:val="superscript"/>
              </w:rPr>
              <w:t xml:space="preserve">**</w:t>
            </w:r>
          </w:p>
        </w:tc>
        <w:tc>
          <w:tcPr/>
          <w:p>
            <w:pPr>
              <w:pStyle w:val="Compact"/>
              <w:jc w:val="left"/>
            </w:pPr>
            <w:r>
              <w:t xml:space="preserve">0.035</w:t>
            </w:r>
            <w:r>
              <w:rPr>
                <w:vertAlign w:val="superscript"/>
              </w:rPr>
              <w:t xml:space="preserve">***</w:t>
            </w:r>
          </w:p>
        </w:tc>
        <w:tc>
          <w:tcPr/>
          <w:p>
            <w:pPr>
              <w:pStyle w:val="Compact"/>
              <w:jc w:val="left"/>
            </w:pPr>
            <w:r>
              <w:t xml:space="preserve">0.036</w:t>
            </w:r>
            <w:r>
              <w:rPr>
                <w:vertAlign w:val="superscript"/>
              </w:rPr>
              <w:t xml:space="preserve">***</w:t>
            </w:r>
          </w:p>
        </w:tc>
        <w:tc>
          <w:tcPr/>
          <w:p>
            <w:pPr>
              <w:pStyle w:val="Compact"/>
              <w:jc w:val="left"/>
            </w:pPr>
            <w:r>
              <w:t xml:space="preserve">0.043</w:t>
            </w:r>
            <w:r>
              <w:rPr>
                <w:vertAlign w:val="superscript"/>
              </w:rPr>
              <w:t xml:space="preserve">***</w:t>
            </w:r>
          </w:p>
        </w:tc>
      </w:tr>
      <w:tr>
        <w:tc>
          <w:tcPr/>
          <w:p>
            <w:pPr>
              <w:pStyle w:val="Compact"/>
            </w:pPr>
          </w:p>
        </w:tc>
        <w:tc>
          <w:tcPr/>
          <w:p>
            <w:pPr>
              <w:pStyle w:val="Compact"/>
              <w:jc w:val="left"/>
            </w:pPr>
            <w:r>
              <w:t xml:space="preserve">(0.018)</w:t>
            </w:r>
          </w:p>
        </w:tc>
        <w:tc>
          <w:tcPr/>
          <w:p>
            <w:pPr>
              <w:pStyle w:val="Compact"/>
              <w:jc w:val="left"/>
            </w:pPr>
            <w:r>
              <w:t xml:space="preserve">(0.016)</w:t>
            </w:r>
          </w:p>
        </w:tc>
        <w:tc>
          <w:tcPr/>
          <w:p>
            <w:pPr>
              <w:pStyle w:val="Compact"/>
              <w:jc w:val="left"/>
            </w:pPr>
            <w:r>
              <w:t xml:space="preserve">(0.013)</w:t>
            </w:r>
          </w:p>
        </w:tc>
        <w:tc>
          <w:tcPr/>
          <w:p>
            <w:pPr>
              <w:pStyle w:val="Compact"/>
              <w:jc w:val="left"/>
            </w:pPr>
            <w:r>
              <w:t xml:space="preserve">(0.014)</w:t>
            </w:r>
          </w:p>
        </w:tc>
        <w:tc>
          <w:tcPr/>
          <w:p>
            <w:pPr>
              <w:pStyle w:val="Compact"/>
              <w:jc w:val="left"/>
            </w:pPr>
            <w:r>
              <w:t xml:space="preserve">(0.013)</w:t>
            </w:r>
          </w:p>
        </w:tc>
        <w:tc>
          <w:tcPr/>
          <w:p>
            <w:pPr>
              <w:pStyle w:val="Compact"/>
              <w:jc w:val="left"/>
            </w:pPr>
            <w:r>
              <w:t xml:space="preserve">(0.012)</w:t>
            </w:r>
          </w:p>
        </w:tc>
      </w:tr>
      <w:tr>
        <w:tc>
          <w:tcPr/>
          <w:p>
            <w:pPr>
              <w:pStyle w:val="Compact"/>
              <w:jc w:val="left"/>
            </w:pPr>
            <w:r>
              <w:t xml:space="preserve">Log weekly earnings, all teen workers</w:t>
            </w:r>
          </w:p>
        </w:tc>
        <w:tc>
          <w:tcPr/>
          <w:p>
            <w:pPr>
              <w:pStyle w:val="Compact"/>
              <w:jc w:val="left"/>
            </w:pPr>
            <w:r>
              <w:t xml:space="preserve">0.058</w:t>
            </w:r>
            <w:r>
              <w:rPr>
                <w:vertAlign w:val="superscript"/>
              </w:rPr>
              <w:t xml:space="preserve">*</w:t>
            </w:r>
          </w:p>
        </w:tc>
        <w:tc>
          <w:tcPr/>
          <w:p>
            <w:pPr>
              <w:pStyle w:val="Compact"/>
              <w:jc w:val="left"/>
            </w:pPr>
            <w:r>
              <w:t xml:space="preserve">0.047</w:t>
            </w:r>
          </w:p>
        </w:tc>
        <w:tc>
          <w:tcPr/>
          <w:p>
            <w:pPr>
              <w:pStyle w:val="Compact"/>
              <w:jc w:val="left"/>
            </w:pPr>
            <w:r>
              <w:t xml:space="preserve">0.060</w:t>
            </w:r>
            <w:r>
              <w:rPr>
                <w:vertAlign w:val="superscript"/>
              </w:rPr>
              <w:t xml:space="preserve">*</w:t>
            </w:r>
          </w:p>
        </w:tc>
        <w:tc>
          <w:tcPr/>
          <w:p>
            <w:pPr>
              <w:pStyle w:val="Compact"/>
              <w:jc w:val="left"/>
            </w:pPr>
            <w:r>
              <w:t xml:space="preserve">0.031</w:t>
            </w:r>
          </w:p>
        </w:tc>
        <w:tc>
          <w:tcPr/>
          <w:p>
            <w:pPr>
              <w:pStyle w:val="Compact"/>
              <w:jc w:val="left"/>
            </w:pPr>
            <w:r>
              <w:t xml:space="preserve">0.060</w:t>
            </w:r>
            <w:r>
              <w:rPr>
                <w:vertAlign w:val="superscript"/>
              </w:rPr>
              <w:t xml:space="preserve">**</w:t>
            </w:r>
          </w:p>
        </w:tc>
        <w:tc>
          <w:tcPr/>
          <w:p>
            <w:pPr>
              <w:pStyle w:val="Compact"/>
              <w:jc w:val="left"/>
            </w:pPr>
            <w:r>
              <w:t xml:space="preserve">0.029</w:t>
            </w:r>
          </w:p>
        </w:tc>
      </w:tr>
      <w:tr>
        <w:tc>
          <w:tcPr/>
          <w:p>
            <w:pPr>
              <w:pStyle w:val="Compact"/>
            </w:pPr>
          </w:p>
        </w:tc>
        <w:tc>
          <w:tcPr/>
          <w:p>
            <w:pPr>
              <w:pStyle w:val="Compact"/>
              <w:jc w:val="left"/>
            </w:pPr>
            <w:r>
              <w:t xml:space="preserve">(0.033)</w:t>
            </w:r>
          </w:p>
        </w:tc>
        <w:tc>
          <w:tcPr/>
          <w:p>
            <w:pPr>
              <w:pStyle w:val="Compact"/>
              <w:jc w:val="left"/>
            </w:pPr>
            <w:r>
              <w:t xml:space="preserve">(0.074)</w:t>
            </w:r>
          </w:p>
        </w:tc>
        <w:tc>
          <w:tcPr/>
          <w:p>
            <w:pPr>
              <w:pStyle w:val="Compact"/>
              <w:jc w:val="left"/>
            </w:pPr>
            <w:r>
              <w:t xml:space="preserve">(0.031)</w:t>
            </w:r>
          </w:p>
        </w:tc>
        <w:tc>
          <w:tcPr/>
          <w:p>
            <w:pPr>
              <w:pStyle w:val="Compact"/>
              <w:jc w:val="left"/>
            </w:pPr>
            <w:r>
              <w:t xml:space="preserve">(0.038)</w:t>
            </w:r>
          </w:p>
        </w:tc>
        <w:tc>
          <w:tcPr/>
          <w:p>
            <w:pPr>
              <w:pStyle w:val="Compact"/>
              <w:jc w:val="left"/>
            </w:pPr>
            <w:r>
              <w:t xml:space="preserve">(0.026)</w:t>
            </w:r>
          </w:p>
        </w:tc>
        <w:tc>
          <w:tcPr/>
          <w:p>
            <w:pPr>
              <w:pStyle w:val="Compact"/>
              <w:jc w:val="left"/>
            </w:pPr>
            <w:r>
              <w:t xml:space="preserve">(0.039)</w:t>
            </w:r>
          </w:p>
        </w:tc>
      </w:tr>
    </w:tbl>
    <w:p>
      <w:pPr>
        <w:pStyle w:val="BodyText"/>
      </w:pPr>
      <w:r>
        <w:t xml:space="preserve">Notes: White: non-Hispanic white; Non-white: Black, Hispanic and other. Outgoing rotation groups, earnings weights. Block-bootstrap standard errors in parentheses.</w:t>
      </w:r>
    </w:p>
    <w:p>
      <w:pPr>
        <w:pStyle w:val="TableCaption"/>
      </w:pPr>
      <w:r>
        <w:t xml:space="preserve">Table 12: Stacked difference-in-differences estimates for wages and earnings by race</w:t>
      </w:r>
    </w:p>
    <w:tbl>
      <w:tblPr>
        <w:tblStyle w:val="Table"/>
        <w:tblW w:type="dxa" w:w="9360"/>
        <w:tblLook w:firstRow="0" w:lastRow="0" w:firstColumn="0" w:lastColumn="0" w:noHBand="0" w:noVBand="0" w:val="0000"/>
        <w:jc w:val="start"/>
        <w:tblCaption w:val="Table 12: Stacked difference-in-differences estimates for wages and earnings by race"/>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White</w:t>
            </w:r>
          </w:p>
        </w:tc>
        <w:tc>
          <w:tcPr/>
          <w:p>
            <w:pPr>
              <w:pStyle w:val="Compact"/>
              <w:jc w:val="left"/>
            </w:pPr>
            <w:r>
              <w:t xml:space="preserve">Non-white</w:t>
            </w:r>
          </w:p>
        </w:tc>
        <w:tc>
          <w:tcPr/>
          <w:p>
            <w:pPr>
              <w:pStyle w:val="Compact"/>
              <w:jc w:val="left"/>
            </w:pPr>
            <w:r>
              <w:t xml:space="preserve">White</w:t>
            </w:r>
          </w:p>
        </w:tc>
        <w:tc>
          <w:tcPr/>
          <w:p>
            <w:pPr>
              <w:pStyle w:val="Compact"/>
              <w:jc w:val="left"/>
            </w:pPr>
            <w:r>
              <w:t xml:space="preserve">Non-white</w:t>
            </w:r>
          </w:p>
        </w:tc>
        <w:tc>
          <w:tcPr/>
          <w:p>
            <w:pPr>
              <w:pStyle w:val="Compact"/>
              <w:jc w:val="left"/>
            </w:pPr>
            <w:r>
              <w:t xml:space="preserve">White</w:t>
            </w:r>
          </w:p>
        </w:tc>
        <w:tc>
          <w:tcPr/>
          <w:p>
            <w:pPr>
              <w:pStyle w:val="Compact"/>
              <w:jc w:val="left"/>
            </w:pPr>
            <w:r>
              <w:t xml:space="preserve">Non-white</w:t>
            </w:r>
          </w:p>
        </w:tc>
      </w:tr>
      <w:tr>
        <w:tc>
          <w:tcPr/>
          <w:p>
            <w:pPr>
              <w:pStyle w:val="Compact"/>
              <w:jc w:val="left"/>
            </w:pPr>
            <w:r>
              <w:t xml:space="preserve">Log hourly wage, hourly paid</w:t>
            </w:r>
          </w:p>
        </w:tc>
        <w:tc>
          <w:tcPr/>
          <w:p>
            <w:pPr>
              <w:pStyle w:val="Compact"/>
              <w:jc w:val="left"/>
            </w:pPr>
            <w:r>
              <w:t xml:space="preserve">0.048</w:t>
            </w:r>
            <w:r>
              <w:rPr>
                <w:vertAlign w:val="superscript"/>
              </w:rPr>
              <w:t xml:space="preserve">***</w:t>
            </w:r>
          </w:p>
        </w:tc>
        <w:tc>
          <w:tcPr/>
          <w:p>
            <w:pPr>
              <w:pStyle w:val="Compact"/>
              <w:jc w:val="left"/>
            </w:pPr>
            <w:r>
              <w:t xml:space="preserve">0.057</w:t>
            </w:r>
            <w:r>
              <w:rPr>
                <w:vertAlign w:val="superscript"/>
              </w:rPr>
              <w:t xml:space="preserve">***</w:t>
            </w:r>
          </w:p>
        </w:tc>
        <w:tc>
          <w:tcPr/>
          <w:p>
            <w:pPr>
              <w:pStyle w:val="Compact"/>
              <w:jc w:val="left"/>
            </w:pPr>
            <w:r>
              <w:t xml:space="preserve">0.026</w:t>
            </w:r>
            <w:r>
              <w:rPr>
                <w:vertAlign w:val="superscript"/>
              </w:rPr>
              <w:t xml:space="preserve">**</w:t>
            </w:r>
          </w:p>
        </w:tc>
        <w:tc>
          <w:tcPr/>
          <w:p>
            <w:pPr>
              <w:pStyle w:val="Compact"/>
              <w:jc w:val="left"/>
            </w:pPr>
            <w:r>
              <w:t xml:space="preserve">0.042</w:t>
            </w:r>
            <w:r>
              <w:rPr>
                <w:vertAlign w:val="superscript"/>
              </w:rPr>
              <w:t xml:space="preserve">***</w:t>
            </w:r>
          </w:p>
        </w:tc>
        <w:tc>
          <w:tcPr/>
          <w:p>
            <w:pPr>
              <w:pStyle w:val="Compact"/>
              <w:jc w:val="left"/>
            </w:pPr>
            <w:r>
              <w:t xml:space="preserve">0.036</w:t>
            </w:r>
            <w:r>
              <w:rPr>
                <w:vertAlign w:val="superscript"/>
              </w:rPr>
              <w:t xml:space="preserve">***</w:t>
            </w:r>
          </w:p>
        </w:tc>
        <w:tc>
          <w:tcPr/>
          <w:p>
            <w:pPr>
              <w:pStyle w:val="Compact"/>
              <w:jc w:val="left"/>
            </w:pPr>
            <w:r>
              <w:t xml:space="preserve">0.048</w:t>
            </w:r>
            <w:r>
              <w:rPr>
                <w:vertAlign w:val="superscript"/>
              </w:rPr>
              <w:t xml:space="preserve">***</w:t>
            </w:r>
          </w:p>
        </w:tc>
      </w:tr>
      <w:tr>
        <w:tc>
          <w:tcPr/>
          <w:p>
            <w:pPr>
              <w:pStyle w:val="Compact"/>
            </w:pPr>
          </w:p>
        </w:tc>
        <w:tc>
          <w:tcPr/>
          <w:p>
            <w:pPr>
              <w:pStyle w:val="Compact"/>
              <w:jc w:val="left"/>
            </w:pPr>
            <w:r>
              <w:t xml:space="preserve">(0.010)</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(0.010)</w:t>
            </w:r>
          </w:p>
        </w:tc>
        <w:tc>
          <w:tcPr/>
          <w:p>
            <w:pPr>
              <w:pStyle w:val="Compact"/>
              <w:jc w:val="left"/>
            </w:pPr>
            <w:r>
              <w:t xml:space="preserve">(0.009)</w:t>
            </w:r>
          </w:p>
        </w:tc>
        <w:tc>
          <w:tcPr/>
          <w:p>
            <w:pPr>
              <w:pStyle w:val="Compact"/>
              <w:jc w:val="left"/>
            </w:pPr>
            <w:r>
              <w:t xml:space="preserve">(0.009)</w:t>
            </w:r>
          </w:p>
        </w:tc>
      </w:tr>
      <w:tr>
        <w:tc>
          <w:tcPr/>
          <w:p>
            <w:pPr>
              <w:pStyle w:val="Compact"/>
              <w:jc w:val="left"/>
            </w:pPr>
            <w:r>
              <w:t xml:space="preserve">Log weekly earnings</w:t>
            </w:r>
          </w:p>
        </w:tc>
        <w:tc>
          <w:tcPr/>
          <w:p>
            <w:pPr>
              <w:pStyle w:val="Compact"/>
              <w:jc w:val="left"/>
            </w:pPr>
            <w:r>
              <w:t xml:space="preserve">0.053</w:t>
            </w:r>
            <w:r>
              <w:rPr>
                <w:vertAlign w:val="superscript"/>
              </w:rPr>
              <w:t xml:space="preserve">**</w:t>
            </w:r>
          </w:p>
        </w:tc>
        <w:tc>
          <w:tcPr/>
          <w:p>
            <w:pPr>
              <w:pStyle w:val="Compact"/>
              <w:jc w:val="left"/>
            </w:pPr>
            <w:r>
              <w:t xml:space="preserve">0.072</w:t>
            </w:r>
            <w:r>
              <w:rPr>
                <w:vertAlign w:val="superscript"/>
              </w:rPr>
              <w:t xml:space="preserve">*</w:t>
            </w:r>
          </w:p>
        </w:tc>
        <w:tc>
          <w:tcPr/>
          <w:p>
            <w:pPr>
              <w:pStyle w:val="Compact"/>
              <w:jc w:val="left"/>
            </w:pPr>
            <w:r>
              <w:t xml:space="preserve">0.054</w:t>
            </w:r>
            <w:r>
              <w:rPr>
                <w:vertAlign w:val="superscript"/>
              </w:rPr>
              <w:t xml:space="preserve">**</w:t>
            </w:r>
          </w:p>
        </w:tc>
        <w:tc>
          <w:tcPr/>
          <w:p>
            <w:pPr>
              <w:pStyle w:val="Compact"/>
              <w:jc w:val="left"/>
            </w:pPr>
            <w:r>
              <w:t xml:space="preserve">0.043</w:t>
            </w:r>
            <w:r>
              <w:rPr>
                <w:vertAlign w:val="superscript"/>
              </w:rPr>
              <w:t xml:space="preserve">**</w:t>
            </w:r>
          </w:p>
        </w:tc>
        <w:tc>
          <w:tcPr/>
          <w:p>
            <w:pPr>
              <w:pStyle w:val="Compact"/>
              <w:jc w:val="left"/>
            </w:pPr>
            <w:r>
              <w:t xml:space="preserve">0.057</w:t>
            </w:r>
            <w:r>
              <w:rPr>
                <w:vertAlign w:val="superscript"/>
              </w:rPr>
              <w:t xml:space="preserve">***</w:t>
            </w:r>
          </w:p>
        </w:tc>
        <w:tc>
          <w:tcPr/>
          <w:p>
            <w:pPr>
              <w:pStyle w:val="Compact"/>
              <w:jc w:val="left"/>
            </w:pPr>
            <w:r>
              <w:t xml:space="preserve">0.049</w:t>
            </w:r>
            <w:r>
              <w:rPr>
                <w:vertAlign w:val="superscript"/>
              </w:rPr>
              <w:t xml:space="preserve">**</w:t>
            </w:r>
          </w:p>
        </w:tc>
      </w:tr>
      <w:tr>
        <w:tc>
          <w:tcPr/>
          <w:p>
            <w:pPr>
              <w:pStyle w:val="Compact"/>
            </w:pPr>
          </w:p>
        </w:tc>
        <w:tc>
          <w:tcPr/>
          <w:p>
            <w:pPr>
              <w:pStyle w:val="Compact"/>
              <w:jc w:val="left"/>
            </w:pPr>
            <w:r>
              <w:t xml:space="preserve">(0.023)</w:t>
            </w:r>
          </w:p>
        </w:tc>
        <w:tc>
          <w:tcPr/>
          <w:p>
            <w:pPr>
              <w:pStyle w:val="Compact"/>
              <w:jc w:val="left"/>
            </w:pPr>
            <w:r>
              <w:t xml:space="preserve">(0.039)</w:t>
            </w:r>
          </w:p>
        </w:tc>
        <w:tc>
          <w:tcPr/>
          <w:p>
            <w:pPr>
              <w:pStyle w:val="Compact"/>
              <w:jc w:val="left"/>
            </w:pPr>
            <w:r>
              <w:t xml:space="preserve">(0.021)</w:t>
            </w:r>
          </w:p>
        </w:tc>
        <w:tc>
          <w:tcPr/>
          <w:p>
            <w:pPr>
              <w:pStyle w:val="Compact"/>
              <w:jc w:val="left"/>
            </w:pPr>
            <w:r>
              <w:t xml:space="preserve">(0.021)</w:t>
            </w:r>
          </w:p>
        </w:tc>
        <w:tc>
          <w:tcPr/>
          <w:p>
            <w:pPr>
              <w:pStyle w:val="Compact"/>
              <w:jc w:val="left"/>
            </w:pPr>
            <w:r>
              <w:t xml:space="preserve">(0.017)</w:t>
            </w:r>
          </w:p>
        </w:tc>
        <w:tc>
          <w:tcPr/>
          <w:p>
            <w:pPr>
              <w:pStyle w:val="Compact"/>
              <w:jc w:val="left"/>
            </w:pPr>
            <w:r>
              <w:t xml:space="preserve">(0.022)</w:t>
            </w:r>
          </w:p>
        </w:tc>
      </w:tr>
    </w:tbl>
    <w:p>
      <w:pPr>
        <w:pStyle w:val="BodyText"/>
      </w:pPr>
      <w:r>
        <w:t xml:space="preserve">Notes: White: non-Hispanic white; Non-white: Black, Hispanic and other. Outgoing rotation groups, earnings weights. Specification as in Table 2; standard errors clustered by state in parentheses.</w:t>
      </w:r>
    </w:p>
    <w:p>
      <w:pPr>
        <w:pStyle w:val="CaptionedFigure"/>
      </w:pPr>
      <w:r>
        <w:drawing>
          <wp:inline>
            <wp:extent cx="5334000" cy="1493520"/>
            <wp:effectExtent b="0" l="0" r="0" t="0"/>
            <wp:docPr descr="" title="" id="64" name="Picture"/>
            <a:graphic>
              <a:graphicData uri="http://schemas.openxmlformats.org/drawingml/2006/picture">
                <pic:pic>
                  <pic:nvPicPr>
                    <pic:cNvPr descr="figures/figR4_wage_race.png" id="65" name="Picture"/>
                    <pic:cNvPicPr>
                      <a:picLocks noChangeArrowheads="1" noChangeAspect="1"/>
                    </pic:cNvPicPr>
                  </pic:nvPicPr>
                  <pic:blipFill>
                    <a:blip r:embed="rId63"/>
                    <a:stretch>
                      <a:fillRect/>
                    </a:stretch>
                  </pic:blipFill>
                  <pic:spPr bwMode="auto">
                    <a:xfrm>
                      <a:off x="0" y="0"/>
                      <a:ext cx="5334000" cy="1493520"/>
                    </a:xfrm>
                    <a:prstGeom prst="rect">
                      <a:avLst/>
                    </a:prstGeom>
                    <a:noFill/>
                    <a:ln w="9525">
                      <a:noFill/>
                      <a:headEnd/>
                      <a:tailEnd/>
                    </a:ln>
                  </pic:spPr>
                </pic:pic>
              </a:graphicData>
            </a:graphic>
          </wp:inline>
        </w:drawing>
      </w:r>
    </w:p>
    <w:p>
      <w:pPr>
        <w:pStyle w:val="ImageCaption"/>
      </w:pPr>
      <w:r>
        <w:t xml:space="preserve">Figure 10: Event-time effects on the log hourly wage by race and age</w:t>
      </w:r>
    </w:p>
    <w:bookmarkEnd w:id="66"/>
    <w:bookmarkEnd w:id="67"/>
    <w:bookmarkStart w:id="77" w:name="robustness"/>
    <w:p>
      <w:pPr>
        <w:pStyle w:val="Heading1"/>
      </w:pPr>
      <w:r>
        <w:t xml:space="preserve">6 Robustness</w:t>
      </w:r>
    </w:p>
    <w:p>
      <w:pPr>
        <w:pStyle w:val="FirstParagraph"/>
      </w:pPr>
      <w:r>
        <w:t xml:space="preserve">Table 13 re-estimates the enrollment, employment and neither-enrolled-nor-employed effects under alternative units, event sets, control sets, weights and samples. Treating states as the units, so that a county’s local minimum is ignored and its teens are counted at the state rate, gives enrollment effects of</w:t>
      </w:r>
      <w:r>
        <w:t xml:space="preserve"> </w:t>
      </w:r>
      <m:oMath>
        <m:r>
          <m:rPr>
            <m:sty m:val="p"/>
          </m:rPr>
          <m:t>−</m:t>
        </m:r>
        <m:r>
          <m:t>0.3</m:t>
        </m:r>
      </m:oMath>
      <w:r>
        <w:t xml:space="preserve"> </w:t>
      </w:r>
      <w:r>
        <w:t xml:space="preserve">(s.e. 0.4) and</w:t>
      </w:r>
      <w:r>
        <w:t xml:space="preserve"> </w:t>
      </w:r>
      <m:oMath>
        <m:r>
          <m:rPr>
            <m:sty m:val="p"/>
          </m:rPr>
          <m:t>−</m:t>
        </m:r>
        <m:r>
          <m:t>0.4</m:t>
        </m:r>
      </m:oMath>
      <w:r>
        <w:t xml:space="preserve"> </w:t>
      </w:r>
      <w:r>
        <w:t xml:space="preserve">(s.e. 0.9) from 39 state events, the same as the unit design; Figures 11 and 12 are the state-design counterparts of the main figures. Within the unit design, the 39 state-remainder events alone give</w:t>
      </w:r>
      <w:r>
        <w:t xml:space="preserve"> </w:t>
      </w:r>
      <m:oMath>
        <m:r>
          <m:rPr>
            <m:sty m:val="p"/>
          </m:rPr>
          <m:t>−</m:t>
        </m:r>
        <m:r>
          <m:t>0.5</m:t>
        </m:r>
      </m:oMath>
      <w:r>
        <w:t xml:space="preserve"> </w:t>
      </w:r>
      <w:r>
        <w:t xml:space="preserve">(0.5) and</w:t>
      </w:r>
      <w:r>
        <w:t xml:space="preserve"> </w:t>
      </w:r>
      <m:oMath>
        <m:r>
          <m:rPr>
            <m:sty m:val="p"/>
          </m:rPr>
          <m:t>−</m:t>
        </m:r>
        <m:r>
          <m:t>0.9</m:t>
        </m:r>
      </m:oMath>
      <w:r>
        <w:t xml:space="preserve"> </w:t>
      </w:r>
      <w:r>
        <w:t xml:space="preserve">(1.0). Using all 134 unit events since 1994 gives</w:t>
      </w:r>
      <w:r>
        <w:t xml:space="preserve"> </w:t>
      </w:r>
      <m:oMath>
        <m:r>
          <m:rPr>
            <m:sty m:val="p"/>
          </m:rPr>
          <m:t>−</m:t>
        </m:r>
        <m:r>
          <m:t>0.3</m:t>
        </m:r>
      </m:oMath>
      <w:r>
        <w:t xml:space="preserve"> </w:t>
      </w:r>
      <w:r>
        <w:t xml:space="preserve">(s.e. 0.3) and</w:t>
      </w:r>
      <w:r>
        <w:t xml:space="preserve"> </w:t>
      </w:r>
      <m:oMath>
        <m:r>
          <m:rPr>
            <m:sty m:val="p"/>
          </m:rPr>
          <m:t>+</m:t>
        </m:r>
        <m:r>
          <m:t>0.4</m:t>
        </m:r>
      </m:oMath>
      <w:r>
        <w:t xml:space="preserve"> </w:t>
      </w:r>
      <w:r>
        <w:t xml:space="preserve">(s.e. 0.6); the 61 events before 2010, whose windows contain the federal increases, give</w:t>
      </w:r>
      <w:r>
        <w:t xml:space="preserve"> </w:t>
      </w:r>
      <m:oMath>
        <m:r>
          <m:rPr>
            <m:sty m:val="p"/>
          </m:rPr>
          <m:t>−</m:t>
        </m:r>
        <m:r>
          <m:t>0.3</m:t>
        </m:r>
      </m:oMath>
      <w:r>
        <w:t xml:space="preserve"> </w:t>
      </w:r>
      <w:r>
        <w:t xml:space="preserve">and</w:t>
      </w:r>
      <w:r>
        <w:t xml:space="preserve"> </w:t>
      </w:r>
      <m:oMath>
        <m:r>
          <m:rPr>
            <m:sty m:val="p"/>
          </m:rPr>
          <m:t>+</m:t>
        </m:r>
        <m:r>
          <m:t>0.7</m:t>
        </m:r>
      </m:oMath>
      <w:r>
        <w:t xml:space="preserve">; the 62 events with a window rise of at least 20 percent give</w:t>
      </w:r>
      <w:r>
        <w:t xml:space="preserve"> </w:t>
      </w:r>
      <m:oMath>
        <m:r>
          <m:rPr>
            <m:sty m:val="p"/>
          </m:rPr>
          <m:t>−</m:t>
        </m:r>
        <m:r>
          <m:t>0.2</m:t>
        </m:r>
      </m:oMath>
      <w:r>
        <w:t xml:space="preserve"> </w:t>
      </w:r>
      <w:r>
        <w:t xml:space="preserve">and</w:t>
      </w:r>
      <w:r>
        <w:t xml:space="preserve"> </w:t>
      </w:r>
      <m:oMath>
        <m:r>
          <m:rPr>
            <m:sty m:val="p"/>
          </m:rPr>
          <m:t>−</m:t>
        </m:r>
        <m:r>
          <m:t>0.0</m:t>
        </m:r>
      </m:oMath>
      <w:r>
        <w:t xml:space="preserve">. Restricting controls to units with no increase of any kind or to the states at the federal floor, dropping 2020 and 2021, and using September to May only all leave the estimates within one standard error of zero. Equal weighting of events gives</w:t>
      </w:r>
      <w:r>
        <w:t xml:space="preserve"> </w:t>
      </w:r>
      <m:oMath>
        <m:r>
          <m:rPr>
            <m:sty m:val="p"/>
          </m:rPr>
          <m:t>+</m:t>
        </m:r>
        <m:r>
          <m:t>0.3</m:t>
        </m:r>
      </m:oMath>
      <w:r>
        <w:t xml:space="preserve"> </w:t>
      </w:r>
      <w:r>
        <w:t xml:space="preserve">(0.5) and</w:t>
      </w:r>
      <w:r>
        <w:t xml:space="preserve"> </w:t>
      </w:r>
      <m:oMath>
        <m:r>
          <m:rPr>
            <m:sty m:val="p"/>
          </m:rPr>
          <m:t>+</m:t>
        </m:r>
        <m:r>
          <m:t>1.8</m:t>
        </m:r>
      </m:oMath>
      <w:r>
        <w:t xml:space="preserve"> </w:t>
      </w:r>
      <w:r>
        <w:t xml:space="preserve">(0.9) at 18–19, the latter with a pre-event average of</w:t>
      </w:r>
      <w:r>
        <w:t xml:space="preserve"> </w:t>
      </w:r>
      <m:oMath>
        <m:r>
          <m:rPr>
            <m:sty m:val="p"/>
          </m:rPr>
          <m:t>+</m:t>
        </m:r>
        <m:r>
          <m:t>2.1</m:t>
        </m:r>
      </m:oMath>
      <w:r>
        <w:t xml:space="preserve">, because equal weights give the small county units, whose enrollment was already rising, the same weight as California. Employment of 16–17 year olds is</w:t>
      </w:r>
      <w:r>
        <w:t xml:space="preserve"> </w:t>
      </w:r>
      <m:oMath>
        <m:r>
          <m:rPr>
            <m:sty m:val="p"/>
          </m:rPr>
          <m:t>−</m:t>
        </m:r>
        <m:r>
          <m:t>1.0</m:t>
        </m:r>
      </m:oMath>
      <w:r>
        <w:t xml:space="preserve"> </w:t>
      </w:r>
      <w:r>
        <w:t xml:space="preserve">points (s.e. 0.7) in the pre-2010 set and</w:t>
      </w:r>
      <w:r>
        <w:t xml:space="preserve"> </w:t>
      </w:r>
      <m:oMath>
        <m:r>
          <m:rPr>
            <m:sty m:val="p"/>
          </m:rPr>
          <m:t>−</m:t>
        </m:r>
        <m:r>
          <m:t>0.5</m:t>
        </m:r>
      </m:oMath>
      <w:r>
        <w:t xml:space="preserve"> </w:t>
      </w:r>
      <w:r>
        <w:t xml:space="preserve">(0.4) across all events, the only estimates in the table that lean negative, and both are within two standard errors of zero and paired with zero enrollment effects. Ages 20–24 show</w:t>
      </w:r>
      <w:r>
        <w:t xml:space="preserve"> </w:t>
      </w:r>
      <m:oMath>
        <m:r>
          <m:rPr>
            <m:sty m:val="p"/>
          </m:rPr>
          <m:t>−</m:t>
        </m:r>
        <m:r>
          <m:t>0.2</m:t>
        </m:r>
      </m:oMath>
      <w:r>
        <w:t xml:space="preserve"> </w:t>
      </w:r>
      <w:r>
        <w:t xml:space="preserve">(s.e. 0.7) on enrollment and</w:t>
      </w:r>
      <w:r>
        <w:t xml:space="preserve"> </w:t>
      </w:r>
      <m:oMath>
        <m:r>
          <m:rPr>
            <m:sty m:val="p"/>
          </m:rPr>
          <m:t>+</m:t>
        </m:r>
        <m:r>
          <m:t>0.1</m:t>
        </m:r>
      </m:oMath>
      <w:r>
        <w:t xml:space="preserve"> </w:t>
      </w:r>
      <w:r>
        <w:t xml:space="preserve">(s.e. 0.5) on employment.</w:t>
      </w:r>
    </w:p>
    <w:p>
      <w:pPr>
        <w:pStyle w:val="BodyText"/>
      </w:pPr>
      <w:r>
        <w:t xml:space="preserve">The county events deserve a word. Their first stage is larger, 8.5 percent (s.e. 4.4) at 16–17 for the local-only events, because local increases were larger. Their enrollment estimates at 18–19 are positive:</w:t>
      </w:r>
      <w:r>
        <w:t xml:space="preserve"> </w:t>
      </w:r>
      <m:oMath>
        <m:r>
          <m:rPr>
            <m:sty m:val="p"/>
          </m:rPr>
          <m:t>+</m:t>
        </m:r>
        <m:r>
          <m:t>3.3</m:t>
        </m:r>
      </m:oMath>
      <w:r>
        <w:t xml:space="preserve"> </w:t>
      </w:r>
      <w:r>
        <w:t xml:space="preserve">points (s.e. 0.9) for the 18 county events with both a state and a local rise and</w:t>
      </w:r>
      <w:r>
        <w:t xml:space="preserve"> </w:t>
      </w:r>
      <m:oMath>
        <m:r>
          <m:rPr>
            <m:sty m:val="p"/>
          </m:rPr>
          <m:t>+</m:t>
        </m:r>
        <m:r>
          <m:t>7.5</m:t>
        </m:r>
      </m:oMath>
      <w:r>
        <w:t xml:space="preserve"> </w:t>
      </w:r>
      <w:r>
        <w:t xml:space="preserve">(3.4) for the 16 local-only events. Their pre-event averages are positive as well,</w:t>
      </w:r>
      <w:r>
        <w:t xml:space="preserve"> </w:t>
      </w:r>
      <m:oMath>
        <m:r>
          <m:rPr>
            <m:sty m:val="p"/>
          </m:rPr>
          <m:t>+</m:t>
        </m:r>
        <m:r>
          <m:t>1.3</m:t>
        </m:r>
      </m:oMath>
      <w:r>
        <w:t xml:space="preserve"> </w:t>
      </w:r>
      <w:r>
        <w:t xml:space="preserve">and</w:t>
      </w:r>
      <w:r>
        <w:t xml:space="preserve"> </w:t>
      </w:r>
      <m:oMath>
        <m:r>
          <m:rPr>
            <m:sty m:val="p"/>
          </m:rPr>
          <m:t>+</m:t>
        </m:r>
        <m:r>
          <m:t>5.3</m:t>
        </m:r>
      </m:oMath>
      <w:r>
        <w:t xml:space="preserve">: enrollment of 18–19 year olds in the big-city counties was rising relative to other states’ units before the increases. Net of the pre-event trend the post-event change is about two points in both sets, with county samples of 13 to 40 teens a month. The aggregate estimates, in which these events carry a fifth of the weight, are unaffected by them. Figure 13 shows the event-by-event enrollment estimates at 18–19: 30 of the 73 are negative and 43 positive, and no single event or unit drives the aggregate. Table 14 lists the event-time coefficients behind the main figures.</w:t>
      </w:r>
    </w:p>
    <w:p>
      <w:pPr>
        <w:pStyle w:val="TableCaption"/>
      </w:pPr>
      <w:r>
        <w:t xml:space="preserve">Table 13: Robustness: post-event averages under alternative units, event sets, controls, weights and samples</w:t>
      </w:r>
    </w:p>
    <w:tbl>
      <w:tblPr>
        <w:tblStyle w:val="Table"/>
        <w:tblW w:type="dxa" w:w="9360"/>
        <w:tblLook w:firstRow="0" w:lastRow="0" w:firstColumn="0" w:lastColumn="0" w:noHBand="0" w:noVBand="0" w:val="0000"/>
        <w:jc w:val="start"/>
        <w:tblCaption w:val="Table 13: Robustness: post-event averages under alternative units, event sets, controls, weights and samples"/>
      </w:tblPr>
      <w:tblGrid>
        <w:gridCol w:w="2808"/>
        <w:gridCol w:w="819"/>
        <w:gridCol w:w="819"/>
        <w:gridCol w:w="819"/>
        <w:gridCol w:w="819"/>
        <w:gridCol w:w="819"/>
        <w:gridCol w:w="819"/>
        <w:gridCol w:w="819"/>
        <w:gridCol w:w="819"/>
      </w:tblGrid>
      <w:tr>
        <w:tc>
          <w:tcPr/>
          <w:p>
            <w:pPr>
              <w:pStyle w:val="Compact"/>
            </w:pPr>
          </w:p>
        </w:tc>
        <w:tc>
          <w:tcPr>
            <w:gridSpan w:val="2"/>
          </w:tcPr>
          <w:p>
            <w:pPr>
              <w:pStyle w:val="Compact"/>
              <w:jc w:val="center"/>
            </w:pPr>
            <w:r>
              <w:t xml:space="preserve">Enrolled</w:t>
            </w:r>
          </w:p>
        </w:tc>
        <w:tc>
          <w:tcPr>
            <w:gridSpan w:val="2"/>
          </w:tcPr>
          <w:p>
            <w:pPr>
              <w:pStyle w:val="Compact"/>
              <w:jc w:val="center"/>
            </w:pPr>
            <w:r>
              <w:t xml:space="preserve">Employed</w:t>
            </w:r>
          </w:p>
        </w:tc>
        <w:tc>
          <w:tcPr>
            <w:gridSpan w:val="2"/>
          </w:tcPr>
          <w:p>
            <w:pPr>
              <w:pStyle w:val="Compact"/>
              <w:jc w:val="center"/>
            </w:pPr>
            <w:r>
              <w:t xml:space="preserve">Neither</w:t>
            </w:r>
          </w:p>
        </w:tc>
        <w:tc>
          <w:tcPr/>
          <w:p>
            <w:pPr>
              <w:pStyle w:val="Compact"/>
              <w:jc w:val="left"/>
            </w:pPr>
            <w:r>
              <w:t xml:space="preserve">Events</w:t>
            </w:r>
          </w:p>
        </w:tc>
        <w:tc>
          <w:tcPr/>
          <w:p>
            <w:pPr>
              <w:pStyle w:val="Compact"/>
            </w:pPr>
          </w:p>
        </w:tc>
      </w:tr>
      <w:tr>
        <w:tc>
          <w:tcPr/>
          <w:p>
            <w:pPr>
              <w:pStyle w:val="Compact"/>
            </w:pPr>
          </w:p>
        </w:tc>
        <w:tc>
          <w:tcPr/>
          <w:p>
            <w:pPr>
              <w:pStyle w:val="Compact"/>
              <w:jc w:val="left"/>
            </w:pPr>
            <w:r>
              <w:t xml:space="preserve">16–17</w:t>
            </w:r>
          </w:p>
        </w:tc>
        <w:tc>
          <w:tcPr/>
          <w:p>
            <w:pPr>
              <w:pStyle w:val="Compact"/>
              <w:jc w:val="left"/>
            </w:pPr>
            <w:r>
              <w:t xml:space="preserve">18–19</w:t>
            </w:r>
          </w:p>
        </w:tc>
        <w:tc>
          <w:tcPr/>
          <w:p>
            <w:pPr>
              <w:pStyle w:val="Compact"/>
              <w:jc w:val="left"/>
            </w:pPr>
            <w:r>
              <w:t xml:space="preserve">16–17</w:t>
            </w:r>
          </w:p>
        </w:tc>
        <w:tc>
          <w:tcPr/>
          <w:p>
            <w:pPr>
              <w:pStyle w:val="Compact"/>
              <w:jc w:val="left"/>
            </w:pPr>
            <w:r>
              <w:t xml:space="preserve">18–19</w:t>
            </w:r>
          </w:p>
        </w:tc>
        <w:tc>
          <w:tcPr/>
          <w:p>
            <w:pPr>
              <w:pStyle w:val="Compact"/>
              <w:jc w:val="left"/>
            </w:pPr>
            <w:r>
              <w:t xml:space="preserve">16–17</w:t>
            </w:r>
          </w:p>
        </w:tc>
        <w:tc>
          <w:tcPr/>
          <w:p>
            <w:pPr>
              <w:pStyle w:val="Compact"/>
              <w:jc w:val="left"/>
            </w:pPr>
            <w:r>
              <w:t xml:space="preserve">18–19</w:t>
            </w:r>
          </w:p>
        </w:tc>
        <w:tc>
          <w:tcPr/>
          <w:p>
            <w:pPr>
              <w:pStyle w:val="Compact"/>
            </w:pPr>
          </w:p>
        </w:tc>
        <w:tc>
          <w:tcPr/>
          <w:p>
            <w:pPr>
              <w:pStyle w:val="Compact"/>
            </w:pPr>
          </w:p>
        </w:tc>
      </w:tr>
      <w:tr>
        <w:tc>
          <w:tcPr/>
          <w:p>
            <w:pPr>
              <w:pStyle w:val="Compact"/>
              <w:jc w:val="left"/>
            </w:pPr>
            <w:r>
              <w:t xml:space="preserve">Main: unit design, 73 events from 2010, clean controls, population weights</w:t>
            </w:r>
          </w:p>
        </w:tc>
        <w:tc>
          <w:tcPr/>
          <w:p>
            <w:pPr>
              <w:pStyle w:val="Compact"/>
              <w:jc w:val="left"/>
            </w:pPr>
            <w:r>
              <w:t xml:space="preserve">-0.003</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0.010</w:t>
            </w:r>
          </w:p>
        </w:tc>
        <w:tc>
          <w:tcPr/>
          <w:p>
            <w:pPr>
              <w:pStyle w:val="Compact"/>
              <w:jc w:val="left"/>
            </w:pPr>
            <w:r>
              <w:t xml:space="preserve">0.001</w:t>
            </w:r>
          </w:p>
        </w:tc>
        <w:tc>
          <w:tcPr/>
          <w:p>
            <w:pPr>
              <w:pStyle w:val="Compact"/>
              <w:jc w:val="left"/>
            </w:pPr>
            <w:r>
              <w:t xml:space="preserve">-0.005</w:t>
            </w:r>
          </w:p>
        </w:tc>
        <w:tc>
          <w:tcPr/>
          <w:p>
            <w:pPr>
              <w:pStyle w:val="Compact"/>
              <w:jc w:val="left"/>
            </w:pPr>
            <w:r>
              <w:t xml:space="preserve">73</w:t>
            </w:r>
          </w:p>
        </w:tc>
        <w:tc>
          <w:tcPr/>
          <w:p>
            <w:pPr>
              <w:pStyle w:val="Compact"/>
            </w:pPr>
          </w:p>
        </w:tc>
      </w:tr>
      <w:tr>
        <w:tc>
          <w:tcPr/>
          <w:p>
            <w:pPr>
              <w:pStyle w:val="Compact"/>
            </w:pPr>
          </w:p>
        </w:tc>
        <w:tc>
          <w:tcPr/>
          <w:p>
            <w:pPr>
              <w:pStyle w:val="Compact"/>
              <w:jc w:val="left"/>
            </w:pPr>
            <w:r>
              <w:t xml:space="preserve">(0.004)</w:t>
            </w:r>
          </w:p>
        </w:tc>
        <w:tc>
          <w:tcPr/>
          <w:p>
            <w:pPr>
              <w:pStyle w:val="Compact"/>
              <w:jc w:val="left"/>
            </w:pPr>
            <w:r>
              <w:t xml:space="preserve">(0.009)</w:t>
            </w:r>
          </w:p>
        </w:tc>
        <w:tc>
          <w:tcPr/>
          <w:p>
            <w:pPr>
              <w:pStyle w:val="Compact"/>
              <w:jc w:val="left"/>
            </w:pPr>
            <w:r>
              <w:t xml:space="preserve">(0.005)</w:t>
            </w:r>
          </w:p>
        </w:tc>
        <w:tc>
          <w:tcPr/>
          <w:p>
            <w:pPr>
              <w:pStyle w:val="Compact"/>
              <w:jc w:val="left"/>
            </w:pPr>
            <w:r>
              <w:t xml:space="preserve">(0.007)</w:t>
            </w:r>
          </w:p>
        </w:tc>
        <w:tc>
          <w:tcPr/>
          <w:p>
            <w:pPr>
              <w:pStyle w:val="Compact"/>
              <w:jc w:val="left"/>
            </w:pPr>
            <w:r>
              <w:t xml:space="preserve">(0.004)</w:t>
            </w:r>
          </w:p>
        </w:tc>
        <w:tc>
          <w:tcPr/>
          <w:p>
            <w:pPr>
              <w:pStyle w:val="Compact"/>
              <w:jc w:val="left"/>
            </w:pPr>
            <w:r>
              <w:t xml:space="preserve">(0.005)</w:t>
            </w:r>
          </w:p>
        </w:tc>
        <w:tc>
          <w:tcPr/>
          <w:p>
            <w:pPr>
              <w:pStyle w:val="Compact"/>
            </w:pPr>
          </w:p>
        </w:tc>
        <w:tc>
          <w:tcPr/>
          <w:p>
            <w:pPr>
              <w:pStyle w:val="Compact"/>
            </w:pPr>
          </w:p>
        </w:tc>
      </w:tr>
      <w:tr>
        <w:tc>
          <w:tcPr/>
          <w:p>
            <w:pPr>
              <w:pStyle w:val="Compact"/>
              <w:jc w:val="left"/>
            </w:pPr>
            <w:r>
              <w:t xml:space="preserve">State design (states as units), 39 events (Appendix)</w:t>
            </w:r>
          </w:p>
        </w:tc>
        <w:tc>
          <w:tcPr/>
          <w:p>
            <w:pPr>
              <w:pStyle w:val="Compact"/>
              <w:jc w:val="left"/>
            </w:pPr>
            <w:r>
              <w:t xml:space="preserve">-0.003</w:t>
            </w:r>
          </w:p>
        </w:tc>
        <w:tc>
          <w:tcPr/>
          <w:p>
            <w:pPr>
              <w:pStyle w:val="Compact"/>
              <w:jc w:val="left"/>
            </w:pPr>
            <w:r>
              <w:t xml:space="preserve">-0.004</w:t>
            </w:r>
          </w:p>
        </w:tc>
        <w:tc>
          <w:tcPr/>
          <w:p>
            <w:pPr>
              <w:pStyle w:val="Compact"/>
              <w:jc w:val="left"/>
            </w:pPr>
            <w:r>
              <w:t xml:space="preserve">-0.000</w:t>
            </w:r>
          </w:p>
        </w:tc>
        <w:tc>
          <w:tcPr/>
          <w:p>
            <w:pPr>
              <w:pStyle w:val="Compact"/>
              <w:jc w:val="left"/>
            </w:pPr>
            <w:r>
              <w:t xml:space="preserve">0.013</w:t>
            </w:r>
          </w:p>
        </w:tc>
        <w:tc>
          <w:tcPr/>
          <w:p>
            <w:pPr>
              <w:pStyle w:val="Compact"/>
              <w:jc w:val="left"/>
            </w:pPr>
            <w:r>
              <w:t xml:space="preserve">0.001</w:t>
            </w:r>
          </w:p>
        </w:tc>
        <w:tc>
          <w:tcPr/>
          <w:p>
            <w:pPr>
              <w:pStyle w:val="Compact"/>
              <w:jc w:val="left"/>
            </w:pPr>
            <w:r>
              <w:t xml:space="preserve">-0.003</w:t>
            </w:r>
          </w:p>
        </w:tc>
        <w:tc>
          <w:tcPr/>
          <w:p>
            <w:pPr>
              <w:pStyle w:val="Compact"/>
              <w:jc w:val="left"/>
            </w:pPr>
            <w:r>
              <w:t xml:space="preserve">39</w:t>
            </w:r>
          </w:p>
        </w:tc>
        <w:tc>
          <w:tcPr/>
          <w:p>
            <w:pPr>
              <w:pStyle w:val="Compact"/>
            </w:pPr>
          </w:p>
        </w:tc>
      </w:tr>
      <w:tr>
        <w:tc>
          <w:tcPr/>
          <w:p>
            <w:pPr>
              <w:pStyle w:val="Compact"/>
            </w:pPr>
          </w:p>
        </w:tc>
        <w:tc>
          <w:tcPr/>
          <w:p>
            <w:pPr>
              <w:pStyle w:val="Compact"/>
              <w:jc w:val="left"/>
            </w:pPr>
            <w:r>
              <w:t xml:space="preserve">(0.004)</w:t>
            </w:r>
          </w:p>
        </w:tc>
        <w:tc>
          <w:tcPr/>
          <w:p>
            <w:pPr>
              <w:pStyle w:val="Compact"/>
              <w:jc w:val="left"/>
            </w:pPr>
            <w:r>
              <w:t xml:space="preserve">(0.009)</w:t>
            </w:r>
          </w:p>
        </w:tc>
        <w:tc>
          <w:tcPr/>
          <w:p>
            <w:pPr>
              <w:pStyle w:val="Compact"/>
              <w:jc w:val="left"/>
            </w:pPr>
            <w:r>
              <w:t xml:space="preserve">(0.005)</w:t>
            </w:r>
          </w:p>
        </w:tc>
        <w:tc>
          <w:tcPr/>
          <w:p>
            <w:pPr>
              <w:pStyle w:val="Compact"/>
              <w:jc w:val="left"/>
            </w:pPr>
            <w:r>
              <w:t xml:space="preserve">(0.008)</w:t>
            </w:r>
          </w:p>
        </w:tc>
        <w:tc>
          <w:tcPr/>
          <w:p>
            <w:pPr>
              <w:pStyle w:val="Compact"/>
              <w:jc w:val="left"/>
            </w:pPr>
            <w:r>
              <w:t xml:space="preserve">(0.003)</w:t>
            </w:r>
          </w:p>
        </w:tc>
        <w:tc>
          <w:tcPr/>
          <w:p>
            <w:pPr>
              <w:pStyle w:val="Compact"/>
              <w:jc w:val="left"/>
            </w:pPr>
            <w:r>
              <w:t xml:space="preserve">(0.006)</w:t>
            </w:r>
          </w:p>
        </w:tc>
        <w:tc>
          <w:tcPr/>
          <w:p>
            <w:pPr>
              <w:pStyle w:val="Compact"/>
            </w:pPr>
          </w:p>
        </w:tc>
        <w:tc>
          <w:tcPr/>
          <w:p>
            <w:pPr>
              <w:pStyle w:val="Compact"/>
            </w:pPr>
          </w:p>
        </w:tc>
      </w:tr>
      <w:tr>
        <w:tc>
          <w:tcPr/>
          <w:p>
            <w:pPr>
              <w:pStyle w:val="Compact"/>
              <w:jc w:val="left"/>
            </w:pPr>
            <w:r>
              <w:t xml:space="preserve">Unit design: state-remainder events only (39)</w:t>
            </w:r>
          </w:p>
        </w:tc>
        <w:tc>
          <w:tcPr/>
          <w:p>
            <w:pPr>
              <w:pStyle w:val="Compact"/>
              <w:jc w:val="left"/>
            </w:pPr>
            <w:r>
              <w:t xml:space="preserve">-0.005</w:t>
            </w:r>
          </w:p>
        </w:tc>
        <w:tc>
          <w:tcPr/>
          <w:p>
            <w:pPr>
              <w:pStyle w:val="Compact"/>
              <w:jc w:val="left"/>
            </w:pPr>
            <w:r>
              <w:t xml:space="preserve">-0.009</w:t>
            </w:r>
          </w:p>
        </w:tc>
        <w:tc>
          <w:tcPr/>
          <w:p>
            <w:pPr>
              <w:pStyle w:val="Compact"/>
              <w:jc w:val="left"/>
            </w:pPr>
            <w:r>
              <w:t xml:space="preserve">0.004</w:t>
            </w:r>
          </w:p>
        </w:tc>
        <w:tc>
          <w:tcPr/>
          <w:p>
            <w:pPr>
              <w:pStyle w:val="Compact"/>
              <w:jc w:val="left"/>
            </w:pPr>
            <w:r>
              <w:t xml:space="preserve">0.015</w:t>
            </w:r>
            <w:r>
              <w:rPr>
                <w:vertAlign w:val="superscript"/>
              </w:rPr>
              <w:t xml:space="preserve">*</w:t>
            </w:r>
          </w:p>
        </w:tc>
        <w:tc>
          <w:tcPr/>
          <w:p>
            <w:pPr>
              <w:pStyle w:val="Compact"/>
            </w:pPr>
          </w:p>
        </w:tc>
        <w:tc>
          <w:tcPr/>
          <w:p>
            <w:pPr>
              <w:pStyle w:val="Compact"/>
            </w:pPr>
          </w:p>
        </w:tc>
        <w:tc>
          <w:tcPr/>
          <w:p>
            <w:pPr>
              <w:pStyle w:val="Compact"/>
              <w:jc w:val="left"/>
            </w:pPr>
            <w:r>
              <w:t xml:space="preserve">39</w:t>
            </w:r>
          </w:p>
        </w:tc>
        <w:tc>
          <w:tcPr/>
          <w:p>
            <w:pPr>
              <w:pStyle w:val="Compact"/>
            </w:pPr>
          </w:p>
        </w:tc>
      </w:tr>
      <w:tr>
        <w:tc>
          <w:tcPr/>
          <w:p>
            <w:pPr>
              <w:pStyle w:val="Compact"/>
            </w:pPr>
          </w:p>
        </w:tc>
        <w:tc>
          <w:tcPr/>
          <w:p>
            <w:pPr>
              <w:pStyle w:val="Compact"/>
              <w:jc w:val="left"/>
            </w:pPr>
            <w:r>
              <w:t xml:space="preserve">(0.005)</w:t>
            </w:r>
          </w:p>
        </w:tc>
        <w:tc>
          <w:tcPr/>
          <w:p>
            <w:pPr>
              <w:pStyle w:val="Compact"/>
              <w:jc w:val="left"/>
            </w:pPr>
            <w:r>
              <w:t xml:space="preserve">(0.010)</w:t>
            </w:r>
          </w:p>
        </w:tc>
        <w:tc>
          <w:tcPr/>
          <w:p>
            <w:pPr>
              <w:pStyle w:val="Compact"/>
              <w:jc w:val="left"/>
            </w:pPr>
            <w:r>
              <w:t xml:space="preserve">(0.005)</w:t>
            </w:r>
          </w:p>
        </w:tc>
        <w:tc>
          <w:tcPr/>
          <w:p>
            <w:pPr>
              <w:pStyle w:val="Compact"/>
              <w:jc w:val="left"/>
            </w:pPr>
            <w:r>
              <w:t xml:space="preserve">(0.008)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Unit design: county events, state and local rise (18)</w:t>
            </w:r>
          </w:p>
        </w:tc>
        <w:tc>
          <w:tcPr/>
          <w:p>
            <w:pPr>
              <w:pStyle w:val="Compact"/>
              <w:jc w:val="left"/>
            </w:pPr>
            <w:r>
              <w:t xml:space="preserve">0.005</w:t>
            </w:r>
          </w:p>
        </w:tc>
        <w:tc>
          <w:tcPr/>
          <w:p>
            <w:pPr>
              <w:pStyle w:val="Compact"/>
              <w:jc w:val="left"/>
            </w:pPr>
            <w:r>
              <w:t xml:space="preserve">0.033</w:t>
            </w:r>
            <w:r>
              <w:rPr>
                <w:vertAlign w:val="superscript"/>
              </w:rPr>
              <w:t xml:space="preserve">***</w:t>
            </w:r>
          </w:p>
        </w:tc>
        <w:tc>
          <w:tcPr/>
          <w:p>
            <w:pPr>
              <w:pStyle w:val="Compact"/>
              <w:jc w:val="left"/>
            </w:pPr>
            <w:r>
              <w:t xml:space="preserve">-0.021</w:t>
            </w:r>
          </w:p>
        </w:tc>
        <w:tc>
          <w:tcPr/>
          <w:p>
            <w:pPr>
              <w:pStyle w:val="Compact"/>
              <w:jc w:val="left"/>
            </w:pPr>
            <w:r>
              <w:t xml:space="preserve">0.003</w:t>
            </w:r>
          </w:p>
        </w:tc>
        <w:tc>
          <w:tcPr/>
          <w:p>
            <w:pPr>
              <w:pStyle w:val="Compact"/>
            </w:pPr>
          </w:p>
        </w:tc>
        <w:tc>
          <w:tcPr/>
          <w:p>
            <w:pPr>
              <w:pStyle w:val="Compact"/>
            </w:pPr>
          </w:p>
        </w:tc>
        <w:tc>
          <w:tcPr/>
          <w:p>
            <w:pPr>
              <w:pStyle w:val="Compact"/>
              <w:jc w:val="left"/>
            </w:pPr>
            <w:r>
              <w:t xml:space="preserve">18</w:t>
            </w:r>
          </w:p>
        </w:tc>
        <w:tc>
          <w:tcPr/>
          <w:p>
            <w:pPr>
              <w:pStyle w:val="Compact"/>
            </w:pPr>
          </w:p>
        </w:tc>
      </w:tr>
      <w:tr>
        <w:tc>
          <w:tcPr/>
          <w:p>
            <w:pPr>
              <w:pStyle w:val="Compact"/>
            </w:pPr>
          </w:p>
        </w:tc>
        <w:tc>
          <w:tcPr/>
          <w:p>
            <w:pPr>
              <w:pStyle w:val="Compact"/>
              <w:jc w:val="left"/>
            </w:pPr>
            <w:r>
              <w:t xml:space="preserve">(0.007)</w:t>
            </w:r>
          </w:p>
        </w:tc>
        <w:tc>
          <w:tcPr/>
          <w:p>
            <w:pPr>
              <w:pStyle w:val="Compact"/>
              <w:jc w:val="left"/>
            </w:pPr>
            <w:r>
              <w:t xml:space="preserve">(0.009)</w:t>
            </w:r>
          </w:p>
        </w:tc>
        <w:tc>
          <w:tcPr/>
          <w:p>
            <w:pPr>
              <w:pStyle w:val="Compact"/>
              <w:jc w:val="left"/>
            </w:pPr>
            <w:r>
              <w:t xml:space="preserve">(0.029)</w:t>
            </w:r>
          </w:p>
        </w:tc>
        <w:tc>
          <w:tcPr/>
          <w:p>
            <w:pPr>
              <w:pStyle w:val="Compact"/>
              <w:jc w:val="left"/>
            </w:pPr>
            <w:r>
              <w:t xml:space="preserve">(0.023)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Unit design: county events, local rise only (16)</w:t>
            </w:r>
          </w:p>
        </w:tc>
        <w:tc>
          <w:tcPr/>
          <w:p>
            <w:pPr>
              <w:pStyle w:val="Compact"/>
              <w:jc w:val="left"/>
            </w:pPr>
            <w:r>
              <w:t xml:space="preserve">0.016</w:t>
            </w:r>
          </w:p>
        </w:tc>
        <w:tc>
          <w:tcPr/>
          <w:p>
            <w:pPr>
              <w:pStyle w:val="Compact"/>
              <w:jc w:val="left"/>
            </w:pPr>
            <w:r>
              <w:t xml:space="preserve">0.075</w:t>
            </w:r>
            <w:r>
              <w:rPr>
                <w:vertAlign w:val="superscript"/>
              </w:rPr>
              <w:t xml:space="preserve">**</w:t>
            </w:r>
          </w:p>
        </w:tc>
        <w:tc>
          <w:tcPr/>
          <w:p>
            <w:pPr>
              <w:pStyle w:val="Compact"/>
              <w:jc w:val="left"/>
            </w:pPr>
            <w:r>
              <w:t xml:space="preserve">-0.016</w:t>
            </w:r>
          </w:p>
        </w:tc>
        <w:tc>
          <w:tcPr/>
          <w:p>
            <w:pPr>
              <w:pStyle w:val="Compact"/>
              <w:jc w:val="left"/>
            </w:pPr>
            <w:r>
              <w:t xml:space="preserve">-0.047</w:t>
            </w:r>
          </w:p>
        </w:tc>
        <w:tc>
          <w:tcPr/>
          <w:p>
            <w:pPr>
              <w:pStyle w:val="Compact"/>
            </w:pPr>
          </w:p>
        </w:tc>
        <w:tc>
          <w:tcPr/>
          <w:p>
            <w:pPr>
              <w:pStyle w:val="Compact"/>
            </w:pPr>
          </w:p>
        </w:tc>
        <w:tc>
          <w:tcPr/>
          <w:p>
            <w:pPr>
              <w:pStyle w:val="Compact"/>
              <w:jc w:val="left"/>
            </w:pPr>
            <w:r>
              <w:t xml:space="preserve">16</w:t>
            </w:r>
          </w:p>
        </w:tc>
        <w:tc>
          <w:tcPr/>
          <w:p>
            <w:pPr>
              <w:pStyle w:val="Compact"/>
            </w:pPr>
          </w:p>
        </w:tc>
      </w:tr>
      <w:tr>
        <w:tc>
          <w:tcPr/>
          <w:p>
            <w:pPr>
              <w:pStyle w:val="Compact"/>
            </w:pPr>
          </w:p>
        </w:tc>
        <w:tc>
          <w:tcPr/>
          <w:p>
            <w:pPr>
              <w:pStyle w:val="Compact"/>
              <w:jc w:val="left"/>
            </w:pPr>
            <w:r>
              <w:t xml:space="preserve">(0.017)</w:t>
            </w:r>
          </w:p>
        </w:tc>
        <w:tc>
          <w:tcPr/>
          <w:p>
            <w:pPr>
              <w:pStyle w:val="Compact"/>
              <w:jc w:val="left"/>
            </w:pPr>
            <w:r>
              <w:t xml:space="preserve">(0.034)</w:t>
            </w:r>
          </w:p>
        </w:tc>
        <w:tc>
          <w:tcPr/>
          <w:p>
            <w:pPr>
              <w:pStyle w:val="Compact"/>
              <w:jc w:val="left"/>
            </w:pPr>
            <w:r>
              <w:t xml:space="preserve">(0.028)</w:t>
            </w:r>
          </w:p>
        </w:tc>
        <w:tc>
          <w:tcPr/>
          <w:p>
            <w:pPr>
              <w:pStyle w:val="Compact"/>
              <w:jc w:val="left"/>
            </w:pPr>
            <w:r>
              <w:t xml:space="preserve">(0.051)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All events, 1994–2025</w:t>
            </w:r>
          </w:p>
        </w:tc>
        <w:tc>
          <w:tcPr/>
          <w:p>
            <w:pPr>
              <w:pStyle w:val="Compact"/>
              <w:jc w:val="left"/>
            </w:pPr>
            <w:r>
              <w:t xml:space="preserve">-0.003</w:t>
            </w:r>
          </w:p>
        </w:tc>
        <w:tc>
          <w:tcPr/>
          <w:p>
            <w:pPr>
              <w:pStyle w:val="Compact"/>
              <w:jc w:val="left"/>
            </w:pPr>
            <w:r>
              <w:t xml:space="preserve">0.004</w:t>
            </w:r>
          </w:p>
        </w:tc>
        <w:tc>
          <w:tcPr/>
          <w:p>
            <w:pPr>
              <w:pStyle w:val="Compact"/>
              <w:jc w:val="left"/>
            </w:pPr>
            <w:r>
              <w:t xml:space="preserve">-0.005</w:t>
            </w:r>
          </w:p>
        </w:tc>
        <w:tc>
          <w:tcPr/>
          <w:p>
            <w:pPr>
              <w:pStyle w:val="Compact"/>
              <w:jc w:val="left"/>
            </w:pPr>
            <w:r>
              <w:t xml:space="preserve">0.003</w:t>
            </w:r>
          </w:p>
        </w:tc>
        <w:tc>
          <w:tcPr/>
          <w:p>
            <w:pPr>
              <w:pStyle w:val="Compact"/>
              <w:jc w:val="left"/>
            </w:pPr>
            <w:r>
              <w:t xml:space="preserve">0.000</w:t>
            </w:r>
          </w:p>
        </w:tc>
        <w:tc>
          <w:tcPr/>
          <w:p>
            <w:pPr>
              <w:pStyle w:val="Compact"/>
              <w:jc w:val="left"/>
            </w:pPr>
            <w:r>
              <w:t xml:space="preserve">-0.005</w:t>
            </w:r>
          </w:p>
        </w:tc>
        <w:tc>
          <w:tcPr/>
          <w:p>
            <w:pPr>
              <w:pStyle w:val="Compact"/>
              <w:jc w:val="left"/>
            </w:pPr>
            <w:r>
              <w:t xml:space="preserve">134</w:t>
            </w:r>
          </w:p>
        </w:tc>
        <w:tc>
          <w:tcPr/>
          <w:p>
            <w:pPr>
              <w:pStyle w:val="Compact"/>
            </w:pPr>
          </w:p>
        </w:tc>
      </w:tr>
      <w:tr>
        <w:tc>
          <w:tcPr/>
          <w:p>
            <w:pPr>
              <w:pStyle w:val="Compact"/>
            </w:pPr>
          </w:p>
        </w:tc>
        <w:tc>
          <w:tcPr/>
          <w:p>
            <w:pPr>
              <w:pStyle w:val="Compact"/>
              <w:jc w:val="left"/>
            </w:pPr>
            <w:r>
              <w:t xml:space="preserve">(0.003)</w:t>
            </w:r>
          </w:p>
        </w:tc>
        <w:tc>
          <w:tcPr/>
          <w:p>
            <w:pPr>
              <w:pStyle w:val="Compact"/>
              <w:jc w:val="left"/>
            </w:pPr>
            <w:r>
              <w:t xml:space="preserve">(0.006)</w:t>
            </w:r>
          </w:p>
        </w:tc>
        <w:tc>
          <w:tcPr/>
          <w:p>
            <w:pPr>
              <w:pStyle w:val="Compact"/>
              <w:jc w:val="left"/>
            </w:pPr>
            <w:r>
              <w:t xml:space="preserve">(0.004)</w:t>
            </w:r>
          </w:p>
        </w:tc>
        <w:tc>
          <w:tcPr/>
          <w:p>
            <w:pPr>
              <w:pStyle w:val="Compact"/>
              <w:jc w:val="left"/>
            </w:pPr>
            <w:r>
              <w:t xml:space="preserve">(0.006)</w:t>
            </w:r>
          </w:p>
        </w:tc>
        <w:tc>
          <w:tcPr/>
          <w:p>
            <w:pPr>
              <w:pStyle w:val="Compact"/>
              <w:jc w:val="left"/>
            </w:pPr>
            <w:r>
              <w:t xml:space="preserve">(0.002)</w:t>
            </w:r>
          </w:p>
        </w:tc>
        <w:tc>
          <w:tcPr/>
          <w:p>
            <w:pPr>
              <w:pStyle w:val="Compact"/>
              <w:jc w:val="left"/>
            </w:pPr>
            <w:r>
              <w:t xml:space="preserve">(0.004)</w:t>
            </w:r>
          </w:p>
        </w:tc>
        <w:tc>
          <w:tcPr/>
          <w:p>
            <w:pPr>
              <w:pStyle w:val="Compact"/>
            </w:pPr>
          </w:p>
        </w:tc>
        <w:tc>
          <w:tcPr/>
          <w:p>
            <w:pPr>
              <w:pStyle w:val="Compact"/>
            </w:pPr>
          </w:p>
        </w:tc>
      </w:tr>
      <w:tr>
        <w:tc>
          <w:tcPr/>
          <w:p>
            <w:pPr>
              <w:pStyle w:val="Compact"/>
              <w:jc w:val="left"/>
            </w:pPr>
            <w:r>
              <w:t xml:space="preserve">Events before 2010</w:t>
            </w:r>
          </w:p>
        </w:tc>
        <w:tc>
          <w:tcPr/>
          <w:p>
            <w:pPr>
              <w:pStyle w:val="Compact"/>
              <w:jc w:val="left"/>
            </w:pPr>
            <w:r>
              <w:t xml:space="preserve">-0.002</w:t>
            </w:r>
          </w:p>
        </w:tc>
        <w:tc>
          <w:tcPr/>
          <w:p>
            <w:pPr>
              <w:pStyle w:val="Compact"/>
              <w:jc w:val="left"/>
            </w:pPr>
            <w:r>
              <w:t xml:space="preserve">0.007</w:t>
            </w:r>
          </w:p>
        </w:tc>
        <w:tc>
          <w:tcPr/>
          <w:p>
            <w:pPr>
              <w:pStyle w:val="Compact"/>
              <w:jc w:val="left"/>
            </w:pPr>
            <w:r>
              <w:t xml:space="preserve">-0.010</w:t>
            </w:r>
          </w:p>
        </w:tc>
        <w:tc>
          <w:tcPr/>
          <w:p>
            <w:pPr>
              <w:pStyle w:val="Compact"/>
              <w:jc w:val="left"/>
            </w:pPr>
            <w:r>
              <w:t xml:space="preserve">-0.004</w:t>
            </w:r>
          </w:p>
        </w:tc>
        <w:tc>
          <w:tcPr/>
          <w:p>
            <w:pPr>
              <w:pStyle w:val="Compact"/>
              <w:jc w:val="left"/>
            </w:pPr>
            <w:r>
              <w:t xml:space="preserve">0.000</w:t>
            </w:r>
          </w:p>
        </w:tc>
        <w:tc>
          <w:tcPr/>
          <w:p>
            <w:pPr>
              <w:pStyle w:val="Compact"/>
              <w:jc w:val="left"/>
            </w:pPr>
            <w:r>
              <w:t xml:space="preserve">-0.006</w:t>
            </w:r>
          </w:p>
        </w:tc>
        <w:tc>
          <w:tcPr/>
          <w:p>
            <w:pPr>
              <w:pStyle w:val="Compact"/>
              <w:jc w:val="left"/>
            </w:pPr>
            <w:r>
              <w:t xml:space="preserve">61</w:t>
            </w:r>
          </w:p>
        </w:tc>
        <w:tc>
          <w:tcPr/>
          <w:p>
            <w:pPr>
              <w:pStyle w:val="Compact"/>
            </w:pPr>
          </w:p>
        </w:tc>
      </w:tr>
      <w:tr>
        <w:tc>
          <w:tcPr/>
          <w:p>
            <w:pPr>
              <w:pStyle w:val="Compact"/>
            </w:pPr>
          </w:p>
        </w:tc>
        <w:tc>
          <w:tcPr/>
          <w:p>
            <w:pPr>
              <w:pStyle w:val="Compact"/>
              <w:jc w:val="left"/>
            </w:pPr>
            <w:r>
              <w:t xml:space="preserve">(0.005)</w:t>
            </w:r>
          </w:p>
        </w:tc>
        <w:tc>
          <w:tcPr/>
          <w:p>
            <w:pPr>
              <w:pStyle w:val="Compact"/>
              <w:jc w:val="left"/>
            </w:pPr>
            <w:r>
              <w:t xml:space="preserve">(0.007)</w:t>
            </w:r>
          </w:p>
        </w:tc>
        <w:tc>
          <w:tcPr/>
          <w:p>
            <w:pPr>
              <w:pStyle w:val="Compact"/>
              <w:jc w:val="left"/>
            </w:pPr>
            <w:r>
              <w:t xml:space="preserve">(0.007)</w:t>
            </w:r>
          </w:p>
        </w:tc>
        <w:tc>
          <w:tcPr/>
          <w:p>
            <w:pPr>
              <w:pStyle w:val="Compact"/>
              <w:jc w:val="left"/>
            </w:pPr>
            <w:r>
              <w:t xml:space="preserve">(0.010)</w:t>
            </w:r>
          </w:p>
        </w:tc>
        <w:tc>
          <w:tcPr/>
          <w:p>
            <w:pPr>
              <w:pStyle w:val="Compact"/>
              <w:jc w:val="left"/>
            </w:pPr>
            <w:r>
              <w:t xml:space="preserve">(0.003)</w:t>
            </w:r>
          </w:p>
        </w:tc>
        <w:tc>
          <w:tcPr/>
          <w:p>
            <w:pPr>
              <w:pStyle w:val="Compact"/>
              <w:jc w:val="left"/>
            </w:pPr>
            <w:r>
              <w:t xml:space="preserve">(0.006)</w:t>
            </w:r>
          </w:p>
        </w:tc>
        <w:tc>
          <w:tcPr/>
          <w:p>
            <w:pPr>
              <w:pStyle w:val="Compact"/>
            </w:pPr>
          </w:p>
        </w:tc>
        <w:tc>
          <w:tcPr/>
          <w:p>
            <w:pPr>
              <w:pStyle w:val="Compact"/>
            </w:pPr>
          </w:p>
        </w:tc>
      </w:tr>
      <w:tr>
        <w:tc>
          <w:tcPr/>
          <w:p>
            <w:pPr>
              <w:pStyle w:val="Compact"/>
              <w:jc w:val="left"/>
            </w:pPr>
            <w:r>
              <w:t xml:space="preserve">Large events only (window rise</w:t>
            </w:r>
            <w:r>
              <w:t xml:space="preserve"> </w:t>
            </w:r>
            <m:oMath>
              <m:r>
                <m:rPr>
                  <m:sty m:val="p"/>
                </m:rPr>
                <m:t>≥</m:t>
              </m:r>
            </m:oMath>
            <w:r>
              <w:t xml:space="preserve"> </w:t>
            </w:r>
            <w:r>
              <w:t xml:space="preserve">20%)</w:t>
            </w:r>
          </w:p>
        </w:tc>
        <w:tc>
          <w:tcPr/>
          <w:p>
            <w:pPr>
              <w:pStyle w:val="Compact"/>
              <w:jc w:val="left"/>
            </w:pPr>
            <w:r>
              <w:t xml:space="preserve">-0.002</w:t>
            </w:r>
          </w:p>
        </w:tc>
        <w:tc>
          <w:tcPr/>
          <w:p>
            <w:pPr>
              <w:pStyle w:val="Compact"/>
              <w:jc w:val="left"/>
            </w:pPr>
            <w:r>
              <w:t xml:space="preserve">-0.000</w:t>
            </w:r>
          </w:p>
        </w:tc>
        <w:tc>
          <w:tcPr/>
          <w:p>
            <w:pPr>
              <w:pStyle w:val="Compact"/>
              <w:jc w:val="left"/>
            </w:pPr>
            <w:r>
              <w:t xml:space="preserve">-0.002</w:t>
            </w:r>
          </w:p>
        </w:tc>
        <w:tc>
          <w:tcPr/>
          <w:p>
            <w:pPr>
              <w:pStyle w:val="Compact"/>
              <w:jc w:val="left"/>
            </w:pPr>
            <w:r>
              <w:t xml:space="preserve">0.014</w:t>
            </w:r>
            <w:r>
              <w:rPr>
                <w:vertAlign w:val="superscript"/>
              </w:rPr>
              <w:t xml:space="preserve">*</w:t>
            </w:r>
          </w:p>
        </w:tc>
        <w:tc>
          <w:tcPr/>
          <w:p>
            <w:pPr>
              <w:pStyle w:val="Compact"/>
              <w:jc w:val="left"/>
            </w:pPr>
            <w:r>
              <w:t xml:space="preserve">0.001</w:t>
            </w:r>
          </w:p>
        </w:tc>
        <w:tc>
          <w:tcPr/>
          <w:p>
            <w:pPr>
              <w:pStyle w:val="Compact"/>
              <w:jc w:val="left"/>
            </w:pPr>
            <w:r>
              <w:t xml:space="preserve">-0.005</w:t>
            </w:r>
          </w:p>
        </w:tc>
        <w:tc>
          <w:tcPr/>
          <w:p>
            <w:pPr>
              <w:pStyle w:val="Compact"/>
              <w:jc w:val="left"/>
            </w:pPr>
            <w:r>
              <w:t xml:space="preserve">62</w:t>
            </w:r>
          </w:p>
        </w:tc>
        <w:tc>
          <w:tcPr/>
          <w:p>
            <w:pPr>
              <w:pStyle w:val="Compact"/>
            </w:pPr>
          </w:p>
        </w:tc>
      </w:tr>
      <w:tr>
        <w:tc>
          <w:tcPr/>
          <w:p>
            <w:pPr>
              <w:pStyle w:val="Compact"/>
            </w:pPr>
          </w:p>
        </w:tc>
        <w:tc>
          <w:tcPr/>
          <w:p>
            <w:pPr>
              <w:pStyle w:val="Compact"/>
              <w:jc w:val="left"/>
            </w:pPr>
            <w:r>
              <w:t xml:space="preserve">(0.004)</w:t>
            </w:r>
          </w:p>
        </w:tc>
        <w:tc>
          <w:tcPr/>
          <w:p>
            <w:pPr>
              <w:pStyle w:val="Compact"/>
              <w:jc w:val="left"/>
            </w:pPr>
            <w:r>
              <w:t xml:space="preserve">(0.010)</w:t>
            </w:r>
          </w:p>
        </w:tc>
        <w:tc>
          <w:tcPr/>
          <w:p>
            <w:pPr>
              <w:pStyle w:val="Compact"/>
              <w:jc w:val="left"/>
            </w:pPr>
            <w:r>
              <w:t xml:space="preserve">(0.005)</w:t>
            </w:r>
          </w:p>
        </w:tc>
        <w:tc>
          <w:tcPr/>
          <w:p>
            <w:pPr>
              <w:pStyle w:val="Compact"/>
              <w:jc w:val="left"/>
            </w:pPr>
            <w:r>
              <w:t xml:space="preserve">(0.007)</w:t>
            </w:r>
          </w:p>
        </w:tc>
        <w:tc>
          <w:tcPr/>
          <w:p>
            <w:pPr>
              <w:pStyle w:val="Compact"/>
              <w:jc w:val="left"/>
            </w:pPr>
            <w:r>
              <w:t xml:space="preserve">(0.004)</w:t>
            </w:r>
          </w:p>
        </w:tc>
        <w:tc>
          <w:tcPr/>
          <w:p>
            <w:pPr>
              <w:pStyle w:val="Compact"/>
              <w:jc w:val="left"/>
            </w:pPr>
            <w:r>
              <w:t xml:space="preserve">(0.005)</w:t>
            </w:r>
          </w:p>
        </w:tc>
        <w:tc>
          <w:tcPr/>
          <w:p>
            <w:pPr>
              <w:pStyle w:val="Compact"/>
            </w:pPr>
          </w:p>
        </w:tc>
        <w:tc>
          <w:tcPr/>
          <w:p>
            <w:pPr>
              <w:pStyle w:val="Compact"/>
            </w:pPr>
          </w:p>
        </w:tc>
      </w:tr>
      <w:tr>
        <w:tc>
          <w:tcPr/>
          <w:p>
            <w:pPr>
              <w:pStyle w:val="Compact"/>
              <w:jc w:val="left"/>
            </w:pPr>
            <w:r>
              <w:t xml:space="preserve">Strict controls (no rise of any kind)</w:t>
            </w:r>
          </w:p>
        </w:tc>
        <w:tc>
          <w:tcPr/>
          <w:p>
            <w:pPr>
              <w:pStyle w:val="Compact"/>
              <w:jc w:val="left"/>
            </w:pPr>
            <w:r>
              <w:t xml:space="preserve">-0.003</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0.010</w:t>
            </w:r>
          </w:p>
        </w:tc>
        <w:tc>
          <w:tcPr/>
          <w:p>
            <w:pPr>
              <w:pStyle w:val="Compact"/>
              <w:jc w:val="left"/>
            </w:pPr>
            <w:r>
              <w:t xml:space="preserve">0.001</w:t>
            </w:r>
          </w:p>
        </w:tc>
        <w:tc>
          <w:tcPr/>
          <w:p>
            <w:pPr>
              <w:pStyle w:val="Compact"/>
              <w:jc w:val="left"/>
            </w:pPr>
            <w:r>
              <w:t xml:space="preserve">-0.005</w:t>
            </w:r>
          </w:p>
        </w:tc>
        <w:tc>
          <w:tcPr/>
          <w:p>
            <w:pPr>
              <w:pStyle w:val="Compact"/>
              <w:jc w:val="left"/>
            </w:pPr>
            <w:r>
              <w:t xml:space="preserve">73</w:t>
            </w:r>
          </w:p>
        </w:tc>
        <w:tc>
          <w:tcPr/>
          <w:p>
            <w:pPr>
              <w:pStyle w:val="Compact"/>
            </w:pPr>
          </w:p>
        </w:tc>
      </w:tr>
      <w:tr>
        <w:tc>
          <w:tcPr/>
          <w:p>
            <w:pPr>
              <w:pStyle w:val="Compact"/>
            </w:pPr>
          </w:p>
        </w:tc>
        <w:tc>
          <w:tcPr/>
          <w:p>
            <w:pPr>
              <w:pStyle w:val="Compact"/>
              <w:jc w:val="left"/>
            </w:pPr>
            <w:r>
              <w:t xml:space="preserve">(0.004)</w:t>
            </w:r>
          </w:p>
        </w:tc>
        <w:tc>
          <w:tcPr/>
          <w:p>
            <w:pPr>
              <w:pStyle w:val="Compact"/>
              <w:jc w:val="left"/>
            </w:pPr>
            <w:r>
              <w:t xml:space="preserve">(0.009)</w:t>
            </w:r>
          </w:p>
        </w:tc>
        <w:tc>
          <w:tcPr/>
          <w:p>
            <w:pPr>
              <w:pStyle w:val="Compact"/>
              <w:jc w:val="left"/>
            </w:pPr>
            <w:r>
              <w:t xml:space="preserve">(0.005)</w:t>
            </w:r>
          </w:p>
        </w:tc>
        <w:tc>
          <w:tcPr/>
          <w:p>
            <w:pPr>
              <w:pStyle w:val="Compact"/>
              <w:jc w:val="left"/>
            </w:pPr>
            <w:r>
              <w:t xml:space="preserve">(0.007)</w:t>
            </w:r>
          </w:p>
        </w:tc>
        <w:tc>
          <w:tcPr/>
          <w:p>
            <w:pPr>
              <w:pStyle w:val="Compact"/>
              <w:jc w:val="left"/>
            </w:pPr>
            <w:r>
              <w:t xml:space="preserve">(0.004)</w:t>
            </w:r>
          </w:p>
        </w:tc>
        <w:tc>
          <w:tcPr/>
          <w:p>
            <w:pPr>
              <w:pStyle w:val="Compact"/>
              <w:jc w:val="left"/>
            </w:pPr>
            <w:r>
              <w:t xml:space="preserve">(0.005)</w:t>
            </w:r>
          </w:p>
        </w:tc>
        <w:tc>
          <w:tcPr/>
          <w:p>
            <w:pPr>
              <w:pStyle w:val="Compact"/>
            </w:pPr>
          </w:p>
        </w:tc>
        <w:tc>
          <w:tcPr/>
          <w:p>
            <w:pPr>
              <w:pStyle w:val="Compact"/>
            </w:pPr>
          </w:p>
        </w:tc>
      </w:tr>
      <w:tr>
        <w:tc>
          <w:tcPr/>
          <w:p>
            <w:pPr>
              <w:pStyle w:val="Compact"/>
              <w:jc w:val="left"/>
            </w:pPr>
            <w:r>
              <w:t xml:space="preserve">Federal-floor controls only</w:t>
            </w:r>
          </w:p>
        </w:tc>
        <w:tc>
          <w:tcPr/>
          <w:p>
            <w:pPr>
              <w:pStyle w:val="Compact"/>
              <w:jc w:val="left"/>
            </w:pPr>
            <w:r>
              <w:t xml:space="preserve">-0.003</w:t>
            </w:r>
          </w:p>
        </w:tc>
        <w:tc>
          <w:tcPr/>
          <w:p>
            <w:pPr>
              <w:pStyle w:val="Compact"/>
              <w:jc w:val="left"/>
            </w:pPr>
            <w:r>
              <w:t xml:space="preserve">-0.001</w:t>
            </w:r>
          </w:p>
        </w:tc>
        <w:tc>
          <w:tcPr/>
          <w:p>
            <w:pPr>
              <w:pStyle w:val="Compact"/>
              <w:jc w:val="left"/>
            </w:pPr>
            <w:r>
              <w:t xml:space="preserve">-0.003</w:t>
            </w:r>
          </w:p>
        </w:tc>
        <w:tc>
          <w:tcPr/>
          <w:p>
            <w:pPr>
              <w:pStyle w:val="Compact"/>
              <w:jc w:val="left"/>
            </w:pPr>
            <w:r>
              <w:t xml:space="preserve">0.011</w:t>
            </w:r>
          </w:p>
        </w:tc>
        <w:tc>
          <w:tcPr/>
          <w:p>
            <w:pPr>
              <w:pStyle w:val="Compact"/>
              <w:jc w:val="left"/>
            </w:pPr>
            <w:r>
              <w:t xml:space="preserve">0.002</w:t>
            </w:r>
          </w:p>
        </w:tc>
        <w:tc>
          <w:tcPr/>
          <w:p>
            <w:pPr>
              <w:pStyle w:val="Compact"/>
              <w:jc w:val="left"/>
            </w:pPr>
            <w:r>
              <w:t xml:space="preserve">-0.002</w:t>
            </w:r>
          </w:p>
        </w:tc>
        <w:tc>
          <w:tcPr/>
          <w:p>
            <w:pPr>
              <w:pStyle w:val="Compact"/>
              <w:jc w:val="left"/>
            </w:pPr>
            <w:r>
              <w:t xml:space="preserve">73</w:t>
            </w:r>
          </w:p>
        </w:tc>
        <w:tc>
          <w:tcPr/>
          <w:p>
            <w:pPr>
              <w:pStyle w:val="Compact"/>
            </w:pPr>
          </w:p>
        </w:tc>
      </w:tr>
      <w:tr>
        <w:tc>
          <w:tcPr/>
          <w:p>
            <w:pPr>
              <w:pStyle w:val="Compact"/>
            </w:pPr>
          </w:p>
        </w:tc>
        <w:tc>
          <w:tcPr/>
          <w:p>
            <w:pPr>
              <w:pStyle w:val="Compact"/>
              <w:jc w:val="left"/>
            </w:pPr>
            <w:r>
              <w:t xml:space="preserve">(0.004)</w:t>
            </w:r>
          </w:p>
        </w:tc>
        <w:tc>
          <w:tcPr/>
          <w:p>
            <w:pPr>
              <w:pStyle w:val="Compact"/>
              <w:jc w:val="left"/>
            </w:pPr>
            <w:r>
              <w:t xml:space="preserve">(0.009)</w:t>
            </w:r>
          </w:p>
        </w:tc>
        <w:tc>
          <w:tcPr/>
          <w:p>
            <w:pPr>
              <w:pStyle w:val="Compact"/>
              <w:jc w:val="left"/>
            </w:pPr>
            <w:r>
              <w:t xml:space="preserve">(0.005)</w:t>
            </w:r>
          </w:p>
        </w:tc>
        <w:tc>
          <w:tcPr/>
          <w:p>
            <w:pPr>
              <w:pStyle w:val="Compact"/>
              <w:jc w:val="left"/>
            </w:pPr>
            <w:r>
              <w:t xml:space="preserve">(0.008)</w:t>
            </w:r>
          </w:p>
        </w:tc>
        <w:tc>
          <w:tcPr/>
          <w:p>
            <w:pPr>
              <w:pStyle w:val="Compact"/>
              <w:jc w:val="left"/>
            </w:pPr>
            <w:r>
              <w:t xml:space="preserve">(0.004)</w:t>
            </w:r>
          </w:p>
        </w:tc>
        <w:tc>
          <w:tcPr/>
          <w:p>
            <w:pPr>
              <w:pStyle w:val="Compact"/>
              <w:jc w:val="left"/>
            </w:pPr>
            <w:r>
              <w:t xml:space="preserve">(0.006)</w:t>
            </w:r>
          </w:p>
        </w:tc>
        <w:tc>
          <w:tcPr/>
          <w:p>
            <w:pPr>
              <w:pStyle w:val="Compact"/>
            </w:pPr>
          </w:p>
        </w:tc>
        <w:tc>
          <w:tcPr/>
          <w:p>
            <w:pPr>
              <w:pStyle w:val="Compact"/>
            </w:pPr>
          </w:p>
        </w:tc>
      </w:tr>
      <w:tr>
        <w:tc>
          <w:tcPr/>
          <w:p>
            <w:pPr>
              <w:pStyle w:val="Compact"/>
              <w:jc w:val="left"/>
            </w:pPr>
            <w:r>
              <w:t xml:space="preserve">Equal weight per event</w:t>
            </w:r>
          </w:p>
        </w:tc>
        <w:tc>
          <w:tcPr/>
          <w:p>
            <w:pPr>
              <w:pStyle w:val="Compact"/>
              <w:jc w:val="left"/>
            </w:pPr>
            <w:r>
              <w:t xml:space="preserve">0.003</w:t>
            </w:r>
          </w:p>
        </w:tc>
        <w:tc>
          <w:tcPr/>
          <w:p>
            <w:pPr>
              <w:pStyle w:val="Compact"/>
              <w:jc w:val="left"/>
            </w:pPr>
            <w:r>
              <w:t xml:space="preserve">0.018</w:t>
            </w:r>
            <w:r>
              <w:rPr>
                <w:vertAlign w:val="superscript"/>
              </w:rPr>
              <w:t xml:space="preserve">*</w:t>
            </w:r>
          </w:p>
        </w:tc>
        <w:tc>
          <w:tcPr/>
          <w:p>
            <w:pPr>
              <w:pStyle w:val="Compact"/>
              <w:jc w:val="left"/>
            </w:pPr>
            <w:r>
              <w:t xml:space="preserve">-0.004</w:t>
            </w:r>
          </w:p>
        </w:tc>
        <w:tc>
          <w:tcPr/>
          <w:p>
            <w:pPr>
              <w:pStyle w:val="Compact"/>
              <w:jc w:val="left"/>
            </w:pPr>
            <w:r>
              <w:t xml:space="preserve">-0.003</w:t>
            </w:r>
          </w:p>
        </w:tc>
        <w:tc>
          <w:tcPr/>
          <w:p>
            <w:pPr>
              <w:pStyle w:val="Compact"/>
              <w:jc w:val="left"/>
            </w:pPr>
            <w:r>
              <w:t xml:space="preserve">-0.000</w:t>
            </w:r>
          </w:p>
        </w:tc>
        <w:tc>
          <w:tcPr/>
          <w:p>
            <w:pPr>
              <w:pStyle w:val="Compact"/>
              <w:jc w:val="left"/>
            </w:pPr>
            <w:r>
              <w:t xml:space="preserve">-0.008</w:t>
            </w:r>
          </w:p>
        </w:tc>
        <w:tc>
          <w:tcPr/>
          <w:p>
            <w:pPr>
              <w:pStyle w:val="Compact"/>
              <w:jc w:val="left"/>
            </w:pPr>
            <w:r>
              <w:t xml:space="preserve">73</w:t>
            </w:r>
          </w:p>
        </w:tc>
        <w:tc>
          <w:tcPr/>
          <w:p>
            <w:pPr>
              <w:pStyle w:val="Compact"/>
            </w:pPr>
          </w:p>
        </w:tc>
      </w:tr>
      <w:tr>
        <w:tc>
          <w:tcPr/>
          <w:p>
            <w:pPr>
              <w:pStyle w:val="Compact"/>
            </w:pPr>
          </w:p>
        </w:tc>
        <w:tc>
          <w:tcPr/>
          <w:p>
            <w:pPr>
              <w:pStyle w:val="Compact"/>
              <w:jc w:val="left"/>
            </w:pPr>
            <w:r>
              <w:t xml:space="preserve">(0.005)</w:t>
            </w:r>
          </w:p>
        </w:tc>
        <w:tc>
          <w:tcPr/>
          <w:p>
            <w:pPr>
              <w:pStyle w:val="Compact"/>
              <w:jc w:val="left"/>
            </w:pPr>
            <w:r>
              <w:t xml:space="preserve">(0.009)</w:t>
            </w:r>
          </w:p>
        </w:tc>
        <w:tc>
          <w:tcPr/>
          <w:p>
            <w:pPr>
              <w:pStyle w:val="Compact"/>
              <w:jc w:val="left"/>
            </w:pPr>
            <w:r>
              <w:t xml:space="preserve">(0.007)</w:t>
            </w:r>
          </w:p>
        </w:tc>
        <w:tc>
          <w:tcPr/>
          <w:p>
            <w:pPr>
              <w:pStyle w:val="Compact"/>
              <w:jc w:val="left"/>
            </w:pPr>
            <w:r>
              <w:t xml:space="preserve">(0.010)</w:t>
            </w:r>
          </w:p>
        </w:tc>
        <w:tc>
          <w:tcPr/>
          <w:p>
            <w:pPr>
              <w:pStyle w:val="Compact"/>
              <w:jc w:val="left"/>
            </w:pPr>
            <w:r>
              <w:t xml:space="preserve">(0.004)</w:t>
            </w:r>
          </w:p>
        </w:tc>
        <w:tc>
          <w:tcPr/>
          <w:p>
            <w:pPr>
              <w:pStyle w:val="Compact"/>
              <w:jc w:val="left"/>
            </w:pPr>
            <w:r>
              <w:t xml:space="preserve">(0.006)</w:t>
            </w:r>
          </w:p>
        </w:tc>
        <w:tc>
          <w:tcPr/>
          <w:p>
            <w:pPr>
              <w:pStyle w:val="Compact"/>
            </w:pPr>
          </w:p>
        </w:tc>
        <w:tc>
          <w:tcPr/>
          <w:p>
            <w:pPr>
              <w:pStyle w:val="Compact"/>
            </w:pPr>
          </w:p>
        </w:tc>
      </w:tr>
      <w:tr>
        <w:tc>
          <w:tcPr/>
          <w:p>
            <w:pPr>
              <w:pStyle w:val="Compact"/>
              <w:jc w:val="left"/>
            </w:pPr>
            <w:r>
              <w:t xml:space="preserve">Drop 2020–21</w:t>
            </w:r>
          </w:p>
        </w:tc>
        <w:tc>
          <w:tcPr/>
          <w:p>
            <w:pPr>
              <w:pStyle w:val="Compact"/>
              <w:jc w:val="left"/>
            </w:pPr>
            <w:r>
              <w:t xml:space="preserve">-0.002</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0.012</w:t>
            </w:r>
          </w:p>
        </w:tc>
        <w:tc>
          <w:tcPr/>
          <w:p>
            <w:pPr>
              <w:pStyle w:val="Compact"/>
              <w:jc w:val="left"/>
            </w:pPr>
            <w:r>
              <w:t xml:space="preserve">-0.001</w:t>
            </w:r>
          </w:p>
        </w:tc>
        <w:tc>
          <w:tcPr/>
          <w:p>
            <w:pPr>
              <w:pStyle w:val="Compact"/>
              <w:jc w:val="left"/>
            </w:pPr>
            <w:r>
              <w:t xml:space="preserve">-0.005</w:t>
            </w:r>
          </w:p>
        </w:tc>
        <w:tc>
          <w:tcPr/>
          <w:p>
            <w:pPr>
              <w:pStyle w:val="Compact"/>
              <w:jc w:val="left"/>
            </w:pPr>
            <w:r>
              <w:t xml:space="preserve">62</w:t>
            </w:r>
          </w:p>
        </w:tc>
        <w:tc>
          <w:tcPr/>
          <w:p>
            <w:pPr>
              <w:pStyle w:val="Compact"/>
            </w:pPr>
          </w:p>
        </w:tc>
      </w:tr>
      <w:tr>
        <w:tc>
          <w:tcPr/>
          <w:p>
            <w:pPr>
              <w:pStyle w:val="Compact"/>
            </w:pPr>
          </w:p>
        </w:tc>
        <w:tc>
          <w:tcPr/>
          <w:p>
            <w:pPr>
              <w:pStyle w:val="Compact"/>
              <w:jc w:val="left"/>
            </w:pPr>
            <w:r>
              <w:t xml:space="preserve">(0.003)</w:t>
            </w:r>
          </w:p>
        </w:tc>
        <w:tc>
          <w:tcPr/>
          <w:p>
            <w:pPr>
              <w:pStyle w:val="Compact"/>
              <w:jc w:val="left"/>
            </w:pPr>
            <w:r>
              <w:t xml:space="preserve">(0.009)</w:t>
            </w:r>
          </w:p>
        </w:tc>
        <w:tc>
          <w:tcPr/>
          <w:p>
            <w:pPr>
              <w:pStyle w:val="Compact"/>
              <w:jc w:val="left"/>
            </w:pPr>
            <w:r>
              <w:t xml:space="preserve">(0.005)</w:t>
            </w:r>
          </w:p>
        </w:tc>
        <w:tc>
          <w:tcPr/>
          <w:p>
            <w:pPr>
              <w:pStyle w:val="Compact"/>
              <w:jc w:val="left"/>
            </w:pPr>
            <w:r>
              <w:t xml:space="preserve">(0.010)</w:t>
            </w:r>
          </w:p>
        </w:tc>
        <w:tc>
          <w:tcPr/>
          <w:p>
            <w:pPr>
              <w:pStyle w:val="Compact"/>
              <w:jc w:val="left"/>
            </w:pPr>
            <w:r>
              <w:t xml:space="preserve">(0.003)</w:t>
            </w:r>
          </w:p>
        </w:tc>
        <w:tc>
          <w:tcPr/>
          <w:p>
            <w:pPr>
              <w:pStyle w:val="Compact"/>
              <w:jc w:val="left"/>
            </w:pPr>
            <w:r>
              <w:t xml:space="preserve">(0.006)</w:t>
            </w:r>
          </w:p>
        </w:tc>
        <w:tc>
          <w:tcPr/>
          <w:p>
            <w:pPr>
              <w:pStyle w:val="Compact"/>
            </w:pPr>
          </w:p>
        </w:tc>
        <w:tc>
          <w:tcPr/>
          <w:p>
            <w:pPr>
              <w:pStyle w:val="Compact"/>
            </w:pPr>
          </w:p>
        </w:tc>
      </w:tr>
      <w:tr>
        <w:tc>
          <w:tcPr/>
          <w:p>
            <w:pPr>
              <w:pStyle w:val="Compact"/>
              <w:jc w:val="left"/>
            </w:pPr>
            <w:r>
              <w:t xml:space="preserve">September–May only</w:t>
            </w:r>
          </w:p>
        </w:tc>
        <w:tc>
          <w:tcPr/>
          <w:p>
            <w:pPr>
              <w:pStyle w:val="Compact"/>
              <w:jc w:val="left"/>
            </w:pPr>
            <w:r>
              <w:t xml:space="preserve">-0.006</w:t>
            </w:r>
          </w:p>
        </w:tc>
        <w:tc>
          <w:tcPr/>
          <w:p>
            <w:pPr>
              <w:pStyle w:val="Compact"/>
              <w:jc w:val="left"/>
            </w:pPr>
            <w:r>
              <w:t xml:space="preserve">-0.002</w:t>
            </w:r>
          </w:p>
        </w:tc>
        <w:tc>
          <w:tcPr/>
          <w:p>
            <w:pPr>
              <w:pStyle w:val="Compact"/>
              <w:jc w:val="left"/>
            </w:pPr>
            <w:r>
              <w:t xml:space="preserve">0.001</w:t>
            </w:r>
          </w:p>
        </w:tc>
        <w:tc>
          <w:tcPr/>
          <w:p>
            <w:pPr>
              <w:pStyle w:val="Compact"/>
              <w:jc w:val="left"/>
            </w:pPr>
            <w:r>
              <w:t xml:space="preserve">0.011</w:t>
            </w:r>
          </w:p>
        </w:tc>
        <w:tc>
          <w:tcPr/>
          <w:p>
            <w:pPr>
              <w:pStyle w:val="Compact"/>
              <w:jc w:val="left"/>
            </w:pPr>
            <w:r>
              <w:t xml:space="preserve">0.004</w:t>
            </w:r>
          </w:p>
        </w:tc>
        <w:tc>
          <w:tcPr/>
          <w:p>
            <w:pPr>
              <w:pStyle w:val="Compact"/>
              <w:jc w:val="left"/>
            </w:pPr>
            <w:r>
              <w:t xml:space="preserve">-0.003</w:t>
            </w:r>
          </w:p>
        </w:tc>
        <w:tc>
          <w:tcPr/>
          <w:p>
            <w:pPr>
              <w:pStyle w:val="Compact"/>
              <w:jc w:val="left"/>
            </w:pPr>
            <w:r>
              <w:t xml:space="preserve">73</w:t>
            </w:r>
          </w:p>
        </w:tc>
        <w:tc>
          <w:tcPr/>
          <w:p>
            <w:pPr>
              <w:pStyle w:val="Compact"/>
            </w:pPr>
          </w:p>
        </w:tc>
      </w:tr>
      <w:tr>
        <w:tc>
          <w:tcPr/>
          <w:p>
            <w:pPr>
              <w:pStyle w:val="Compact"/>
            </w:pPr>
          </w:p>
        </w:tc>
        <w:tc>
          <w:tcPr/>
          <w:p>
            <w:pPr>
              <w:pStyle w:val="Compact"/>
              <w:jc w:val="left"/>
            </w:pPr>
            <w:r>
              <w:t xml:space="preserve">(0.004)</w:t>
            </w:r>
          </w:p>
        </w:tc>
        <w:tc>
          <w:tcPr/>
          <w:p>
            <w:pPr>
              <w:pStyle w:val="Compact"/>
              <w:jc w:val="left"/>
            </w:pPr>
            <w:r>
              <w:t xml:space="preserve">(0.007)</w:t>
            </w:r>
          </w:p>
        </w:tc>
        <w:tc>
          <w:tcPr/>
          <w:p>
            <w:pPr>
              <w:pStyle w:val="Compact"/>
              <w:jc w:val="left"/>
            </w:pPr>
            <w:r>
              <w:t xml:space="preserve">(0.006)</w:t>
            </w:r>
          </w:p>
        </w:tc>
        <w:tc>
          <w:tcPr/>
          <w:p>
            <w:pPr>
              <w:pStyle w:val="Compact"/>
              <w:jc w:val="left"/>
            </w:pPr>
            <w:r>
              <w:t xml:space="preserve">(0.008)</w:t>
            </w:r>
          </w:p>
        </w:tc>
        <w:tc>
          <w:tcPr/>
          <w:p>
            <w:pPr>
              <w:pStyle w:val="Compact"/>
              <w:jc w:val="left"/>
            </w:pPr>
            <w:r>
              <w:t xml:space="preserve">(0.002)</w:t>
            </w:r>
          </w:p>
        </w:tc>
        <w:tc>
          <w:tcPr/>
          <w:p>
            <w:pPr>
              <w:pStyle w:val="Compact"/>
              <w:jc w:val="left"/>
            </w:pPr>
            <w:r>
              <w:t xml:space="preserve">(0.006)</w:t>
            </w:r>
          </w:p>
        </w:tc>
        <w:tc>
          <w:tcPr/>
          <w:p>
            <w:pPr>
              <w:pStyle w:val="Compact"/>
            </w:pPr>
          </w:p>
        </w:tc>
        <w:tc>
          <w:tcPr/>
          <w:p>
            <w:pPr>
              <w:pStyle w:val="Compact"/>
            </w:pPr>
          </w:p>
        </w:tc>
      </w:tr>
    </w:tbl>
    <w:p>
      <w:pPr>
        <w:pStyle w:val="BodyText"/>
      </w:pPr>
      <w:r>
        <w:t xml:space="preserve">Notes: Each cell is the post-event average effect on the outcome for the age group; block-bootstrap standard errors in parentheses. Events: number of events in the specification.</w:t>
      </w:r>
    </w:p>
    <w:p>
      <w:pPr>
        <w:pStyle w:val="TableCaption"/>
      </w:pPr>
      <w:r>
        <w:t xml:space="preserve">Table 14: Event-time coefficients: log hourly wage, enrollment and employment, 73 events from 2010</w:t>
      </w:r>
    </w:p>
    <w:tbl>
      <w:tblPr>
        <w:tblStyle w:val="Table"/>
        <w:tblW w:type="dxa" w:w="9360"/>
        <w:tblLook w:firstRow="0" w:lastRow="0" w:firstColumn="0" w:lastColumn="0" w:noHBand="0" w:noVBand="0" w:val="0000"/>
        <w:jc w:val="start"/>
        <w:tblCaption w:val="Table 14: Event-time coefficients: log hourly wage, enrollment and employment, 73 events from 2010"/>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Log hourly wage</w:t>
            </w:r>
          </w:p>
        </w:tc>
        <w:tc>
          <w:tcPr>
            <w:gridSpan w:val="2"/>
          </w:tcPr>
          <w:p>
            <w:pPr>
              <w:pStyle w:val="Compact"/>
              <w:jc w:val="center"/>
            </w:pPr>
            <w:r>
              <w:t xml:space="preserve">Enrolled</w:t>
            </w:r>
          </w:p>
        </w:tc>
        <w:tc>
          <w:tcPr>
            <w:gridSpan w:val="2"/>
          </w:tcPr>
          <w:p>
            <w:pPr>
              <w:pStyle w:val="Compact"/>
              <w:jc w:val="center"/>
            </w:pPr>
            <w:r>
              <w:t xml:space="preserve">Employed</w:t>
            </w:r>
          </w:p>
        </w:tc>
      </w:tr>
      <w:tr>
        <w:tc>
          <w:tcPr/>
          <w:p>
            <w:pPr>
              <w:pStyle w:val="Compact"/>
            </w:pPr>
          </w:p>
        </w:tc>
        <w:tc>
          <w:tcPr/>
          <w:p>
            <w:pPr>
              <w:pStyle w:val="Compact"/>
              <w:jc w:val="left"/>
            </w:pPr>
            <w:r>
              <w:t xml:space="preserve">16–17</w:t>
            </w:r>
          </w:p>
        </w:tc>
        <w:tc>
          <w:tcPr/>
          <w:p>
            <w:pPr>
              <w:pStyle w:val="Compact"/>
              <w:jc w:val="left"/>
            </w:pPr>
            <w:r>
              <w:t xml:space="preserve">18–19</w:t>
            </w:r>
          </w:p>
        </w:tc>
        <w:tc>
          <w:tcPr/>
          <w:p>
            <w:pPr>
              <w:pStyle w:val="Compact"/>
              <w:jc w:val="left"/>
            </w:pPr>
            <w:r>
              <w:t xml:space="preserve">16–17</w:t>
            </w:r>
          </w:p>
        </w:tc>
        <w:tc>
          <w:tcPr/>
          <w:p>
            <w:pPr>
              <w:pStyle w:val="Compact"/>
              <w:jc w:val="left"/>
            </w:pPr>
            <w:r>
              <w:t xml:space="preserve">18–19</w:t>
            </w:r>
          </w:p>
        </w:tc>
        <w:tc>
          <w:tcPr/>
          <w:p>
            <w:pPr>
              <w:pStyle w:val="Compact"/>
              <w:jc w:val="left"/>
            </w:pPr>
            <w:r>
              <w:t xml:space="preserve">16–17</w:t>
            </w:r>
          </w:p>
        </w:tc>
        <w:tc>
          <w:tcPr/>
          <w:p>
            <w:pPr>
              <w:pStyle w:val="Compact"/>
              <w:jc w:val="left"/>
            </w:pPr>
            <w:r>
              <w:t xml:space="preserve">18–19</w:t>
            </w:r>
          </w:p>
        </w:tc>
      </w:tr>
      <w:tr>
        <w:tc>
          <w:tcPr/>
          <w:p>
            <w:pPr>
              <w:pStyle w:val="Compact"/>
              <w:jc w:val="left"/>
            </w:pPr>
            <w:r>
              <w:t xml:space="preserve">Year -3</w:t>
            </w:r>
          </w:p>
        </w:tc>
        <w:tc>
          <w:tcPr/>
          <w:p>
            <w:pPr>
              <w:pStyle w:val="Compact"/>
              <w:jc w:val="left"/>
            </w:pPr>
            <w:r>
              <w:t xml:space="preserve">-0.021</w:t>
            </w:r>
            <w:r>
              <w:rPr>
                <w:vertAlign w:val="superscript"/>
              </w:rPr>
              <w:t xml:space="preserve">**</w:t>
            </w:r>
          </w:p>
        </w:tc>
        <w:tc>
          <w:tcPr/>
          <w:p>
            <w:pPr>
              <w:pStyle w:val="Compact"/>
              <w:jc w:val="left"/>
            </w:pPr>
            <w:r>
              <w:t xml:space="preserve">0.004</w:t>
            </w:r>
          </w:p>
        </w:tc>
        <w:tc>
          <w:tcPr/>
          <w:p>
            <w:pPr>
              <w:pStyle w:val="Compact"/>
              <w:jc w:val="left"/>
            </w:pPr>
            <w:r>
              <w:t xml:space="preserve">-0.000</w:t>
            </w:r>
          </w:p>
        </w:tc>
        <w:tc>
          <w:tcPr/>
          <w:p>
            <w:pPr>
              <w:pStyle w:val="Compact"/>
              <w:jc w:val="left"/>
            </w:pPr>
            <w:r>
              <w:t xml:space="preserve">0.007</w:t>
            </w:r>
          </w:p>
        </w:tc>
        <w:tc>
          <w:tcPr/>
          <w:p>
            <w:pPr>
              <w:pStyle w:val="Compact"/>
              <w:jc w:val="left"/>
            </w:pPr>
            <w:r>
              <w:t xml:space="preserve">-0.005</w:t>
            </w:r>
          </w:p>
        </w:tc>
        <w:tc>
          <w:tcPr/>
          <w:p>
            <w:pPr>
              <w:pStyle w:val="Compact"/>
              <w:jc w:val="left"/>
            </w:pPr>
            <w:r>
              <w:t xml:space="preserve">-0.002</w:t>
            </w:r>
          </w:p>
        </w:tc>
      </w:tr>
      <w:tr>
        <w:tc>
          <w:tcPr/>
          <w:p>
            <w:pPr>
              <w:pStyle w:val="Compact"/>
            </w:pPr>
          </w:p>
        </w:tc>
        <w:tc>
          <w:tcPr/>
          <w:p>
            <w:pPr>
              <w:pStyle w:val="Compact"/>
              <w:jc w:val="left"/>
            </w:pPr>
            <w:r>
              <w:t xml:space="preserve">(0.010)</w:t>
            </w:r>
          </w:p>
        </w:tc>
        <w:tc>
          <w:tcPr/>
          <w:p>
            <w:pPr>
              <w:pStyle w:val="Compact"/>
              <w:jc w:val="left"/>
            </w:pPr>
            <w:r>
              <w:t xml:space="preserve">(0.013)</w:t>
            </w:r>
          </w:p>
        </w:tc>
        <w:tc>
          <w:tcPr/>
          <w:p>
            <w:pPr>
              <w:pStyle w:val="Compact"/>
              <w:jc w:val="left"/>
            </w:pPr>
            <w:r>
              <w:t xml:space="preserve">(0.004)</w:t>
            </w:r>
          </w:p>
        </w:tc>
        <w:tc>
          <w:tcPr/>
          <w:p>
            <w:pPr>
              <w:pStyle w:val="Compact"/>
              <w:jc w:val="left"/>
            </w:pPr>
            <w:r>
              <w:t xml:space="preserve">(0.009)</w:t>
            </w:r>
          </w:p>
        </w:tc>
        <w:tc>
          <w:tcPr/>
          <w:p>
            <w:pPr>
              <w:pStyle w:val="Compact"/>
              <w:jc w:val="left"/>
            </w:pPr>
            <w:r>
              <w:t xml:space="preserve">(0.007)</w:t>
            </w:r>
          </w:p>
        </w:tc>
        <w:tc>
          <w:tcPr/>
          <w:p>
            <w:pPr>
              <w:pStyle w:val="Compact"/>
              <w:jc w:val="left"/>
            </w:pPr>
            <w:r>
              <w:t xml:space="preserve">(0.009)</w:t>
            </w:r>
          </w:p>
        </w:tc>
      </w:tr>
      <w:tr>
        <w:tc>
          <w:tcPr/>
          <w:p>
            <w:pPr>
              <w:pStyle w:val="Compact"/>
              <w:jc w:val="left"/>
            </w:pPr>
            <w:r>
              <w:t xml:space="preserve">Year -2</w:t>
            </w:r>
          </w:p>
        </w:tc>
        <w:tc>
          <w:tcPr/>
          <w:p>
            <w:pPr>
              <w:pStyle w:val="Compact"/>
              <w:jc w:val="left"/>
            </w:pPr>
            <w:r>
              <w:t xml:space="preserve">0.010</w:t>
            </w:r>
          </w:p>
        </w:tc>
        <w:tc>
          <w:tcPr/>
          <w:p>
            <w:pPr>
              <w:pStyle w:val="Compact"/>
              <w:jc w:val="left"/>
            </w:pPr>
            <w:r>
              <w:t xml:space="preserve">-0.004</w:t>
            </w:r>
          </w:p>
        </w:tc>
        <w:tc>
          <w:tcPr/>
          <w:p>
            <w:pPr>
              <w:pStyle w:val="Compact"/>
              <w:jc w:val="left"/>
            </w:pPr>
            <w:r>
              <w:t xml:space="preserve">-0.002</w:t>
            </w:r>
          </w:p>
        </w:tc>
        <w:tc>
          <w:tcPr/>
          <w:p>
            <w:pPr>
              <w:pStyle w:val="Compact"/>
              <w:jc w:val="left"/>
            </w:pPr>
            <w:r>
              <w:t xml:space="preserve">0.004</w:t>
            </w:r>
          </w:p>
        </w:tc>
        <w:tc>
          <w:tcPr/>
          <w:p>
            <w:pPr>
              <w:pStyle w:val="Compact"/>
              <w:jc w:val="left"/>
            </w:pPr>
            <w:r>
              <w:t xml:space="preserve">-0.002</w:t>
            </w:r>
          </w:p>
        </w:tc>
        <w:tc>
          <w:tcPr/>
          <w:p>
            <w:pPr>
              <w:pStyle w:val="Compact"/>
              <w:jc w:val="left"/>
            </w:pPr>
            <w:r>
              <w:t xml:space="preserve">-0.003</w:t>
            </w:r>
          </w:p>
        </w:tc>
      </w:tr>
      <w:tr>
        <w:tc>
          <w:tcPr/>
          <w:p>
            <w:pPr>
              <w:pStyle w:val="Compact"/>
            </w:pPr>
          </w:p>
        </w:tc>
        <w:tc>
          <w:tcPr/>
          <w:p>
            <w:pPr>
              <w:pStyle w:val="Compact"/>
              <w:jc w:val="left"/>
            </w:pPr>
            <w:r>
              <w:t xml:space="preserve">(0.013)</w:t>
            </w:r>
          </w:p>
        </w:tc>
        <w:tc>
          <w:tcPr/>
          <w:p>
            <w:pPr>
              <w:pStyle w:val="Compact"/>
              <w:jc w:val="left"/>
            </w:pPr>
            <w:r>
              <w:t xml:space="preserve">(0.009)</w:t>
            </w:r>
          </w:p>
        </w:tc>
        <w:tc>
          <w:tcPr/>
          <w:p>
            <w:pPr>
              <w:pStyle w:val="Compact"/>
              <w:jc w:val="left"/>
            </w:pPr>
            <w:r>
              <w:t xml:space="preserve">(0.003)</w:t>
            </w:r>
          </w:p>
        </w:tc>
        <w:tc>
          <w:tcPr/>
          <w:p>
            <w:pPr>
              <w:pStyle w:val="Compact"/>
              <w:jc w:val="left"/>
            </w:pPr>
            <w:r>
              <w:t xml:space="preserve">(0.008)</w:t>
            </w:r>
          </w:p>
        </w:tc>
        <w:tc>
          <w:tcPr/>
          <w:p>
            <w:pPr>
              <w:pStyle w:val="Compact"/>
              <w:jc w:val="left"/>
            </w:pPr>
            <w:r>
              <w:t xml:space="preserve">(0.006)</w:t>
            </w:r>
          </w:p>
        </w:tc>
        <w:tc>
          <w:tcPr/>
          <w:p>
            <w:pPr>
              <w:pStyle w:val="Compact"/>
              <w:jc w:val="left"/>
            </w:pPr>
            <w:r>
              <w:t xml:space="preserve">(0.007)</w:t>
            </w:r>
          </w:p>
        </w:tc>
      </w:tr>
      <w:tr>
        <w:tc>
          <w:tcPr/>
          <w:p>
            <w:pPr>
              <w:pStyle w:val="Compact"/>
              <w:jc w:val="left"/>
            </w:pPr>
            <w:r>
              <w:t xml:space="preserve">Year -1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0</w:t>
            </w:r>
          </w:p>
        </w:tc>
        <w:tc>
          <w:tcPr/>
          <w:p>
            <w:pPr>
              <w:pStyle w:val="Compact"/>
              <w:jc w:val="left"/>
            </w:pPr>
            <w:r>
              <w:t xml:space="preserve">0.018</w:t>
            </w:r>
          </w:p>
        </w:tc>
        <w:tc>
          <w:tcPr/>
          <w:p>
            <w:pPr>
              <w:pStyle w:val="Compact"/>
              <w:jc w:val="left"/>
            </w:pPr>
            <w:r>
              <w:t xml:space="preserve">0.007</w:t>
            </w:r>
          </w:p>
        </w:tc>
        <w:tc>
          <w:tcPr/>
          <w:p>
            <w:pPr>
              <w:pStyle w:val="Compact"/>
              <w:jc w:val="left"/>
            </w:pPr>
            <w:r>
              <w:t xml:space="preserve">-0.003</w:t>
            </w:r>
          </w:p>
        </w:tc>
        <w:tc>
          <w:tcPr/>
          <w:p>
            <w:pPr>
              <w:pStyle w:val="Compact"/>
              <w:jc w:val="left"/>
            </w:pPr>
            <w:r>
              <w:t xml:space="preserve">0.004</w:t>
            </w:r>
          </w:p>
        </w:tc>
        <w:tc>
          <w:tcPr/>
          <w:p>
            <w:pPr>
              <w:pStyle w:val="Compact"/>
              <w:jc w:val="left"/>
            </w:pPr>
            <w:r>
              <w:t xml:space="preserve">-0.000</w:t>
            </w:r>
          </w:p>
        </w:tc>
        <w:tc>
          <w:tcPr/>
          <w:p>
            <w:pPr>
              <w:pStyle w:val="Compact"/>
              <w:jc w:val="left"/>
            </w:pPr>
            <w:r>
              <w:t xml:space="preserve">0.012</w:t>
            </w:r>
            <w:r>
              <w:rPr>
                <w:vertAlign w:val="superscript"/>
              </w:rPr>
              <w:t xml:space="preserve">*</w:t>
            </w:r>
          </w:p>
        </w:tc>
      </w:tr>
      <w:tr>
        <w:tc>
          <w:tcPr/>
          <w:p>
            <w:pPr>
              <w:pStyle w:val="Compact"/>
            </w:pPr>
          </w:p>
        </w:tc>
        <w:tc>
          <w:tcPr/>
          <w:p>
            <w:pPr>
              <w:pStyle w:val="Compact"/>
              <w:jc w:val="left"/>
            </w:pPr>
            <w:r>
              <w:t xml:space="preserve">(0.012)</w:t>
            </w:r>
          </w:p>
        </w:tc>
        <w:tc>
          <w:tcPr/>
          <w:p>
            <w:pPr>
              <w:pStyle w:val="Compact"/>
              <w:jc w:val="left"/>
            </w:pPr>
            <w:r>
              <w:t xml:space="preserve">(0.010)</w:t>
            </w:r>
          </w:p>
        </w:tc>
        <w:tc>
          <w:tcPr/>
          <w:p>
            <w:pPr>
              <w:pStyle w:val="Compact"/>
              <w:jc w:val="left"/>
            </w:pPr>
            <w:r>
              <w:t xml:space="preserve">(0.004)</w:t>
            </w:r>
          </w:p>
        </w:tc>
        <w:tc>
          <w:tcPr/>
          <w:p>
            <w:pPr>
              <w:pStyle w:val="Compact"/>
              <w:jc w:val="left"/>
            </w:pPr>
            <w:r>
              <w:t xml:space="preserve">(0.010)</w:t>
            </w:r>
          </w:p>
        </w:tc>
        <w:tc>
          <w:tcPr/>
          <w:p>
            <w:pPr>
              <w:pStyle w:val="Compact"/>
              <w:jc w:val="left"/>
            </w:pPr>
            <w:r>
              <w:t xml:space="preserve">(0.006)</w:t>
            </w:r>
          </w:p>
        </w:tc>
        <w:tc>
          <w:tcPr/>
          <w:p>
            <w:pPr>
              <w:pStyle w:val="Compact"/>
              <w:jc w:val="left"/>
            </w:pPr>
            <w:r>
              <w:t xml:space="preserve">(0.007)</w:t>
            </w:r>
          </w:p>
        </w:tc>
      </w:tr>
      <w:tr>
        <w:tc>
          <w:tcPr/>
          <w:p>
            <w:pPr>
              <w:pStyle w:val="Compact"/>
              <w:jc w:val="left"/>
            </w:pPr>
            <w:r>
              <w:t xml:space="preserve">Year 1</w:t>
            </w:r>
          </w:p>
        </w:tc>
        <w:tc>
          <w:tcPr/>
          <w:p>
            <w:pPr>
              <w:pStyle w:val="Compact"/>
              <w:jc w:val="left"/>
            </w:pPr>
            <w:r>
              <w:t xml:space="preserve">0.068</w:t>
            </w:r>
            <w:r>
              <w:rPr>
                <w:vertAlign w:val="superscript"/>
              </w:rPr>
              <w:t xml:space="preserve">***</w:t>
            </w:r>
          </w:p>
        </w:tc>
        <w:tc>
          <w:tcPr/>
          <w:p>
            <w:pPr>
              <w:pStyle w:val="Compact"/>
              <w:jc w:val="left"/>
            </w:pPr>
            <w:r>
              <w:t xml:space="preserve">0.036</w:t>
            </w:r>
            <w:r>
              <w:rPr>
                <w:vertAlign w:val="superscript"/>
              </w:rPr>
              <w:t xml:space="preserve">***</w:t>
            </w:r>
          </w:p>
        </w:tc>
        <w:tc>
          <w:tcPr/>
          <w:p>
            <w:pPr>
              <w:pStyle w:val="Compact"/>
              <w:jc w:val="left"/>
            </w:pPr>
            <w:r>
              <w:t xml:space="preserve">-0.004</w:t>
            </w:r>
          </w:p>
        </w:tc>
        <w:tc>
          <w:tcPr/>
          <w:p>
            <w:pPr>
              <w:pStyle w:val="Compact"/>
              <w:jc w:val="left"/>
            </w:pPr>
            <w:r>
              <w:t xml:space="preserve">-0.002</w:t>
            </w:r>
          </w:p>
        </w:tc>
        <w:tc>
          <w:tcPr/>
          <w:p>
            <w:pPr>
              <w:pStyle w:val="Compact"/>
              <w:jc w:val="left"/>
            </w:pPr>
            <w:r>
              <w:t xml:space="preserve">-0.001</w:t>
            </w:r>
          </w:p>
        </w:tc>
        <w:tc>
          <w:tcPr/>
          <w:p>
            <w:pPr>
              <w:pStyle w:val="Compact"/>
              <w:jc w:val="left"/>
            </w:pPr>
            <w:r>
              <w:t xml:space="preserve">0.009</w:t>
            </w:r>
          </w:p>
        </w:tc>
      </w:tr>
      <w:tr>
        <w:tc>
          <w:tcPr/>
          <w:p>
            <w:pPr>
              <w:pStyle w:val="Compact"/>
            </w:pPr>
          </w:p>
        </w:tc>
        <w:tc>
          <w:tcPr/>
          <w:p>
            <w:pPr>
              <w:pStyle w:val="Compact"/>
              <w:jc w:val="left"/>
            </w:pPr>
            <w:r>
              <w:t xml:space="preserve">(0.011)</w:t>
            </w:r>
          </w:p>
        </w:tc>
        <w:tc>
          <w:tcPr/>
          <w:p>
            <w:pPr>
              <w:pStyle w:val="Compact"/>
              <w:jc w:val="left"/>
            </w:pPr>
            <w:r>
              <w:t xml:space="preserve">(0.011)</w:t>
            </w:r>
          </w:p>
        </w:tc>
        <w:tc>
          <w:tcPr/>
          <w:p>
            <w:pPr>
              <w:pStyle w:val="Compact"/>
              <w:jc w:val="left"/>
            </w:pPr>
            <w:r>
              <w:t xml:space="preserve">(0.007)</w:t>
            </w:r>
          </w:p>
        </w:tc>
        <w:tc>
          <w:tcPr/>
          <w:p>
            <w:pPr>
              <w:pStyle w:val="Compact"/>
              <w:jc w:val="left"/>
            </w:pPr>
            <w:r>
              <w:t xml:space="preserve">(0.009)</w:t>
            </w:r>
          </w:p>
        </w:tc>
        <w:tc>
          <w:tcPr/>
          <w:p>
            <w:pPr>
              <w:pStyle w:val="Compact"/>
              <w:jc w:val="left"/>
            </w:pPr>
            <w:r>
              <w:t xml:space="preserve">(0.006)</w:t>
            </w:r>
          </w:p>
        </w:tc>
        <w:tc>
          <w:tcPr/>
          <w:p>
            <w:pPr>
              <w:pStyle w:val="Compact"/>
              <w:jc w:val="left"/>
            </w:pPr>
            <w:r>
              <w:t xml:space="preserve">(0.012)</w:t>
            </w:r>
          </w:p>
        </w:tc>
      </w:tr>
      <w:tr>
        <w:tc>
          <w:tcPr/>
          <w:p>
            <w:pPr>
              <w:pStyle w:val="Compact"/>
              <w:jc w:val="left"/>
            </w:pPr>
            <w:r>
              <w:t xml:space="preserve">Year 2</w:t>
            </w:r>
          </w:p>
        </w:tc>
        <w:tc>
          <w:tcPr/>
          <w:p>
            <w:pPr>
              <w:pStyle w:val="Compact"/>
              <w:jc w:val="left"/>
            </w:pPr>
            <w:r>
              <w:t xml:space="preserve">0.055</w:t>
            </w:r>
            <w:r>
              <w:rPr>
                <w:vertAlign w:val="superscript"/>
              </w:rPr>
              <w:t xml:space="preserve">***</w:t>
            </w:r>
          </w:p>
        </w:tc>
        <w:tc>
          <w:tcPr/>
          <w:p>
            <w:pPr>
              <w:pStyle w:val="Compact"/>
              <w:jc w:val="left"/>
            </w:pPr>
            <w:r>
              <w:t xml:space="preserve">0.028</w:t>
            </w:r>
            <w:r>
              <w:rPr>
                <w:vertAlign w:val="superscript"/>
              </w:rPr>
              <w:t xml:space="preserve">*</w:t>
            </w:r>
          </w:p>
        </w:tc>
        <w:tc>
          <w:tcPr/>
          <w:p>
            <w:pPr>
              <w:pStyle w:val="Compact"/>
              <w:jc w:val="left"/>
            </w:pPr>
            <w:r>
              <w:t xml:space="preserve">-0.003</w:t>
            </w:r>
          </w:p>
        </w:tc>
        <w:tc>
          <w:tcPr/>
          <w:p>
            <w:pPr>
              <w:pStyle w:val="Compact"/>
              <w:jc w:val="left"/>
            </w:pPr>
            <w:r>
              <w:t xml:space="preserve">0.006</w:t>
            </w:r>
          </w:p>
        </w:tc>
        <w:tc>
          <w:tcPr/>
          <w:p>
            <w:pPr>
              <w:pStyle w:val="Compact"/>
              <w:jc w:val="left"/>
            </w:pPr>
            <w:r>
              <w:t xml:space="preserve">0.002</w:t>
            </w:r>
          </w:p>
        </w:tc>
        <w:tc>
          <w:tcPr/>
          <w:p>
            <w:pPr>
              <w:pStyle w:val="Compact"/>
              <w:jc w:val="left"/>
            </w:pPr>
            <w:r>
              <w:t xml:space="preserve">0.002</w:t>
            </w:r>
          </w:p>
        </w:tc>
      </w:tr>
      <w:tr>
        <w:tc>
          <w:tcPr/>
          <w:p>
            <w:pPr>
              <w:pStyle w:val="Compact"/>
            </w:pPr>
          </w:p>
        </w:tc>
        <w:tc>
          <w:tcPr/>
          <w:p>
            <w:pPr>
              <w:pStyle w:val="Compact"/>
              <w:jc w:val="left"/>
            </w:pPr>
            <w:r>
              <w:t xml:space="preserve">(0.015)</w:t>
            </w:r>
          </w:p>
        </w:tc>
        <w:tc>
          <w:tcPr/>
          <w:p>
            <w:pPr>
              <w:pStyle w:val="Compact"/>
              <w:jc w:val="left"/>
            </w:pPr>
            <w:r>
              <w:t xml:space="preserve">(0.015)</w:t>
            </w:r>
          </w:p>
        </w:tc>
        <w:tc>
          <w:tcPr/>
          <w:p>
            <w:pPr>
              <w:pStyle w:val="Compact"/>
              <w:jc w:val="left"/>
            </w:pPr>
            <w:r>
              <w:t xml:space="preserve">(0.006)</w:t>
            </w:r>
          </w:p>
        </w:tc>
        <w:tc>
          <w:tcPr/>
          <w:p>
            <w:pPr>
              <w:pStyle w:val="Compact"/>
              <w:jc w:val="left"/>
            </w:pPr>
            <w:r>
              <w:t xml:space="preserve">(0.009)</w:t>
            </w:r>
          </w:p>
        </w:tc>
        <w:tc>
          <w:tcPr/>
          <w:p>
            <w:pPr>
              <w:pStyle w:val="Compact"/>
              <w:jc w:val="left"/>
            </w:pPr>
            <w:r>
              <w:t xml:space="preserve">(0.007)</w:t>
            </w:r>
          </w:p>
        </w:tc>
        <w:tc>
          <w:tcPr/>
          <w:p>
            <w:pPr>
              <w:pStyle w:val="Compact"/>
              <w:jc w:val="left"/>
            </w:pPr>
            <w:r>
              <w:t xml:space="preserve">(0.009)</w:t>
            </w:r>
          </w:p>
        </w:tc>
      </w:tr>
      <w:tr>
        <w:tc>
          <w:tcPr/>
          <w:p>
            <w:pPr>
              <w:pStyle w:val="Compact"/>
              <w:jc w:val="left"/>
            </w:pPr>
            <w:r>
              <w:t xml:space="preserve">Year 3</w:t>
            </w:r>
          </w:p>
        </w:tc>
        <w:tc>
          <w:tcPr/>
          <w:p>
            <w:pPr>
              <w:pStyle w:val="Compact"/>
              <w:jc w:val="left"/>
            </w:pPr>
            <w:r>
              <w:t xml:space="preserve">0.070</w:t>
            </w:r>
            <w:r>
              <w:rPr>
                <w:vertAlign w:val="superscript"/>
              </w:rPr>
              <w:t xml:space="preserve">***</w:t>
            </w:r>
          </w:p>
        </w:tc>
        <w:tc>
          <w:tcPr/>
          <w:p>
            <w:pPr>
              <w:pStyle w:val="Compact"/>
              <w:jc w:val="left"/>
            </w:pPr>
            <w:r>
              <w:t xml:space="preserve">0.050</w:t>
            </w:r>
            <w:r>
              <w:rPr>
                <w:vertAlign w:val="superscript"/>
              </w:rPr>
              <w:t xml:space="preserve">***</w:t>
            </w:r>
          </w:p>
        </w:tc>
        <w:tc>
          <w:tcPr/>
          <w:p>
            <w:pPr>
              <w:pStyle w:val="Compact"/>
              <w:jc w:val="left"/>
            </w:pPr>
            <w:r>
              <w:t xml:space="preserve">-0.002</w:t>
            </w:r>
          </w:p>
        </w:tc>
        <w:tc>
          <w:tcPr/>
          <w:p>
            <w:pPr>
              <w:pStyle w:val="Compact"/>
              <w:jc w:val="left"/>
            </w:pPr>
            <w:r>
              <w:t xml:space="preserve">-0.003</w:t>
            </w:r>
          </w:p>
        </w:tc>
        <w:tc>
          <w:tcPr/>
          <w:p>
            <w:pPr>
              <w:pStyle w:val="Compact"/>
              <w:jc w:val="left"/>
            </w:pPr>
            <w:r>
              <w:t xml:space="preserve">-0.004</w:t>
            </w:r>
          </w:p>
        </w:tc>
        <w:tc>
          <w:tcPr/>
          <w:p>
            <w:pPr>
              <w:pStyle w:val="Compact"/>
              <w:jc w:val="left"/>
            </w:pPr>
            <w:r>
              <w:t xml:space="preserve">0.017</w:t>
            </w:r>
          </w:p>
        </w:tc>
      </w:tr>
      <w:tr>
        <w:tc>
          <w:tcPr/>
          <w:p>
            <w:pPr>
              <w:pStyle w:val="Compact"/>
            </w:pPr>
          </w:p>
        </w:tc>
        <w:tc>
          <w:tcPr/>
          <w:p>
            <w:pPr>
              <w:pStyle w:val="Compact"/>
              <w:jc w:val="left"/>
            </w:pPr>
            <w:r>
              <w:t xml:space="preserve">(0.021)</w:t>
            </w:r>
          </w:p>
        </w:tc>
        <w:tc>
          <w:tcPr/>
          <w:p>
            <w:pPr>
              <w:pStyle w:val="Compact"/>
              <w:jc w:val="left"/>
            </w:pPr>
            <w:r>
              <w:t xml:space="preserve">(0.011)</w:t>
            </w:r>
          </w:p>
        </w:tc>
        <w:tc>
          <w:tcPr/>
          <w:p>
            <w:pPr>
              <w:pStyle w:val="Compact"/>
              <w:jc w:val="left"/>
            </w:pPr>
            <w:r>
              <w:t xml:space="preserve">(0.006)</w:t>
            </w:r>
          </w:p>
        </w:tc>
        <w:tc>
          <w:tcPr/>
          <w:p>
            <w:pPr>
              <w:pStyle w:val="Compact"/>
              <w:jc w:val="left"/>
            </w:pPr>
            <w:r>
              <w:t xml:space="preserve">(0.013)</w:t>
            </w:r>
          </w:p>
        </w:tc>
        <w:tc>
          <w:tcPr/>
          <w:p>
            <w:pPr>
              <w:pStyle w:val="Compact"/>
              <w:jc w:val="left"/>
            </w:pPr>
            <w:r>
              <w:t xml:space="preserve">(0.009)</w:t>
            </w:r>
          </w:p>
        </w:tc>
        <w:tc>
          <w:tcPr/>
          <w:p>
            <w:pPr>
              <w:pStyle w:val="Compact"/>
              <w:jc w:val="left"/>
            </w:pPr>
            <w:r>
              <w:t xml:space="preserve">(0.010)</w:t>
            </w:r>
          </w:p>
        </w:tc>
      </w:tr>
    </w:tbl>
    <w:p>
      <w:pPr>
        <w:pStyle w:val="BodyText"/>
      </w:pPr>
      <w:r>
        <w:t xml:space="preserve">Notes: Relative year</w:t>
      </w:r>
      <w:r>
        <w:t xml:space="preserve"> </w:t>
      </w:r>
      <m:oMath>
        <m:r>
          <m:rPr>
            <m:sty m:val="p"/>
          </m:rPr>
          <m:t>−</m:t>
        </m:r>
        <m:r>
          <m:t>1</m:t>
        </m:r>
      </m:oMath>
      <w:r>
        <w:t xml:space="preserve"> </w:t>
      </w:r>
      <w:r>
        <w:t xml:space="preserve">is the twelve months before the increase and the omitted base. Block-bootstrap standard errors over states in parentheses.</w:t>
      </w:r>
    </w:p>
    <w:p>
      <w:pPr>
        <w:pStyle w:val="CaptionedFigure"/>
      </w:pPr>
      <w:r>
        <w:drawing>
          <wp:inline>
            <wp:extent cx="4533900" cy="2493645"/>
            <wp:effectExtent b="0" l="0" r="0" t="0"/>
            <wp:docPr descr="" title="" id="69" name="Picture"/>
            <a:graphic>
              <a:graphicData uri="http://schemas.openxmlformats.org/drawingml/2006/picture">
                <pic:pic>
                  <pic:nvPicPr>
                    <pic:cNvPr descr="figures/figA1_state_first_stage.png" id="70" name="Picture"/>
                    <pic:cNvPicPr>
                      <a:picLocks noChangeArrowheads="1" noChangeAspect="1"/>
                    </pic:cNvPicPr>
                  </pic:nvPicPr>
                  <pic:blipFill>
                    <a:blip r:embed="rId68"/>
                    <a:stretch>
                      <a:fillRect/>
                    </a:stretch>
                  </pic:blipFill>
                  <pic:spPr bwMode="auto">
                    <a:xfrm>
                      <a:off x="0" y="0"/>
                      <a:ext cx="4533900" cy="2493645"/>
                    </a:xfrm>
                    <a:prstGeom prst="rect">
                      <a:avLst/>
                    </a:prstGeom>
                    <a:noFill/>
                    <a:ln w="9525">
                      <a:noFill/>
                      <a:headEnd/>
                      <a:tailEnd/>
                    </a:ln>
                  </pic:spPr>
                </pic:pic>
              </a:graphicData>
            </a:graphic>
          </wp:inline>
        </w:drawing>
      </w:r>
    </w:p>
    <w:p>
      <w:pPr>
        <w:pStyle w:val="ImageCaption"/>
      </w:pPr>
      <w:r>
        <w:t xml:space="preserve">Figure 11: State design (states as units, 39 events from 2010): first stage</w:t>
      </w:r>
    </w:p>
    <w:p>
      <w:pPr>
        <w:pStyle w:val="CaptionedFigure"/>
      </w:pPr>
      <w:r>
        <w:drawing>
          <wp:inline>
            <wp:extent cx="5334000" cy="2036618"/>
            <wp:effectExtent b="0" l="0" r="0" t="0"/>
            <wp:docPr descr="" title="" id="72" name="Picture"/>
            <a:graphic>
              <a:graphicData uri="http://schemas.openxmlformats.org/drawingml/2006/picture">
                <pic:pic>
                  <pic:nvPicPr>
                    <pic:cNvPr descr="figures/figA2_state_event_main.png" id="73" name="Picture"/>
                    <pic:cNvPicPr>
                      <a:picLocks noChangeArrowheads="1" noChangeAspect="1"/>
                    </pic:cNvPicPr>
                  </pic:nvPicPr>
                  <pic:blipFill>
                    <a:blip r:embed="rId71"/>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Figure 12: State design: enrollment and employment</w:t>
      </w:r>
    </w:p>
    <w:tbl>
      <w:tblPr>
        <w:tblStyle w:val="FigureTable"/>
        <w:tblW w:type="dxa" w:w="9360"/>
        <w:tblLook w:firstRow="0" w:lastRow="0" w:firstColumn="0" w:lastColumn="0"/>
        <w:jc w:val="center"/>
      </w:tblPr>
      <w:tblGrid>
        <w:gridCol w:w="2808"/>
        <w:gridCol w:w="6552"/>
      </w:tblGrid>
      <w:tr>
        <w:tc>
          <w:tcPr/>
          <w:p>
            <w:pPr>
              <w:pStyle w:val="Compact"/>
              <w:jc w:val="center"/>
            </w:pPr>
            <w:r>
              <w:drawing>
                <wp:inline>
                  <wp:extent cx="2266740" cy="5216524"/>
                  <wp:effectExtent b="0" l="0" r="0" t="0"/>
                  <wp:docPr descr="" title="" id="75" name="Picture"/>
                  <a:graphic>
                    <a:graphicData uri="http://schemas.openxmlformats.org/drawingml/2006/picture">
                      <pic:pic>
                        <pic:nvPicPr>
                          <pic:cNvPr descr="figures/fig6_byevent.png" id="76" name="Picture"/>
                          <pic:cNvPicPr>
                            <a:picLocks noChangeArrowheads="1" noChangeAspect="1"/>
                          </pic:cNvPicPr>
                        </pic:nvPicPr>
                        <pic:blipFill>
                          <a:blip r:embed="rId74"/>
                          <a:stretch>
                            <a:fillRect/>
                          </a:stretch>
                        </pic:blipFill>
                        <pic:spPr bwMode="auto">
                          <a:xfrm>
                            <a:off x="0" y="0"/>
                            <a:ext cx="2266740" cy="5216524"/>
                          </a:xfrm>
                          <a:prstGeom prst="rect">
                            <a:avLst/>
                          </a:prstGeom>
                          <a:noFill/>
                          <a:ln w="9525">
                            <a:noFill/>
                            <a:headEnd/>
                            <a:tailEnd/>
                          </a:ln>
                        </pic:spPr>
                      </pic:pic>
                    </a:graphicData>
                  </a:graphic>
                </wp:inline>
              </w:drawing>
            </w:r>
          </w:p>
        </w:tc>
        <w:tc>
          <w:tcPr/>
          <w:p>
            <w:pPr>
              <w:jc w:val="center"/>
            </w:pPr>
            <w:r>
              <w:t xml:space="preserve">Notes: Units are state FIPS codes (state remainders) and five-digit county codes (county units); Table 23 names them.</w:t>
            </w:r>
          </w:p>
        </w:tc>
      </w:tr>
    </w:tbl>
    <w:p>
      <w:pPr>
        <w:pStyle w:val="ImageCaption"/>
      </w:pPr>
      <w:r>
        <w:t xml:space="preserve">Figure 13: Event-by-event post-event averages, enrollment of 18–19 year olds</w:t>
      </w:r>
    </w:p>
    <w:bookmarkEnd w:id="77"/>
    <w:bookmarkStart w:id="78" w:name="discussion"/>
    <w:p>
      <w:pPr>
        <w:pStyle w:val="Heading1"/>
      </w:pPr>
      <w:r>
        <w:t xml:space="preserve">7 Discussion</w:t>
      </w:r>
    </w:p>
    <w:p>
      <w:pPr>
        <w:pStyle w:val="FirstParagraph"/>
      </w:pPr>
      <w:r>
        <w:t xml:space="preserve">The results match the third case of Section 2. The wage of teens who work rose with the minimum, and by more for teens from poorer families and in the counties with the largest local increases; employment, hours and weekly earnings did not fall; and the allocation of time between school and work did not change for any age, income or racial group; the one movement, among girls aged 16–17, is a shift of about a point from working while in school to school only, with enrollment unchanged, and boys of the same age shift the other way. In a competitive teen labour market a 38 percent rise in the wage floor should have reduced employment or hours, and either the expected wage or the enrollment rate should have moved. Neither did. The pattern is the one a market with employer wage-setting power produces, in which a minimum between the prevailing wage and the marginal product raises pay without reducing the chance of a job, and it is consistent with the bunching estimates of Cengiz et al. (2019) for all low-wage workers and with the direct evidence of concentration in the markets where teens work (Azar et al., 2019; Manning, 2003).</w:t>
      </w:r>
    </w:p>
    <w:p>
      <w:pPr>
        <w:pStyle w:val="BodyText"/>
      </w:pPr>
      <w:r>
        <w:t xml:space="preserve">The estimates also rule the minimum wage out as the cause of the decline in teen employment on two counts of timing and one of magnitude. Most of the decline happened between 2000 and 2010 (Figure 1), before the large state and local schedules that give the minimum wage its modern bite; the events of 1994–2009 were smaller, and the estimates for them (Section 6) are zero on employment at 18–19 and</w:t>
      </w:r>
      <w:r>
        <w:t xml:space="preserve"> </w:t>
      </w:r>
      <m:oMath>
        <m:r>
          <m:rPr>
            <m:sty m:val="p"/>
          </m:rPr>
          <m:t>−</m:t>
        </m:r>
        <m:r>
          <m:t>1.0</m:t>
        </m:r>
      </m:oMath>
      <w:r>
        <w:t xml:space="preserve"> </w:t>
      </w:r>
      <w:r>
        <w:t xml:space="preserve">points (s.e. 0.7) at 16–17. The period of the largest increases, 2014–2025, is one in which teen employment rose, from 28 to 33 percent. And even taking the most negative employment estimate in the appendix at face value and applying it to every teen exposed to an event, the minimum wage would account for about one point of an eighteen-point decline. The decline itself then needs another explanation, and the candidates in Neumark and Shupe (2019) and Smith (2011); Smith (2012) remain: the rising return to schooling and the intensification of college preparation, competition from adult and immigrant workers in the retail and food service jobs that teens held, and the two recessions of the period. This paper’s contribution is to remove one from the list.</w:t>
      </w:r>
    </w:p>
    <w:p>
      <w:pPr>
        <w:pStyle w:val="BodyText"/>
      </w:pPr>
      <w:r>
        <w:t xml:space="preserve">The absence of a schooling gain for low-income teens does not contradict Smith (2021) so much as bound it for a later period and a different design. His estimate implies that increases of the size studied here would have lowered dropout among low-SES teens by two to four points; the enrollment and dropout intervals for low-income teens here (Appendix E) exclude changes of that size. Two differences could reconcile the findings: his socioeconomic measure is parental education, which identifies a poorer group than family income below the median, and his variation is the smaller increases of 1992–2012 estimated with two-way fixed effects and a distributed-lag specification, which the event design does not reproduce. Appendix C shows what that specification does on the modern data: on all months it finds a small rise in the share of teens neither in school nor at work and a small fall in enrollment at 16–17, for high-income teens as much as for low-income ones; in school months the 16–17 coefficients are a fifth of the size and insignificant, and what remains at 18–19 disappears once the federal-floor states are dropped. The earlier literature’s schooling effects, in both directions, are of the size that the choice of months and of comparison states can produce in this specification. What can be said is that in the modern period the poorer half of teens received the wage gain and did not change their schooling in response.</w:t>
      </w:r>
    </w:p>
    <w:p>
      <w:pPr>
        <w:pStyle w:val="BodyText"/>
      </w:pPr>
      <w:r>
        <w:t xml:space="preserve">Three limits should be stated. The enrollment measure is attendance last week; it cannot see grade progression or completion, so the null does not rule out effects on attainment measured years later. The 2023–2025 minimum wage changes and index adjustments are compiled from state sources and are less thoroughly vetted than the Vaghul and Zipperer (2016) list; they determine which units are clean controls after 2022 and should be verified before the event list is treated as final. Local minimums are carried at their end-2022 levels thereafter, and a city’s rate is applied to its whole county, so a Seattle rate treats all of King County; the county samples are small and the county events are best read alongside the state remainders. Standard errors are from a 99-draw block bootstrap; the wild cluster bootstrap in the Stata replication is the inference to report.</w:t>
      </w:r>
    </w:p>
    <w:bookmarkEnd w:id="78"/>
    <w:bookmarkStart w:id="79" w:name="conclusion"/>
    <w:p>
      <w:pPr>
        <w:pStyle w:val="Heading1"/>
      </w:pPr>
      <w:r>
        <w:t xml:space="preserve">8 Conclusion</w:t>
      </w:r>
    </w:p>
    <w:p>
      <w:pPr>
        <w:pStyle w:val="FirstParagraph"/>
      </w:pPr>
      <w:r>
        <w:t xml:space="preserve">This paper estimates the effect of minimum wage increases on the wages and the time allocation of 16–19 year olds, using the event design the minimum wage employment literature adopted after 2019, with every county that sets its own minimum treated as a jurisdiction of its own, on the 73 large increases since 2010. The increases raised the hourly wages of working teens by 3 to 7 percent, for teens from low- and high-income families alike, and changed nothing else: not the share enrolled and employed, enrolled only, employed only, or neither, at either age or in either income group, and not hours or weekly earnings. The estimates are precise enough to rule out changes larger than a point or two in any share, and they are stable across units, event sets, control groups, weights, the pandemic years and subgroups. A two-period schooling model shows that this is the expected outcome when the wage gain is small relative to the skilled premium and employers set teen wages below the competitive level: the minimum wage raises pay without reducing the probability of a job, and a few hundred dollars a year does not move a decision worth several hundred thousand. The minimum wage is not the culprit in the fall of teen employment, and in the modern period it functioned as a transfer to teenagers who work, with no offsetting cost in their schooling or their jobs.</w:t>
      </w:r>
    </w:p>
    <w:bookmarkEnd w:id="79"/>
    <w:bookmarkStart w:id="80" w:name="references"/>
    <w:p>
      <w:pPr>
        <w:pStyle w:val="Heading1"/>
      </w:pPr>
      <w:r>
        <w:t xml:space="preserve">References</w:t>
      </w:r>
    </w:p>
    <w:p>
      <w:pPr>
        <w:pStyle w:val="FirstParagraph"/>
      </w:pPr>
      <w:r>
        <w:t xml:space="preserve">Acemoglu, Daron. 2009. Lectures in Labor Economics. Lecture notes, Massachusetts Institute of Technology.</w:t>
      </w:r>
    </w:p>
    <w:p>
      <w:pPr>
        <w:pStyle w:val="BodyText"/>
      </w:pPr>
      <w:r>
        <w:t xml:space="preserve">Allegretto, Sylvia, Arindrajit Dube, Michael Reich, and Ben Zipperer. 2017.</w:t>
      </w:r>
      <w:r>
        <w:t xml:space="preserve"> </w:t>
      </w:r>
      <w:r>
        <w:t xml:space="preserve">“</w:t>
      </w:r>
      <w:r>
        <w:t xml:space="preserve">Credible Research Designs for Minimum Wage Studies: A Response to Neumark, Salas, and Wascher.</w:t>
      </w:r>
      <w:r>
        <w:t xml:space="preserve">”</w:t>
      </w:r>
      <w:r>
        <w:t xml:space="preserve"> </w:t>
      </w:r>
      <w:r>
        <w:rPr>
          <w:iCs/>
          <w:i/>
        </w:rPr>
        <w:t xml:space="preserve">ILR Review</w:t>
      </w:r>
      <w:r>
        <w:t xml:space="preserve"> </w:t>
      </w:r>
      <w:r>
        <w:t xml:space="preserve">70 (3): 559–592.</w:t>
      </w:r>
    </w:p>
    <w:p>
      <w:pPr>
        <w:pStyle w:val="BodyText"/>
      </w:pPr>
      <w:r>
        <w:t xml:space="preserve">Azar, José, Emiliano Huet-Vaughn, Ioana Marinescu, Bledi Taska, and Till von Wachter. 2019.</w:t>
      </w:r>
      <w:r>
        <w:t xml:space="preserve"> </w:t>
      </w:r>
      <w:r>
        <w:t xml:space="preserve">“</w:t>
      </w:r>
      <w:r>
        <w:t xml:space="preserve">Minimum Wage Employment Effects and Labor Market Concentration.</w:t>
      </w:r>
      <w:r>
        <w:t xml:space="preserve">”</w:t>
      </w:r>
      <w:r>
        <w:t xml:space="preserve"> </w:t>
      </w:r>
      <w:r>
        <w:t xml:space="preserve">NBER Working Paper 26101.</w:t>
      </w:r>
    </w:p>
    <w:p>
      <w:pPr>
        <w:pStyle w:val="BodyText"/>
      </w:pPr>
      <w:r>
        <w:t xml:space="preserve">Baker, Andrew C., David F. Larcker, and Charles C. Y. Wang. 2022.</w:t>
      </w:r>
      <w:r>
        <w:t xml:space="preserve"> </w:t>
      </w:r>
      <w:r>
        <w:t xml:space="preserve">“</w:t>
      </w:r>
      <w:r>
        <w:t xml:space="preserve">How Much Should We Trust Staggered Difference-in-Differences Estimates?</w:t>
      </w:r>
      <w:r>
        <w:t xml:space="preserve">”</w:t>
      </w:r>
      <w:r>
        <w:t xml:space="preserve"> </w:t>
      </w:r>
      <w:r>
        <w:rPr>
          <w:iCs/>
          <w:i/>
        </w:rPr>
        <w:t xml:space="preserve">Journal of Financial Economics</w:t>
      </w:r>
      <w:r>
        <w:t xml:space="preserve"> </w:t>
      </w:r>
      <w:r>
        <w:t xml:space="preserve">144 (2): 370–395.</w:t>
      </w:r>
    </w:p>
    <w:p>
      <w:pPr>
        <w:pStyle w:val="BodyText"/>
      </w:pPr>
      <w:r>
        <w:t xml:space="preserve">Callaway, Brantly, and Pedro H. C. Sant’Anna. 2021.</w:t>
      </w:r>
      <w:r>
        <w:t xml:space="preserve"> </w:t>
      </w:r>
      <w:r>
        <w:t xml:space="preserve">“</w:t>
      </w:r>
      <w:r>
        <w:t xml:space="preserve">Difference-in-Differences with Multiple Time Periods.</w:t>
      </w:r>
      <w:r>
        <w:t xml:space="preserve">”</w:t>
      </w:r>
      <w:r>
        <w:t xml:space="preserve"> </w:t>
      </w:r>
      <w:r>
        <w:rPr>
          <w:iCs/>
          <w:i/>
        </w:rPr>
        <w:t xml:space="preserve">Journal of Econometrics</w:t>
      </w:r>
      <w:r>
        <w:t xml:space="preserve"> </w:t>
      </w:r>
      <w:r>
        <w:t xml:space="preserve">225 (2): 200–230.</w:t>
      </w:r>
    </w:p>
    <w:p>
      <w:pPr>
        <w:pStyle w:val="BodyText"/>
      </w:pPr>
      <w:r>
        <w:t xml:space="preserve">Campolieti, Michele, Tony Fang, and Morley Gunderson. 2005.</w:t>
      </w:r>
      <w:r>
        <w:t xml:space="preserve"> </w:t>
      </w:r>
      <w:r>
        <w:t xml:space="preserve">“</w:t>
      </w:r>
      <w:r>
        <w:t xml:space="preserve">How Minimum Wages Affect Schooling-Employment Outcomes in Canada, 1993–1999.</w:t>
      </w:r>
      <w:r>
        <w:t xml:space="preserve">”</w:t>
      </w:r>
      <w:r>
        <w:t xml:space="preserve"> </w:t>
      </w:r>
      <w:r>
        <w:rPr>
          <w:iCs/>
          <w:i/>
        </w:rPr>
        <w:t xml:space="preserve">Journal of Labor Research</w:t>
      </w:r>
      <w:r>
        <w:t xml:space="preserve"> </w:t>
      </w:r>
      <w:r>
        <w:t xml:space="preserve">26 (3): 533–545.</w:t>
      </w:r>
    </w:p>
    <w:p>
      <w:pPr>
        <w:pStyle w:val="BodyText"/>
      </w:pPr>
      <w:r>
        <w:t xml:space="preserve">Card, David, and Alan B. Krueger. 1994.</w:t>
      </w:r>
      <w:r>
        <w:t xml:space="preserve"> </w:t>
      </w:r>
      <w:r>
        <w:t xml:space="preserve">“</w:t>
      </w:r>
      <w:r>
        <w:t xml:space="preserve">Minimum Wages and Employment: A Case Study of the Fast-Food Industry in New Jersey and Pennsylvania.</w:t>
      </w:r>
      <w:r>
        <w:t xml:space="preserve">”</w:t>
      </w:r>
      <w:r>
        <w:t xml:space="preserve"> </w:t>
      </w:r>
      <w:r>
        <w:rPr>
          <w:iCs/>
          <w:i/>
        </w:rPr>
        <w:t xml:space="preserve">American Economic Review</w:t>
      </w:r>
      <w:r>
        <w:t xml:space="preserve"> </w:t>
      </w:r>
      <w:r>
        <w:t xml:space="preserve">84 (4): 772–793.</w:t>
      </w:r>
    </w:p>
    <w:p>
      <w:pPr>
        <w:pStyle w:val="BodyText"/>
      </w:pPr>
      <w:r>
        <w:t xml:space="preserve">Cengiz, Doruk, Arindrajit Dube, Attila Lindner, and Ben Zipperer. 2019.</w:t>
      </w:r>
      <w:r>
        <w:t xml:space="preserve"> </w:t>
      </w:r>
      <w:r>
        <w:t xml:space="preserve">“</w:t>
      </w:r>
      <w:r>
        <w:t xml:space="preserve">The Effect of Minimum Wages on Low-Wage Jobs.</w:t>
      </w:r>
      <w:r>
        <w:t xml:space="preserve">”</w:t>
      </w:r>
      <w:r>
        <w:t xml:space="preserve"> </w:t>
      </w:r>
      <w:r>
        <w:rPr>
          <w:iCs/>
          <w:i/>
        </w:rPr>
        <w:t xml:space="preserve">Quarterly Journal of Economics</w:t>
      </w:r>
      <w:r>
        <w:t xml:space="preserve"> </w:t>
      </w:r>
      <w:r>
        <w:t xml:space="preserve">134 (3): 1405–1454.</w:t>
      </w:r>
    </w:p>
    <w:p>
      <w:pPr>
        <w:pStyle w:val="BodyText"/>
      </w:pPr>
      <w:r>
        <w:t xml:space="preserve">Chaplin, Duncan D., Mark D. Turner, and Andreas D. Pape. 2003.</w:t>
      </w:r>
      <w:r>
        <w:t xml:space="preserve"> </w:t>
      </w:r>
      <w:r>
        <w:t xml:space="preserve">“</w:t>
      </w:r>
      <w:r>
        <w:t xml:space="preserve">Minimum Wages and School Enrollment of Teenagers: A Look at the 1990’s.</w:t>
      </w:r>
      <w:r>
        <w:t xml:space="preserve">”</w:t>
      </w:r>
      <w:r>
        <w:t xml:space="preserve"> </w:t>
      </w:r>
      <w:r>
        <w:rPr>
          <w:iCs/>
          <w:i/>
        </w:rPr>
        <w:t xml:space="preserve">Economics of Education Review</w:t>
      </w:r>
      <w:r>
        <w:t xml:space="preserve"> </w:t>
      </w:r>
      <w:r>
        <w:t xml:space="preserve">22 (1): 11–21.</w:t>
      </w:r>
    </w:p>
    <w:p>
      <w:pPr>
        <w:pStyle w:val="BodyText"/>
      </w:pPr>
      <w:r>
        <w:t xml:space="preserve">Clemens, Jeffrey, and Michael Wither. 2019.</w:t>
      </w:r>
      <w:r>
        <w:t xml:space="preserve"> </w:t>
      </w:r>
      <w:r>
        <w:t xml:space="preserve">“</w:t>
      </w:r>
      <w:r>
        <w:t xml:space="preserve">The Minimum Wage and the Great Recession: Evidence of Effects on the Employment and Income Trajectories of Low-Skilled Workers.</w:t>
      </w:r>
      <w:r>
        <w:t xml:space="preserve">”</w:t>
      </w:r>
      <w:r>
        <w:t xml:space="preserve"> </w:t>
      </w:r>
      <w:r>
        <w:rPr>
          <w:iCs/>
          <w:i/>
        </w:rPr>
        <w:t xml:space="preserve">Journal of Public Economics</w:t>
      </w:r>
      <w:r>
        <w:t xml:space="preserve"> </w:t>
      </w:r>
      <w:r>
        <w:t xml:space="preserve">170: 53–67.</w:t>
      </w:r>
    </w:p>
    <w:p>
      <w:pPr>
        <w:pStyle w:val="BodyText"/>
      </w:pPr>
      <w:r>
        <w:t xml:space="preserve">de Chaisemartin, Clément, and Xavier D’Haultf</w:t>
      </w:r>
      <w:r>
        <w:t xml:space="preserve">œ</w:t>
      </w:r>
      <w:r>
        <w:t xml:space="preserve">uille. 2020.</w:t>
      </w:r>
      <w:r>
        <w:t xml:space="preserve"> </w:t>
      </w:r>
      <w:r>
        <w:t xml:space="preserve">“</w:t>
      </w:r>
      <w:r>
        <w:t xml:space="preserve">Two-Way Fixed Effects Estimators with Heterogeneous Treatment Effects.</w:t>
      </w:r>
      <w:r>
        <w:t xml:space="preserve">”</w:t>
      </w:r>
      <w:r>
        <w:t xml:space="preserve"> </w:t>
      </w:r>
      <w:r>
        <w:rPr>
          <w:iCs/>
          <w:i/>
        </w:rPr>
        <w:t xml:space="preserve">American Economic Review</w:t>
      </w:r>
      <w:r>
        <w:t xml:space="preserve"> </w:t>
      </w:r>
      <w:r>
        <w:t xml:space="preserve">110 (9): 2964–2996.</w:t>
      </w:r>
    </w:p>
    <w:p>
      <w:pPr>
        <w:pStyle w:val="BodyText"/>
      </w:pPr>
      <w:r>
        <w:t xml:space="preserve">de Chaisemartin, Clément, and Xavier D’Haultf</w:t>
      </w:r>
      <w:r>
        <w:t xml:space="preserve">œ</w:t>
      </w:r>
      <w:r>
        <w:t xml:space="preserve">uille. 2024.</w:t>
      </w:r>
      <w:r>
        <w:t xml:space="preserve"> </w:t>
      </w:r>
      <w:r>
        <w:t xml:space="preserve">“</w:t>
      </w:r>
      <w:r>
        <w:t xml:space="preserve">Difference-in-Differences Estimators of Intertemporal Treatment Effects.</w:t>
      </w:r>
      <w:r>
        <w:t xml:space="preserve">”</w:t>
      </w:r>
      <w:r>
        <w:t xml:space="preserve"> </w:t>
      </w:r>
      <w:r>
        <w:rPr>
          <w:iCs/>
          <w:i/>
        </w:rPr>
        <w:t xml:space="preserve">Review of Economics and Statistics</w:t>
      </w:r>
      <w:r>
        <w:t xml:space="preserve">, forthcoming.</w:t>
      </w:r>
    </w:p>
    <w:p>
      <w:pPr>
        <w:pStyle w:val="BodyText"/>
      </w:pPr>
      <w:r>
        <w:t xml:space="preserve">Dube, Arindrajit, T. William Lester, and Michael Reich. 2010.</w:t>
      </w:r>
      <w:r>
        <w:t xml:space="preserve"> </w:t>
      </w:r>
      <w:r>
        <w:t xml:space="preserve">“</w:t>
      </w:r>
      <w:r>
        <w:t xml:space="preserve">Minimum Wage Effects Across State Borders: Estimates Using Contiguous Counties.</w:t>
      </w:r>
      <w:r>
        <w:t xml:space="preserve">”</w:t>
      </w:r>
      <w:r>
        <w:t xml:space="preserve"> </w:t>
      </w:r>
      <w:r>
        <w:rPr>
          <w:iCs/>
          <w:i/>
        </w:rPr>
        <w:t xml:space="preserve">Review of Economics and Statistics</w:t>
      </w:r>
      <w:r>
        <w:t xml:space="preserve"> </w:t>
      </w:r>
      <w:r>
        <w:t xml:space="preserve">92 (4): 945–964.</w:t>
      </w:r>
    </w:p>
    <w:p>
      <w:pPr>
        <w:pStyle w:val="BodyText"/>
      </w:pPr>
      <w:r>
        <w:t xml:space="preserve">Dube, Arindrajit. 2019.</w:t>
      </w:r>
      <w:r>
        <w:t xml:space="preserve"> </w:t>
      </w:r>
      <w:r>
        <w:t xml:space="preserve">“</w:t>
      </w:r>
      <w:r>
        <w:t xml:space="preserve">Impacts of Minimum Wages: Review of the International Evidence.</w:t>
      </w:r>
      <w:r>
        <w:t xml:space="preserve">”</w:t>
      </w:r>
      <w:r>
        <w:t xml:space="preserve"> </w:t>
      </w:r>
      <w:r>
        <w:t xml:space="preserve">Report to the UK Low Pay Commission, HM Treasury.</w:t>
      </w:r>
    </w:p>
    <w:p>
      <w:pPr>
        <w:pStyle w:val="BodyText"/>
      </w:pPr>
      <w:r>
        <w:t xml:space="preserve">Ehrenberg, Ronald G., and Alan J. Marcus. 1982.</w:t>
      </w:r>
      <w:r>
        <w:t xml:space="preserve"> </w:t>
      </w:r>
      <w:r>
        <w:t xml:space="preserve">“</w:t>
      </w:r>
      <w:r>
        <w:t xml:space="preserve">Minimum Wages and Teenagers’ Enrollment-Employment Outcomes: A Multinomial Logit Model.</w:t>
      </w:r>
      <w:r>
        <w:t xml:space="preserve">”</w:t>
      </w:r>
      <w:r>
        <w:t xml:space="preserve"> </w:t>
      </w:r>
      <w:r>
        <w:rPr>
          <w:iCs/>
          <w:i/>
        </w:rPr>
        <w:t xml:space="preserve">Journal of Human Resources</w:t>
      </w:r>
      <w:r>
        <w:t xml:space="preserve"> </w:t>
      </w:r>
      <w:r>
        <w:t xml:space="preserve">17 (1): 39–58.</w:t>
      </w:r>
    </w:p>
    <w:p>
      <w:pPr>
        <w:pStyle w:val="BodyText"/>
      </w:pPr>
      <w:r>
        <w:t xml:space="preserve">Flood, Sarah, Miriam King, Renae Rodgers, Steven Ruggles, J. Robert Warren, Daniel Backman, Annie Chen, Grace Cooper, Stephanie Richards, Megan Schouweiler, and Michael Westberry. 2024.</w:t>
      </w:r>
      <w:r>
        <w:t xml:space="preserve"> </w:t>
      </w:r>
      <w:r>
        <w:rPr>
          <w:iCs/>
          <w:i/>
        </w:rPr>
        <w:t xml:space="preserve">IPUMS CPS: Version 12.0</w:t>
      </w:r>
      <w:r>
        <w:t xml:space="preserve">. Minneapolis, MN: IPUMS.</w:t>
      </w:r>
    </w:p>
    <w:p>
      <w:pPr>
        <w:pStyle w:val="BodyText"/>
      </w:pPr>
      <w:r>
        <w:t xml:space="preserve">Goodman-Bacon, Andrew. 2021.</w:t>
      </w:r>
      <w:r>
        <w:t xml:space="preserve"> </w:t>
      </w:r>
      <w:r>
        <w:t xml:space="preserve">“</w:t>
      </w:r>
      <w:r>
        <w:t xml:space="preserve">Difference-in-Differences with Variation in Treatment Timing.</w:t>
      </w:r>
      <w:r>
        <w:t xml:space="preserve">”</w:t>
      </w:r>
      <w:r>
        <w:t xml:space="preserve"> </w:t>
      </w:r>
      <w:r>
        <w:rPr>
          <w:iCs/>
          <w:i/>
        </w:rPr>
        <w:t xml:space="preserve">Journal of Econometrics</w:t>
      </w:r>
      <w:r>
        <w:t xml:space="preserve"> </w:t>
      </w:r>
      <w:r>
        <w:t xml:space="preserve">225 (2): 254–277.</w:t>
      </w:r>
    </w:p>
    <w:p>
      <w:pPr>
        <w:pStyle w:val="BodyText"/>
      </w:pPr>
      <w:r>
        <w:t xml:space="preserve">Manning, Alan. 2003.</w:t>
      </w:r>
      <w:r>
        <w:t xml:space="preserve"> </w:t>
      </w:r>
      <w:r>
        <w:rPr>
          <w:iCs/>
          <w:i/>
        </w:rPr>
        <w:t xml:space="preserve">Monopsony in Motion: Imperfect Competition in Labor Markets</w:t>
      </w:r>
      <w:r>
        <w:t xml:space="preserve">. Princeton: Princeton University Press.</w:t>
      </w:r>
    </w:p>
    <w:p>
      <w:pPr>
        <w:pStyle w:val="BodyText"/>
      </w:pPr>
      <w:r>
        <w:t xml:space="preserve">Mincer, Jacob. 1976.</w:t>
      </w:r>
      <w:r>
        <w:t xml:space="preserve"> </w:t>
      </w:r>
      <w:r>
        <w:t xml:space="preserve">“</w:t>
      </w:r>
      <w:r>
        <w:t xml:space="preserve">Unemployment Effects of Minimum Wages.</w:t>
      </w:r>
      <w:r>
        <w:t xml:space="preserve">”</w:t>
      </w:r>
      <w:r>
        <w:t xml:space="preserve"> </w:t>
      </w:r>
      <w:r>
        <w:rPr>
          <w:iCs/>
          <w:i/>
        </w:rPr>
        <w:t xml:space="preserve">Journal of Political Economy</w:t>
      </w:r>
      <w:r>
        <w:t xml:space="preserve"> </w:t>
      </w:r>
      <w:r>
        <w:t xml:space="preserve">84 (4): S87–S104.</w:t>
      </w:r>
    </w:p>
    <w:p>
      <w:pPr>
        <w:pStyle w:val="BodyText"/>
      </w:pPr>
      <w:r>
        <w:t xml:space="preserve">Morisi, Teresa L. 2008.</w:t>
      </w:r>
      <w:r>
        <w:t xml:space="preserve"> </w:t>
      </w:r>
      <w:r>
        <w:t xml:space="preserve">“</w:t>
      </w:r>
      <w:r>
        <w:t xml:space="preserve">Youth Enrollment and Employment during the School Year.</w:t>
      </w:r>
      <w:r>
        <w:t xml:space="preserve">”</w:t>
      </w:r>
      <w:r>
        <w:t xml:space="preserve"> </w:t>
      </w:r>
      <w:r>
        <w:rPr>
          <w:iCs/>
          <w:i/>
        </w:rPr>
        <w:t xml:space="preserve">Monthly Labor Review</w:t>
      </w:r>
      <w:r>
        <w:t xml:space="preserve"> </w:t>
      </w:r>
      <w:r>
        <w:t xml:space="preserve">131 (2): 51–63.</w:t>
      </w:r>
    </w:p>
    <w:p>
      <w:pPr>
        <w:pStyle w:val="BodyText"/>
      </w:pPr>
      <w:r>
        <w:t xml:space="preserve">Meer, Jonathan, and Jeremy West. 2016.</w:t>
      </w:r>
      <w:r>
        <w:t xml:space="preserve"> </w:t>
      </w:r>
      <w:r>
        <w:t xml:space="preserve">“</w:t>
      </w:r>
      <w:r>
        <w:t xml:space="preserve">Effects of the Minimum Wage on Employment Dynamics.</w:t>
      </w:r>
      <w:r>
        <w:t xml:space="preserve">”</w:t>
      </w:r>
      <w:r>
        <w:t xml:space="preserve"> </w:t>
      </w:r>
      <w:r>
        <w:rPr>
          <w:iCs/>
          <w:i/>
        </w:rPr>
        <w:t xml:space="preserve">Journal of Human Resources</w:t>
      </w:r>
      <w:r>
        <w:t xml:space="preserve"> </w:t>
      </w:r>
      <w:r>
        <w:t xml:space="preserve">51 (2): 500–522.</w:t>
      </w:r>
    </w:p>
    <w:p>
      <w:pPr>
        <w:pStyle w:val="BodyText"/>
      </w:pPr>
      <w:r>
        <w:t xml:space="preserve">Neumark, David, and Cortnie Shupe. 2019.</w:t>
      </w:r>
      <w:r>
        <w:t xml:space="preserve"> </w:t>
      </w:r>
      <w:r>
        <w:t xml:space="preserve">“</w:t>
      </w:r>
      <w:r>
        <w:t xml:space="preserve">Declining Teen Employment: Minimum Wages, Returns to Schooling, and Immigration.</w:t>
      </w:r>
      <w:r>
        <w:t xml:space="preserve">”</w:t>
      </w:r>
      <w:r>
        <w:t xml:space="preserve"> </w:t>
      </w:r>
      <w:r>
        <w:rPr>
          <w:iCs/>
          <w:i/>
        </w:rPr>
        <w:t xml:space="preserve">Labour Economics</w:t>
      </w:r>
      <w:r>
        <w:t xml:space="preserve"> </w:t>
      </w:r>
      <w:r>
        <w:t xml:space="preserve">59: 49–68.</w:t>
      </w:r>
    </w:p>
    <w:p>
      <w:pPr>
        <w:pStyle w:val="BodyText"/>
      </w:pPr>
      <w:r>
        <w:t xml:space="preserve">Neumark, David, and William Wascher. 1995a.</w:t>
      </w:r>
      <w:r>
        <w:t xml:space="preserve"> </w:t>
      </w:r>
      <w:r>
        <w:t xml:space="preserve">“</w:t>
      </w:r>
      <w:r>
        <w:t xml:space="preserve">Minimum Wage Effects on Employment and School Enrollment.</w:t>
      </w:r>
      <w:r>
        <w:t xml:space="preserve">”</w:t>
      </w:r>
      <w:r>
        <w:t xml:space="preserve"> </w:t>
      </w:r>
      <w:r>
        <w:rPr>
          <w:iCs/>
          <w:i/>
        </w:rPr>
        <w:t xml:space="preserve">Journal of Business and Economic Statistics</w:t>
      </w:r>
      <w:r>
        <w:t xml:space="preserve"> </w:t>
      </w:r>
      <w:r>
        <w:t xml:space="preserve">13 (2): 199–206.</w:t>
      </w:r>
    </w:p>
    <w:p>
      <w:pPr>
        <w:pStyle w:val="BodyText"/>
      </w:pPr>
      <w:r>
        <w:t xml:space="preserve">Neumark, David, and William Wascher. 1995b.</w:t>
      </w:r>
      <w:r>
        <w:t xml:space="preserve"> </w:t>
      </w:r>
      <w:r>
        <w:t xml:space="preserve">“</w:t>
      </w:r>
      <w:r>
        <w:t xml:space="preserve">Minimum-Wage Effects on School and Work Transitions of Teenagers.</w:t>
      </w:r>
      <w:r>
        <w:t xml:space="preserve">”</w:t>
      </w:r>
      <w:r>
        <w:t xml:space="preserve"> </w:t>
      </w:r>
      <w:r>
        <w:rPr>
          <w:iCs/>
          <w:i/>
        </w:rPr>
        <w:t xml:space="preserve">American Economic Review</w:t>
      </w:r>
      <w:r>
        <w:t xml:space="preserve"> </w:t>
      </w:r>
      <w:r>
        <w:t xml:space="preserve">85 (2): 244–249.</w:t>
      </w:r>
    </w:p>
    <w:p>
      <w:pPr>
        <w:pStyle w:val="BodyText"/>
      </w:pPr>
      <w:r>
        <w:t xml:space="preserve">Neumark, David, and William Wascher. 2003.</w:t>
      </w:r>
      <w:r>
        <w:t xml:space="preserve"> </w:t>
      </w:r>
      <w:r>
        <w:t xml:space="preserve">“</w:t>
      </w:r>
      <w:r>
        <w:t xml:space="preserve">Minimum Wages and Skill Acquisition: Another Look at Schooling Effects.</w:t>
      </w:r>
      <w:r>
        <w:t xml:space="preserve">”</w:t>
      </w:r>
      <w:r>
        <w:t xml:space="preserve"> </w:t>
      </w:r>
      <w:r>
        <w:rPr>
          <w:iCs/>
          <w:i/>
        </w:rPr>
        <w:t xml:space="preserve">Economics of Education Review</w:t>
      </w:r>
      <w:r>
        <w:t xml:space="preserve"> </w:t>
      </w:r>
      <w:r>
        <w:t xml:space="preserve">22 (1): 1–10.</w:t>
      </w:r>
    </w:p>
    <w:p>
      <w:pPr>
        <w:pStyle w:val="BodyText"/>
      </w:pPr>
      <w:r>
        <w:t xml:space="preserve">Smith, Christopher L. 2011.</w:t>
      </w:r>
      <w:r>
        <w:t xml:space="preserve"> </w:t>
      </w:r>
      <w:r>
        <w:t xml:space="preserve">“</w:t>
      </w:r>
      <w:r>
        <w:t xml:space="preserve">Polarization, Immigration, Education: What’s Behind the Dramatic Decline in Youth Employment?</w:t>
      </w:r>
      <w:r>
        <w:t xml:space="preserve">”</w:t>
      </w:r>
      <w:r>
        <w:t xml:space="preserve"> </w:t>
      </w:r>
      <w:r>
        <w:t xml:space="preserve">Finance and Economics Discussion Series 2011-41, Federal Reserve Board.</w:t>
      </w:r>
    </w:p>
    <w:p>
      <w:pPr>
        <w:pStyle w:val="BodyText"/>
      </w:pPr>
      <w:r>
        <w:t xml:space="preserve">Smith, Christopher L. 2012.</w:t>
      </w:r>
      <w:r>
        <w:t xml:space="preserve"> </w:t>
      </w:r>
      <w:r>
        <w:t xml:space="preserve">“</w:t>
      </w:r>
      <w:r>
        <w:t xml:space="preserve">The Impact of Low-Skilled Immigration on the Youth Labor Market.</w:t>
      </w:r>
      <w:r>
        <w:t xml:space="preserve">”</w:t>
      </w:r>
      <w:r>
        <w:t xml:space="preserve"> </w:t>
      </w:r>
      <w:r>
        <w:rPr>
          <w:iCs/>
          <w:i/>
        </w:rPr>
        <w:t xml:space="preserve">Journal of Labor Economics</w:t>
      </w:r>
      <w:r>
        <w:t xml:space="preserve"> </w:t>
      </w:r>
      <w:r>
        <w:t xml:space="preserve">30 (1): 55–89.</w:t>
      </w:r>
    </w:p>
    <w:p>
      <w:pPr>
        <w:pStyle w:val="BodyText"/>
      </w:pPr>
      <w:r>
        <w:t xml:space="preserve">Smith, Alexander A. 2021.</w:t>
      </w:r>
      <w:r>
        <w:t xml:space="preserve"> </w:t>
      </w:r>
      <w:r>
        <w:t xml:space="preserve">“</w:t>
      </w:r>
      <w:r>
        <w:t xml:space="preserve">The Minimum Wage and Teen Educational Attainment.</w:t>
      </w:r>
      <w:r>
        <w:t xml:space="preserve">”</w:t>
      </w:r>
      <w:r>
        <w:t xml:space="preserve"> </w:t>
      </w:r>
      <w:r>
        <w:rPr>
          <w:iCs/>
          <w:i/>
        </w:rPr>
        <w:t xml:space="preserve">Labour Economics</w:t>
      </w:r>
      <w:r>
        <w:t xml:space="preserve"> </w:t>
      </w:r>
      <w:r>
        <w:t xml:space="preserve">73: 102061.</w:t>
      </w:r>
    </w:p>
    <w:p>
      <w:pPr>
        <w:pStyle w:val="BodyText"/>
      </w:pPr>
      <w:r>
        <w:t xml:space="preserve">Stigler, George J. 1946.</w:t>
      </w:r>
      <w:r>
        <w:t xml:space="preserve"> </w:t>
      </w:r>
      <w:r>
        <w:t xml:space="preserve">“</w:t>
      </w:r>
      <w:r>
        <w:t xml:space="preserve">The Economics of Minimum Wage Legislation.</w:t>
      </w:r>
      <w:r>
        <w:t xml:space="preserve">”</w:t>
      </w:r>
      <w:r>
        <w:t xml:space="preserve"> </w:t>
      </w:r>
      <w:r>
        <w:rPr>
          <w:iCs/>
          <w:i/>
        </w:rPr>
        <w:t xml:space="preserve">American Economic Review</w:t>
      </w:r>
      <w:r>
        <w:t xml:space="preserve"> </w:t>
      </w:r>
      <w:r>
        <w:t xml:space="preserve">36 (3): 358–365.</w:t>
      </w:r>
    </w:p>
    <w:p>
      <w:pPr>
        <w:pStyle w:val="BodyText"/>
      </w:pPr>
      <w:r>
        <w:t xml:space="preserve">Sun, Liyang, and Sarah Abraham. 2021.</w:t>
      </w:r>
      <w:r>
        <w:t xml:space="preserve"> </w:t>
      </w:r>
      <w:r>
        <w:t xml:space="preserve">“</w:t>
      </w:r>
      <w:r>
        <w:t xml:space="preserve">Estimating Dynamic Treatment Effects in Event Studies with Heterogeneous Treatment Effects.</w:t>
      </w:r>
      <w:r>
        <w:t xml:space="preserve">”</w:t>
      </w:r>
      <w:r>
        <w:t xml:space="preserve"> </w:t>
      </w:r>
      <w:r>
        <w:rPr>
          <w:iCs/>
          <w:i/>
        </w:rPr>
        <w:t xml:space="preserve">Journal of Econometrics</w:t>
      </w:r>
      <w:r>
        <w:t xml:space="preserve"> </w:t>
      </w:r>
      <w:r>
        <w:t xml:space="preserve">225 (2): 175–199.</w:t>
      </w:r>
    </w:p>
    <w:p>
      <w:pPr>
        <w:pStyle w:val="BodyText"/>
      </w:pPr>
      <w:r>
        <w:t xml:space="preserve">Vaghul, Kavya, and Ben Zipperer. 2016.</w:t>
      </w:r>
      <w:r>
        <w:t xml:space="preserve"> </w:t>
      </w:r>
      <w:r>
        <w:t xml:space="preserve">“</w:t>
      </w:r>
      <w:r>
        <w:t xml:space="preserve">Historical State and Sub-State Minimum Wage Data.</w:t>
      </w:r>
      <w:r>
        <w:t xml:space="preserve">”</w:t>
      </w:r>
      <w:r>
        <w:t xml:space="preserve"> </w:t>
      </w:r>
      <w:r>
        <w:t xml:space="preserve">Washington Center for Equitable Growth Working Paper.</w:t>
      </w:r>
    </w:p>
    <w:p>
      <w:pPr>
        <w:pStyle w:val="BodyText"/>
      </w:pPr>
      <w:r>
        <w:t xml:space="preserve">Warren, John Robert, and Caitlin Hamrock. 2010.</w:t>
      </w:r>
      <w:r>
        <w:t xml:space="preserve"> </w:t>
      </w:r>
      <w:r>
        <w:t xml:space="preserve">“</w:t>
      </w:r>
      <w:r>
        <w:t xml:space="preserve">The Effect of Minimum Wage Rates on High School Completion.</w:t>
      </w:r>
      <w:r>
        <w:t xml:space="preserve">”</w:t>
      </w:r>
      <w:r>
        <w:t xml:space="preserve"> </w:t>
      </w:r>
      <w:r>
        <w:rPr>
          <w:iCs/>
          <w:i/>
        </w:rPr>
        <w:t xml:space="preserve">Social Forces</w:t>
      </w:r>
      <w:r>
        <w:t xml:space="preserve"> </w:t>
      </w:r>
      <w:r>
        <w:t xml:space="preserve">88 (3): 1379–1392.</w:t>
      </w:r>
    </w:p>
    <w:bookmarkEnd w:id="80"/>
    <w:bookmarkStart w:id="81" w:name="a-post-event-average-tables"/>
    <w:p>
      <w:pPr>
        <w:pStyle w:val="Heading1"/>
      </w:pPr>
      <w:r>
        <w:t xml:space="preserve">A Post-event average tables</w:t>
      </w:r>
    </w:p>
    <w:p>
      <w:pPr>
        <w:pStyle w:val="FirstParagraph"/>
      </w:pPr>
      <w:r>
        <w:t xml:space="preserve">Tables 15 to 18 collect the post-event averages that Section 5 discusses. Each reports the post-event average effect of the increases, the mean of the relative-year effects for the four years from the increase relative to the year before it, population-weighted across the 73 events from 2010, with the block-bootstrap standard error beneath and the average of the two pre-event coefficients beside it. Table 15 gives the four school–work shares, enrollment and employment for all teens by age; Tables 16 and 17 repeat it for teens from families with income below $50,000 and at or above it; Table 18 gives the log hourly wage of hourly-paid teens and the log weekly earnings of all teen workers; Tables 19 to 22 repeat Table 15 for girls, boys, non-Hispanic white teens and all other teens.</w:t>
      </w:r>
    </w:p>
    <w:p>
      <w:pPr>
        <w:pStyle w:val="TableCaption"/>
      </w:pPr>
      <w:r>
        <w:t xml:space="preserve">Table 15: Effects of minimum wage increases on teen school–work status: post-event averages, 73 events from 2010</w:t>
      </w:r>
    </w:p>
    <w:tbl>
      <w:tblPr>
        <w:tblStyle w:val="Table"/>
        <w:tblW w:type="dxa" w:w="9360"/>
        <w:tblLook w:firstRow="0" w:lastRow="0" w:firstColumn="0" w:lastColumn="0" w:noHBand="0" w:noVBand="0" w:val="0000"/>
        <w:jc w:val="start"/>
        <w:tblCaption w:val="Table 15: Effects of minimum wage increases on teen school–work status: post-event averages, 73 events from 2010"/>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r>
      <w:tr>
        <w:tc>
          <w:tcPr/>
          <w:p>
            <w:pPr>
              <w:pStyle w:val="Compact"/>
              <w:jc w:val="left"/>
            </w:pPr>
            <w:r>
              <w:t xml:space="preserve">Enrolled and employed</w:t>
            </w:r>
          </w:p>
        </w:tc>
        <w:tc>
          <w:tcPr/>
          <w:p>
            <w:pPr>
              <w:pStyle w:val="Compact"/>
              <w:jc w:val="left"/>
            </w:pPr>
            <w:r>
              <w:t xml:space="preserve">-0.003</w:t>
            </w:r>
          </w:p>
        </w:tc>
        <w:tc>
          <w:tcPr/>
          <w:p>
            <w:pPr>
              <w:pStyle w:val="Compact"/>
              <w:jc w:val="left"/>
            </w:pPr>
            <w:r>
              <w:t xml:space="preserve">-0.002</w:t>
            </w:r>
          </w:p>
        </w:tc>
        <w:tc>
          <w:tcPr/>
          <w:p>
            <w:pPr>
              <w:pStyle w:val="Compact"/>
              <w:jc w:val="left"/>
            </w:pPr>
            <w:r>
              <w:t xml:space="preserve">0.007</w:t>
            </w:r>
          </w:p>
        </w:tc>
        <w:tc>
          <w:tcPr/>
          <w:p>
            <w:pPr>
              <w:pStyle w:val="Compact"/>
              <w:jc w:val="left"/>
            </w:pPr>
            <w:r>
              <w:t xml:space="preserve">0.002</w:t>
            </w:r>
          </w:p>
        </w:tc>
        <w:tc>
          <w:tcPr/>
          <w:p>
            <w:pPr>
              <w:pStyle w:val="Compact"/>
              <w:jc w:val="left"/>
            </w:pPr>
            <w:r>
              <w:t xml:space="preserve">0.001</w:t>
            </w:r>
          </w:p>
        </w:tc>
        <w:tc>
          <w:tcPr/>
          <w:p>
            <w:pPr>
              <w:pStyle w:val="Compact"/>
              <w:jc w:val="left"/>
            </w:pPr>
            <w:r>
              <w:t xml:space="preserve">-0.001</w:t>
            </w:r>
          </w:p>
        </w:tc>
      </w:tr>
      <w:tr>
        <w:tc>
          <w:tcPr/>
          <w:p>
            <w:pPr>
              <w:pStyle w:val="Compact"/>
            </w:pPr>
          </w:p>
        </w:tc>
        <w:tc>
          <w:tcPr/>
          <w:p>
            <w:pPr>
              <w:pStyle w:val="Compact"/>
              <w:jc w:val="left"/>
            </w:pPr>
            <w:r>
              <w:t xml:space="preserve">(0.005)</w:t>
            </w:r>
          </w:p>
        </w:tc>
        <w:tc>
          <w:tcPr/>
          <w:p>
            <w:pPr>
              <w:pStyle w:val="Compact"/>
            </w:pPr>
          </w:p>
        </w:tc>
        <w:tc>
          <w:tcPr/>
          <w:p>
            <w:pPr>
              <w:pStyle w:val="Compact"/>
              <w:jc w:val="left"/>
            </w:pPr>
            <w:r>
              <w:t xml:space="preserve">(0.006)</w:t>
            </w:r>
          </w:p>
        </w:tc>
        <w:tc>
          <w:tcPr/>
          <w:p>
            <w:pPr>
              <w:pStyle w:val="Compact"/>
            </w:pPr>
          </w:p>
        </w:tc>
        <w:tc>
          <w:tcPr/>
          <w:p>
            <w:pPr>
              <w:pStyle w:val="Compact"/>
              <w:jc w:val="left"/>
            </w:pPr>
            <w:r>
              <w:t xml:space="preserve">(0.004)</w:t>
            </w:r>
          </w:p>
        </w:tc>
        <w:tc>
          <w:tcPr/>
          <w:p>
            <w:pPr>
              <w:pStyle w:val="Compact"/>
            </w:pPr>
          </w:p>
        </w:tc>
      </w:tr>
      <w:tr>
        <w:tc>
          <w:tcPr/>
          <w:p>
            <w:pPr>
              <w:pStyle w:val="Compact"/>
              <w:jc w:val="left"/>
            </w:pPr>
            <w:r>
              <w:t xml:space="preserve">Enrolled only</w:t>
            </w:r>
          </w:p>
        </w:tc>
        <w:tc>
          <w:tcPr/>
          <w:p>
            <w:pPr>
              <w:pStyle w:val="Compact"/>
              <w:jc w:val="left"/>
            </w:pPr>
            <w:r>
              <w:t xml:space="preserve">-0.000</w:t>
            </w:r>
          </w:p>
        </w:tc>
        <w:tc>
          <w:tcPr/>
          <w:p>
            <w:pPr>
              <w:pStyle w:val="Compact"/>
              <w:jc w:val="left"/>
            </w:pPr>
            <w:r>
              <w:t xml:space="preserve">0.001</w:t>
            </w:r>
          </w:p>
        </w:tc>
        <w:tc>
          <w:tcPr/>
          <w:p>
            <w:pPr>
              <w:pStyle w:val="Compact"/>
              <w:jc w:val="left"/>
            </w:pPr>
            <w:r>
              <w:t xml:space="preserve">-0.005</w:t>
            </w:r>
          </w:p>
        </w:tc>
        <w:tc>
          <w:tcPr/>
          <w:p>
            <w:pPr>
              <w:pStyle w:val="Compact"/>
              <w:jc w:val="left"/>
            </w:pPr>
            <w:r>
              <w:t xml:space="preserve">0.003</w:t>
            </w:r>
          </w:p>
        </w:tc>
        <w:tc>
          <w:tcPr/>
          <w:p>
            <w:pPr>
              <w:pStyle w:val="Compact"/>
              <w:jc w:val="left"/>
            </w:pPr>
            <w:r>
              <w:t xml:space="preserve">-0.001</w:t>
            </w:r>
          </w:p>
        </w:tc>
        <w:tc>
          <w:tcPr/>
          <w:p>
            <w:pPr>
              <w:pStyle w:val="Compact"/>
              <w:jc w:val="left"/>
            </w:pPr>
            <w:r>
              <w:t xml:space="preserve">0.006</w:t>
            </w:r>
          </w:p>
        </w:tc>
      </w:tr>
      <w:tr>
        <w:tc>
          <w:tcPr/>
          <w:p>
            <w:pPr>
              <w:pStyle w:val="Compact"/>
            </w:pPr>
          </w:p>
        </w:tc>
        <w:tc>
          <w:tcPr/>
          <w:p>
            <w:pPr>
              <w:pStyle w:val="Compact"/>
              <w:jc w:val="left"/>
            </w:pPr>
            <w:r>
              <w:t xml:space="preserve">(0.006)</w:t>
            </w:r>
          </w:p>
        </w:tc>
        <w:tc>
          <w:tcPr/>
          <w:p>
            <w:pPr>
              <w:pStyle w:val="Compact"/>
            </w:pPr>
          </w:p>
        </w:tc>
        <w:tc>
          <w:tcPr/>
          <w:p>
            <w:pPr>
              <w:pStyle w:val="Compact"/>
              <w:jc w:val="left"/>
            </w:pPr>
            <w:r>
              <w:t xml:space="preserve">(0.006)</w:t>
            </w:r>
          </w:p>
        </w:tc>
        <w:tc>
          <w:tcPr/>
          <w:p>
            <w:pPr>
              <w:pStyle w:val="Compact"/>
            </w:pPr>
          </w:p>
        </w:tc>
        <w:tc>
          <w:tcPr/>
          <w:p>
            <w:pPr>
              <w:pStyle w:val="Compact"/>
              <w:jc w:val="left"/>
            </w:pPr>
            <w:r>
              <w:t xml:space="preserve">(0.003)</w:t>
            </w:r>
          </w:p>
        </w:tc>
        <w:tc>
          <w:tcPr/>
          <w:p>
            <w:pPr>
              <w:pStyle w:val="Compact"/>
            </w:pPr>
          </w:p>
        </w:tc>
      </w:tr>
      <w:tr>
        <w:tc>
          <w:tcPr/>
          <w:p>
            <w:pPr>
              <w:pStyle w:val="Compact"/>
              <w:jc w:val="left"/>
            </w:pPr>
            <w:r>
              <w:t xml:space="preserve">Employed only</w:t>
            </w:r>
          </w:p>
        </w:tc>
        <w:tc>
          <w:tcPr/>
          <w:p>
            <w:pPr>
              <w:pStyle w:val="Compact"/>
              <w:jc w:val="left"/>
            </w:pPr>
            <w:r>
              <w:t xml:space="preserve">0.002</w:t>
            </w:r>
          </w:p>
        </w:tc>
        <w:tc>
          <w:tcPr/>
          <w:p>
            <w:pPr>
              <w:pStyle w:val="Compact"/>
              <w:jc w:val="left"/>
            </w:pPr>
            <w:r>
              <w:t xml:space="preserve">-0.002</w:t>
            </w:r>
          </w:p>
        </w:tc>
        <w:tc>
          <w:tcPr/>
          <w:p>
            <w:pPr>
              <w:pStyle w:val="Compact"/>
              <w:jc w:val="left"/>
            </w:pPr>
            <w:r>
              <w:t xml:space="preserve">0.003</w:t>
            </w:r>
          </w:p>
        </w:tc>
        <w:tc>
          <w:tcPr/>
          <w:p>
            <w:pPr>
              <w:pStyle w:val="Compact"/>
              <w:jc w:val="left"/>
            </w:pPr>
            <w:r>
              <w:t xml:space="preserve">-0.005</w:t>
            </w:r>
          </w:p>
        </w:tc>
        <w:tc>
          <w:tcPr/>
          <w:p>
            <w:pPr>
              <w:pStyle w:val="Compact"/>
              <w:jc w:val="left"/>
            </w:pPr>
            <w:r>
              <w:t xml:space="preserve">0.002</w:t>
            </w:r>
          </w:p>
        </w:tc>
        <w:tc>
          <w:tcPr/>
          <w:p>
            <w:pPr>
              <w:pStyle w:val="Compact"/>
              <w:jc w:val="left"/>
            </w:pPr>
            <w:r>
              <w:t xml:space="preserve">-0.005</w:t>
            </w:r>
          </w:p>
        </w:tc>
      </w:tr>
      <w:tr>
        <w:tc>
          <w:tcPr/>
          <w:p>
            <w:pPr>
              <w:pStyle w:val="Compact"/>
            </w:pPr>
          </w:p>
        </w:tc>
        <w:tc>
          <w:tcPr/>
          <w:p>
            <w:pPr>
              <w:pStyle w:val="Compact"/>
              <w:jc w:val="left"/>
            </w:pPr>
            <w:r>
              <w:t xml:space="preserve">(0.003)</w:t>
            </w:r>
          </w:p>
        </w:tc>
        <w:tc>
          <w:tcPr/>
          <w:p>
            <w:pPr>
              <w:pStyle w:val="Compact"/>
            </w:pPr>
          </w:p>
        </w:tc>
        <w:tc>
          <w:tcPr/>
          <w:p>
            <w:pPr>
              <w:pStyle w:val="Compact"/>
              <w:jc w:val="left"/>
            </w:pPr>
            <w:r>
              <w:t xml:space="preserve">(0.007)</w:t>
            </w:r>
          </w:p>
        </w:tc>
        <w:tc>
          <w:tcPr/>
          <w:p>
            <w:pPr>
              <w:pStyle w:val="Compact"/>
            </w:pPr>
          </w:p>
        </w:tc>
        <w:tc>
          <w:tcPr/>
          <w:p>
            <w:pPr>
              <w:pStyle w:val="Compact"/>
              <w:jc w:val="left"/>
            </w:pPr>
            <w:r>
              <w:t xml:space="preserve">(0.004)</w:t>
            </w:r>
          </w:p>
        </w:tc>
        <w:tc>
          <w:tcPr/>
          <w:p>
            <w:pPr>
              <w:pStyle w:val="Compact"/>
            </w:pPr>
          </w:p>
        </w:tc>
      </w:tr>
      <w:tr>
        <w:tc>
          <w:tcPr/>
          <w:p>
            <w:pPr>
              <w:pStyle w:val="Compact"/>
              <w:jc w:val="left"/>
            </w:pPr>
            <w:r>
              <w:t xml:space="preserve">Neither enrolled nor employed</w:t>
            </w:r>
          </w:p>
        </w:tc>
        <w:tc>
          <w:tcPr/>
          <w:p>
            <w:pPr>
              <w:pStyle w:val="Compact"/>
              <w:jc w:val="left"/>
            </w:pPr>
            <w:r>
              <w:t xml:space="preserve">0.001</w:t>
            </w:r>
          </w:p>
        </w:tc>
        <w:tc>
          <w:tcPr/>
          <w:p>
            <w:pPr>
              <w:pStyle w:val="Compact"/>
              <w:jc w:val="left"/>
            </w:pPr>
            <w:r>
              <w:t xml:space="preserve">0.003</w:t>
            </w:r>
          </w:p>
        </w:tc>
        <w:tc>
          <w:tcPr/>
          <w:p>
            <w:pPr>
              <w:pStyle w:val="Compact"/>
              <w:jc w:val="left"/>
            </w:pPr>
            <w:r>
              <w:t xml:space="preserve">-0.005</w:t>
            </w:r>
          </w:p>
        </w:tc>
        <w:tc>
          <w:tcPr/>
          <w:p>
            <w:pPr>
              <w:pStyle w:val="Compact"/>
              <w:jc w:val="left"/>
            </w:pPr>
            <w:r>
              <w:t xml:space="preserve">-0.001</w:t>
            </w:r>
          </w:p>
        </w:tc>
        <w:tc>
          <w:tcPr/>
          <w:p>
            <w:pPr>
              <w:pStyle w:val="Compact"/>
              <w:jc w:val="left"/>
            </w:pPr>
            <w:r>
              <w:t xml:space="preserve">-0.002</w:t>
            </w:r>
          </w:p>
        </w:tc>
        <w:tc>
          <w:tcPr/>
          <w:p>
            <w:pPr>
              <w:pStyle w:val="Compact"/>
              <w:jc w:val="left"/>
            </w:pPr>
            <w:r>
              <w:t xml:space="preserve">-0.000</w:t>
            </w:r>
          </w:p>
        </w:tc>
      </w:tr>
      <w:tr>
        <w:tc>
          <w:tcPr/>
          <w:p>
            <w:pPr>
              <w:pStyle w:val="Compact"/>
            </w:pPr>
          </w:p>
        </w:tc>
        <w:tc>
          <w:tcPr/>
          <w:p>
            <w:pPr>
              <w:pStyle w:val="Compact"/>
              <w:jc w:val="left"/>
            </w:pPr>
            <w:r>
              <w:t xml:space="preserve">(0.004)</w:t>
            </w:r>
          </w:p>
        </w:tc>
        <w:tc>
          <w:tcPr/>
          <w:p>
            <w:pPr>
              <w:pStyle w:val="Compact"/>
            </w:pPr>
          </w:p>
        </w:tc>
        <w:tc>
          <w:tcPr/>
          <w:p>
            <w:pPr>
              <w:pStyle w:val="Compact"/>
              <w:jc w:val="left"/>
            </w:pPr>
            <w:r>
              <w:t xml:space="preserve">(0.005)</w:t>
            </w:r>
          </w:p>
        </w:tc>
        <w:tc>
          <w:tcPr/>
          <w:p>
            <w:pPr>
              <w:pStyle w:val="Compact"/>
            </w:pPr>
          </w:p>
        </w:tc>
        <w:tc>
          <w:tcPr/>
          <w:p>
            <w:pPr>
              <w:pStyle w:val="Compact"/>
              <w:jc w:val="left"/>
            </w:pPr>
            <w:r>
              <w:t xml:space="preserve">(0.003)</w:t>
            </w:r>
          </w:p>
        </w:tc>
        <w:tc>
          <w:tcPr/>
          <w:p>
            <w:pPr>
              <w:pStyle w:val="Compact"/>
            </w:pPr>
          </w:p>
        </w:tc>
      </w:tr>
      <w:tr>
        <w:tc>
          <w:tcPr/>
          <w:p>
            <w:pPr>
              <w:pStyle w:val="Compact"/>
              <w:jc w:val="left"/>
            </w:pPr>
            <w:r>
              <w:t xml:space="preserve">Enrolled (first two rows)</w:t>
            </w:r>
          </w:p>
        </w:tc>
        <w:tc>
          <w:tcPr/>
          <w:p>
            <w:pPr>
              <w:pStyle w:val="Compact"/>
              <w:jc w:val="left"/>
            </w:pPr>
            <w:r>
              <w:t xml:space="preserve">-0.003</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0.006</w:t>
            </w:r>
          </w:p>
        </w:tc>
        <w:tc>
          <w:tcPr/>
          <w:p>
            <w:pPr>
              <w:pStyle w:val="Compact"/>
              <w:jc w:val="left"/>
            </w:pPr>
            <w:r>
              <w:t xml:space="preserve">0.001</w:t>
            </w:r>
          </w:p>
        </w:tc>
        <w:tc>
          <w:tcPr/>
          <w:p>
            <w:pPr>
              <w:pStyle w:val="Compact"/>
              <w:jc w:val="left"/>
            </w:pPr>
            <w:r>
              <w:t xml:space="preserve">0.005</w:t>
            </w:r>
          </w:p>
        </w:tc>
      </w:tr>
      <w:tr>
        <w:tc>
          <w:tcPr/>
          <w:p>
            <w:pPr>
              <w:pStyle w:val="Compact"/>
            </w:pPr>
          </w:p>
        </w:tc>
        <w:tc>
          <w:tcPr/>
          <w:p>
            <w:pPr>
              <w:pStyle w:val="Compact"/>
              <w:jc w:val="left"/>
            </w:pPr>
            <w:r>
              <w:t xml:space="preserve">(0.004)</w:t>
            </w:r>
          </w:p>
        </w:tc>
        <w:tc>
          <w:tcPr/>
          <w:p>
            <w:pPr>
              <w:pStyle w:val="Compact"/>
            </w:pPr>
          </w:p>
        </w:tc>
        <w:tc>
          <w:tcPr/>
          <w:p>
            <w:pPr>
              <w:pStyle w:val="Compact"/>
              <w:jc w:val="left"/>
            </w:pPr>
            <w:r>
              <w:t xml:space="preserve">(0.009)</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Employed (first and third rows)</w:t>
            </w:r>
          </w:p>
        </w:tc>
        <w:tc>
          <w:tcPr/>
          <w:p>
            <w:pPr>
              <w:pStyle w:val="Compact"/>
              <w:jc w:val="left"/>
            </w:pPr>
            <w:r>
              <w:t xml:space="preserve">-0.001</w:t>
            </w:r>
          </w:p>
        </w:tc>
        <w:tc>
          <w:tcPr/>
          <w:p>
            <w:pPr>
              <w:pStyle w:val="Compact"/>
              <w:jc w:val="left"/>
            </w:pPr>
            <w:r>
              <w:t xml:space="preserve">-0.003</w:t>
            </w:r>
          </w:p>
        </w:tc>
        <w:tc>
          <w:tcPr/>
          <w:p>
            <w:pPr>
              <w:pStyle w:val="Compact"/>
              <w:jc w:val="left"/>
            </w:pPr>
            <w:r>
              <w:t xml:space="preserve">0.010</w:t>
            </w:r>
          </w:p>
        </w:tc>
        <w:tc>
          <w:tcPr/>
          <w:p>
            <w:pPr>
              <w:pStyle w:val="Compact"/>
              <w:jc w:val="left"/>
            </w:pPr>
            <w:r>
              <w:t xml:space="preserve">-0.002</w:t>
            </w:r>
          </w:p>
        </w:tc>
        <w:tc>
          <w:tcPr/>
          <w:p>
            <w:pPr>
              <w:pStyle w:val="Compact"/>
              <w:jc w:val="left"/>
            </w:pPr>
            <w:r>
              <w:t xml:space="preserve">0.003</w:t>
            </w:r>
          </w:p>
        </w:tc>
        <w:tc>
          <w:tcPr/>
          <w:p>
            <w:pPr>
              <w:pStyle w:val="Compact"/>
              <w:jc w:val="left"/>
            </w:pPr>
            <w:r>
              <w:t xml:space="preserve">-0.006</w:t>
            </w:r>
          </w:p>
        </w:tc>
      </w:tr>
      <w:tr>
        <w:tc>
          <w:tcPr/>
          <w:p>
            <w:pPr>
              <w:pStyle w:val="Compact"/>
            </w:pPr>
          </w:p>
        </w:tc>
        <w:tc>
          <w:tcPr/>
          <w:p>
            <w:pPr>
              <w:pStyle w:val="Compact"/>
              <w:jc w:val="left"/>
            </w:pPr>
            <w:r>
              <w:t xml:space="preserve">(0.005)</w:t>
            </w:r>
          </w:p>
        </w:tc>
        <w:tc>
          <w:tcPr/>
          <w:p>
            <w:pPr>
              <w:pStyle w:val="Compact"/>
            </w:pPr>
          </w:p>
        </w:tc>
        <w:tc>
          <w:tcPr/>
          <w:p>
            <w:pPr>
              <w:pStyle w:val="Compact"/>
              <w:jc w:val="left"/>
            </w:pPr>
            <w:r>
              <w:t xml:space="preserve">(0.007)</w:t>
            </w:r>
          </w:p>
        </w:tc>
        <w:tc>
          <w:tcPr/>
          <w:p>
            <w:pPr>
              <w:pStyle w:val="Compact"/>
            </w:pPr>
          </w:p>
        </w:tc>
        <w:tc>
          <w:tcPr/>
          <w:p>
            <w:pPr>
              <w:pStyle w:val="Compact"/>
              <w:jc w:val="left"/>
            </w:pPr>
            <w:r>
              <w:t xml:space="preserve">(0.004)</w:t>
            </w:r>
          </w:p>
        </w:tc>
        <w:tc>
          <w:tcPr/>
          <w:p>
            <w:pPr>
              <w:pStyle w:val="Compact"/>
            </w:pPr>
          </w:p>
        </w:tc>
      </w:tr>
    </w:tbl>
    <w:p>
      <w:pPr>
        <w:pStyle w:val="BodyText"/>
      </w:pPr>
      <w:r>
        <w:t xml:space="preserve">Notes: Post: average of the relative-year effects for years 0–3 after the increase, relative to year</w:t>
      </w:r>
      <w:r>
        <w:t xml:space="preserve"> </w:t>
      </w:r>
      <m:oMath>
        <m:r>
          <m:rPr>
            <m:sty m:val="p"/>
          </m:rPr>
          <m:t>−</m:t>
        </m:r>
        <m:r>
          <m:t>1</m:t>
        </m:r>
      </m:oMath>
      <w:r>
        <w:t xml:space="preserve">, population-weighted across events; block-bootstrap standard errors over states in parentheses (99 draws). Pre: average of the relative-year effects for years</w:t>
      </w:r>
      <w:r>
        <w:t xml:space="preserve"> </w:t>
      </w:r>
      <m:oMath>
        <m:r>
          <m:rPr>
            <m:sty m:val="p"/>
          </m:rPr>
          <m:t>−</m:t>
        </m:r>
        <m:r>
          <m:t>3</m:t>
        </m:r>
      </m:oMath>
      <w:r>
        <w:t xml:space="preserve"> </w:t>
      </w:r>
      <w:r>
        <w:t xml:space="preserve">and</w:t>
      </w:r>
      <w:r>
        <w:t xml:space="preserve"> </w:t>
      </w:r>
      <m:oMath>
        <m:r>
          <m:rPr>
            <m:sty m:val="p"/>
          </m:rPr>
          <m:t>−</m:t>
        </m:r>
        <m:r>
          <m:t>2</m:t>
        </m:r>
      </m:oMath>
      <w:r>
        <w:t xml:space="preserve">.</w:t>
      </w:r>
      <w:r>
        <w:t xml:space="preserve"> </w:t>
      </w:r>
      <w:r>
        <w:rPr>
          <w:vertAlign w:val="superscript"/>
        </w:rPr>
        <w:t xml:space="preserve">*</w:t>
      </w:r>
      <w:r>
        <w:t xml:space="preserve">,</w:t>
      </w:r>
      <w:r>
        <w:t xml:space="preserve"> </w:t>
      </w:r>
      <w:r>
        <w:rPr>
          <w:vertAlign w:val="superscript"/>
        </w:rPr>
        <w:t xml:space="preserve">**</w:t>
      </w:r>
      <w:r>
        <w:t xml:space="preserve">,</w:t>
      </w:r>
      <w:r>
        <w:t xml:space="preserve"> </w:t>
      </w:r>
      <w:r>
        <w:rPr>
          <w:vertAlign w:val="superscript"/>
        </w:rPr>
        <w:t xml:space="preserve">***</w:t>
      </w:r>
      <w:r>
        <w:t xml:space="preserve">: significant at 10, 5 and 1 percent.</w:t>
      </w:r>
    </w:p>
    <w:p>
      <w:pPr>
        <w:pStyle w:val="TableCaption"/>
      </w:pPr>
      <w:r>
        <w:t xml:space="preserve">Table 16: Effects on school–work status, teens from families with income below $50,000: post-event averages</w:t>
      </w:r>
    </w:p>
    <w:tbl>
      <w:tblPr>
        <w:tblStyle w:val="Table"/>
        <w:tblW w:type="dxa" w:w="9360"/>
        <w:tblLook w:firstRow="0" w:lastRow="0" w:firstColumn="0" w:lastColumn="0" w:noHBand="0" w:noVBand="0" w:val="0000"/>
        <w:jc w:val="start"/>
        <w:tblCaption w:val="Table 16: Effects on school–work status, teens from families with income below $50,000: post-event average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r>
      <w:tr>
        <w:tc>
          <w:tcPr/>
          <w:p>
            <w:pPr>
              <w:pStyle w:val="Compact"/>
              <w:jc w:val="left"/>
            </w:pPr>
            <w:r>
              <w:t xml:space="preserve">Enrolled and employed</w:t>
            </w:r>
          </w:p>
        </w:tc>
        <w:tc>
          <w:tcPr/>
          <w:p>
            <w:pPr>
              <w:pStyle w:val="Compact"/>
              <w:jc w:val="left"/>
            </w:pPr>
            <w:r>
              <w:t xml:space="preserve">0.004</w:t>
            </w:r>
          </w:p>
        </w:tc>
        <w:tc>
          <w:tcPr/>
          <w:p>
            <w:pPr>
              <w:pStyle w:val="Compact"/>
              <w:jc w:val="left"/>
            </w:pPr>
            <w:r>
              <w:t xml:space="preserve">0.005</w:t>
            </w:r>
          </w:p>
        </w:tc>
        <w:tc>
          <w:tcPr/>
          <w:p>
            <w:pPr>
              <w:pStyle w:val="Compact"/>
              <w:jc w:val="left"/>
            </w:pPr>
            <w:r>
              <w:t xml:space="preserve">0.006</w:t>
            </w:r>
          </w:p>
        </w:tc>
        <w:tc>
          <w:tcPr/>
          <w:p>
            <w:pPr>
              <w:pStyle w:val="Compact"/>
              <w:jc w:val="left"/>
            </w:pPr>
            <w:r>
              <w:t xml:space="preserve">0.008</w:t>
            </w:r>
          </w:p>
        </w:tc>
        <w:tc>
          <w:tcPr/>
          <w:p>
            <w:pPr>
              <w:pStyle w:val="Compact"/>
              <w:jc w:val="left"/>
            </w:pPr>
            <w:r>
              <w:t xml:space="preserve">0.005</w:t>
            </w:r>
          </w:p>
        </w:tc>
        <w:tc>
          <w:tcPr/>
          <w:p>
            <w:pPr>
              <w:pStyle w:val="Compact"/>
              <w:jc w:val="left"/>
            </w:pPr>
            <w:r>
              <w:t xml:space="preserve">0.006</w:t>
            </w:r>
          </w:p>
        </w:tc>
      </w:tr>
      <w:tr>
        <w:tc>
          <w:tcPr/>
          <w:p>
            <w:pPr>
              <w:pStyle w:val="Compact"/>
            </w:pPr>
          </w:p>
        </w:tc>
        <w:tc>
          <w:tcPr/>
          <w:p>
            <w:pPr>
              <w:pStyle w:val="Compact"/>
              <w:jc w:val="left"/>
            </w:pPr>
            <w:r>
              <w:t xml:space="preserve">(0.008)</w:t>
            </w:r>
          </w:p>
        </w:tc>
        <w:tc>
          <w:tcPr/>
          <w:p>
            <w:pPr>
              <w:pStyle w:val="Compact"/>
            </w:pPr>
          </w:p>
        </w:tc>
        <w:tc>
          <w:tcPr/>
          <w:p>
            <w:pPr>
              <w:pStyle w:val="Compact"/>
              <w:jc w:val="left"/>
            </w:pPr>
            <w:r>
              <w:t xml:space="preserve">(0.007)</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Enrolled only</w:t>
            </w:r>
          </w:p>
        </w:tc>
        <w:tc>
          <w:tcPr/>
          <w:p>
            <w:pPr>
              <w:pStyle w:val="Compact"/>
              <w:jc w:val="left"/>
            </w:pPr>
            <w:r>
              <w:t xml:space="preserve">-0.005</w:t>
            </w:r>
          </w:p>
        </w:tc>
        <w:tc>
          <w:tcPr/>
          <w:p>
            <w:pPr>
              <w:pStyle w:val="Compact"/>
              <w:jc w:val="left"/>
            </w:pPr>
            <w:r>
              <w:t xml:space="preserve">-0.007</w:t>
            </w:r>
          </w:p>
        </w:tc>
        <w:tc>
          <w:tcPr/>
          <w:p>
            <w:pPr>
              <w:pStyle w:val="Compact"/>
              <w:jc w:val="left"/>
            </w:pPr>
            <w:r>
              <w:t xml:space="preserve">-0.002</w:t>
            </w:r>
          </w:p>
        </w:tc>
        <w:tc>
          <w:tcPr/>
          <w:p>
            <w:pPr>
              <w:pStyle w:val="Compact"/>
              <w:jc w:val="left"/>
            </w:pPr>
            <w:r>
              <w:t xml:space="preserve">-0.003</w:t>
            </w:r>
          </w:p>
        </w:tc>
        <w:tc>
          <w:tcPr/>
          <w:p>
            <w:pPr>
              <w:pStyle w:val="Compact"/>
              <w:jc w:val="left"/>
            </w:pPr>
            <w:r>
              <w:t xml:space="preserve">-0.005</w:t>
            </w:r>
          </w:p>
        </w:tc>
        <w:tc>
          <w:tcPr/>
          <w:p>
            <w:pPr>
              <w:pStyle w:val="Compact"/>
              <w:jc w:val="left"/>
            </w:pPr>
            <w:r>
              <w:t xml:space="preserve">-0.006</w:t>
            </w:r>
          </w:p>
        </w:tc>
      </w:tr>
      <w:tr>
        <w:tc>
          <w:tcPr/>
          <w:p>
            <w:pPr>
              <w:pStyle w:val="Compact"/>
            </w:pPr>
          </w:p>
        </w:tc>
        <w:tc>
          <w:tcPr/>
          <w:p>
            <w:pPr>
              <w:pStyle w:val="Compact"/>
              <w:jc w:val="left"/>
            </w:pPr>
            <w:r>
              <w:t xml:space="preserve">(0.010)</w:t>
            </w:r>
          </w:p>
        </w:tc>
        <w:tc>
          <w:tcPr/>
          <w:p>
            <w:pPr>
              <w:pStyle w:val="Compact"/>
            </w:pPr>
          </w:p>
        </w:tc>
        <w:tc>
          <w:tcPr/>
          <w:p>
            <w:pPr>
              <w:pStyle w:val="Compact"/>
              <w:jc w:val="left"/>
            </w:pPr>
            <w:r>
              <w:t xml:space="preserve">(0.009)</w:t>
            </w:r>
          </w:p>
        </w:tc>
        <w:tc>
          <w:tcPr/>
          <w:p>
            <w:pPr>
              <w:pStyle w:val="Compact"/>
            </w:pPr>
          </w:p>
        </w:tc>
        <w:tc>
          <w:tcPr/>
          <w:p>
            <w:pPr>
              <w:pStyle w:val="Compact"/>
              <w:jc w:val="left"/>
            </w:pPr>
            <w:r>
              <w:t xml:space="preserve">(0.007)</w:t>
            </w:r>
          </w:p>
        </w:tc>
        <w:tc>
          <w:tcPr/>
          <w:p>
            <w:pPr>
              <w:pStyle w:val="Compact"/>
            </w:pPr>
          </w:p>
        </w:tc>
      </w:tr>
      <w:tr>
        <w:tc>
          <w:tcPr/>
          <w:p>
            <w:pPr>
              <w:pStyle w:val="Compact"/>
              <w:jc w:val="left"/>
            </w:pPr>
            <w:r>
              <w:t xml:space="preserve">Employed only</w:t>
            </w:r>
          </w:p>
        </w:tc>
        <w:tc>
          <w:tcPr/>
          <w:p>
            <w:pPr>
              <w:pStyle w:val="Compact"/>
              <w:jc w:val="left"/>
            </w:pPr>
            <w:r>
              <w:t xml:space="preserve">-0.002</w:t>
            </w:r>
          </w:p>
        </w:tc>
        <w:tc>
          <w:tcPr/>
          <w:p>
            <w:pPr>
              <w:pStyle w:val="Compact"/>
              <w:jc w:val="left"/>
            </w:pPr>
            <w:r>
              <w:t xml:space="preserve">-0.003</w:t>
            </w:r>
          </w:p>
        </w:tc>
        <w:tc>
          <w:tcPr/>
          <w:p>
            <w:pPr>
              <w:pStyle w:val="Compact"/>
              <w:jc w:val="left"/>
            </w:pPr>
            <w:r>
              <w:t xml:space="preserve">0.006</w:t>
            </w:r>
          </w:p>
        </w:tc>
        <w:tc>
          <w:tcPr/>
          <w:p>
            <w:pPr>
              <w:pStyle w:val="Compact"/>
              <w:jc w:val="left"/>
            </w:pPr>
            <w:r>
              <w:t xml:space="preserve">-0.001</w:t>
            </w:r>
          </w:p>
        </w:tc>
        <w:tc>
          <w:tcPr/>
          <w:p>
            <w:pPr>
              <w:pStyle w:val="Compact"/>
              <w:jc w:val="left"/>
            </w:pPr>
            <w:r>
              <w:t xml:space="preserve">0.003</w:t>
            </w:r>
          </w:p>
        </w:tc>
        <w:tc>
          <w:tcPr/>
          <w:p>
            <w:pPr>
              <w:pStyle w:val="Compact"/>
              <w:jc w:val="left"/>
            </w:pPr>
            <w:r>
              <w:t xml:space="preserve">-0.002</w:t>
            </w:r>
          </w:p>
        </w:tc>
      </w:tr>
      <w:tr>
        <w:tc>
          <w:tcPr/>
          <w:p>
            <w:pPr>
              <w:pStyle w:val="Compact"/>
            </w:pPr>
          </w:p>
        </w:tc>
        <w:tc>
          <w:tcPr/>
          <w:p>
            <w:pPr>
              <w:pStyle w:val="Compact"/>
              <w:jc w:val="left"/>
            </w:pPr>
            <w:r>
              <w:t xml:space="preserve">(0.004)</w:t>
            </w:r>
          </w:p>
        </w:tc>
        <w:tc>
          <w:tcPr/>
          <w:p>
            <w:pPr>
              <w:pStyle w:val="Compact"/>
            </w:pPr>
          </w:p>
        </w:tc>
        <w:tc>
          <w:tcPr/>
          <w:p>
            <w:pPr>
              <w:pStyle w:val="Compact"/>
              <w:jc w:val="left"/>
            </w:pPr>
            <w:r>
              <w:t xml:space="preserve">(0.011)</w:t>
            </w:r>
          </w:p>
        </w:tc>
        <w:tc>
          <w:tcPr/>
          <w:p>
            <w:pPr>
              <w:pStyle w:val="Compact"/>
            </w:pPr>
          </w:p>
        </w:tc>
        <w:tc>
          <w:tcPr/>
          <w:p>
            <w:pPr>
              <w:pStyle w:val="Compact"/>
              <w:jc w:val="left"/>
            </w:pPr>
            <w:r>
              <w:t xml:space="preserve">(0.006)</w:t>
            </w:r>
          </w:p>
        </w:tc>
        <w:tc>
          <w:tcPr/>
          <w:p>
            <w:pPr>
              <w:pStyle w:val="Compact"/>
            </w:pPr>
          </w:p>
        </w:tc>
      </w:tr>
      <w:tr>
        <w:tc>
          <w:tcPr/>
          <w:p>
            <w:pPr>
              <w:pStyle w:val="Compact"/>
              <w:jc w:val="left"/>
            </w:pPr>
            <w:r>
              <w:t xml:space="preserve">Neither enrolled nor employed</w:t>
            </w:r>
          </w:p>
        </w:tc>
        <w:tc>
          <w:tcPr/>
          <w:p>
            <w:pPr>
              <w:pStyle w:val="Compact"/>
              <w:jc w:val="left"/>
            </w:pPr>
            <w:r>
              <w:t xml:space="preserve">0.003</w:t>
            </w:r>
          </w:p>
        </w:tc>
        <w:tc>
          <w:tcPr/>
          <w:p>
            <w:pPr>
              <w:pStyle w:val="Compact"/>
              <w:jc w:val="left"/>
            </w:pPr>
            <w:r>
              <w:t xml:space="preserve">0.005</w:t>
            </w:r>
          </w:p>
        </w:tc>
        <w:tc>
          <w:tcPr/>
          <w:p>
            <w:pPr>
              <w:pStyle w:val="Compact"/>
              <w:jc w:val="left"/>
            </w:pPr>
            <w:r>
              <w:t xml:space="preserve">-0.010</w:t>
            </w:r>
          </w:p>
        </w:tc>
        <w:tc>
          <w:tcPr/>
          <w:p>
            <w:pPr>
              <w:pStyle w:val="Compact"/>
              <w:jc w:val="left"/>
            </w:pPr>
            <w:r>
              <w:t xml:space="preserve">-0.004</w:t>
            </w:r>
          </w:p>
        </w:tc>
        <w:tc>
          <w:tcPr/>
          <w:p>
            <w:pPr>
              <w:pStyle w:val="Compact"/>
              <w:jc w:val="left"/>
            </w:pPr>
            <w:r>
              <w:t xml:space="preserve">-0.003</w:t>
            </w:r>
          </w:p>
        </w:tc>
        <w:tc>
          <w:tcPr/>
          <w:p>
            <w:pPr>
              <w:pStyle w:val="Compact"/>
              <w:jc w:val="left"/>
            </w:pPr>
            <w:r>
              <w:t xml:space="preserve">0.001</w:t>
            </w:r>
          </w:p>
        </w:tc>
      </w:tr>
      <w:tr>
        <w:tc>
          <w:tcPr/>
          <w:p>
            <w:pPr>
              <w:pStyle w:val="Compact"/>
            </w:pPr>
          </w:p>
        </w:tc>
        <w:tc>
          <w:tcPr/>
          <w:p>
            <w:pPr>
              <w:pStyle w:val="Compact"/>
              <w:jc w:val="left"/>
            </w:pPr>
            <w:r>
              <w:t xml:space="preserve">(0.005)</w:t>
            </w:r>
          </w:p>
        </w:tc>
        <w:tc>
          <w:tcPr/>
          <w:p>
            <w:pPr>
              <w:pStyle w:val="Compact"/>
            </w:pPr>
          </w:p>
        </w:tc>
        <w:tc>
          <w:tcPr/>
          <w:p>
            <w:pPr>
              <w:pStyle w:val="Compact"/>
              <w:jc w:val="left"/>
            </w:pPr>
            <w:r>
              <w:t xml:space="preserve">(0.007)</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Enrolled (first two rows)</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0.004</w:t>
            </w:r>
          </w:p>
        </w:tc>
        <w:tc>
          <w:tcPr/>
          <w:p>
            <w:pPr>
              <w:pStyle w:val="Compact"/>
              <w:jc w:val="left"/>
            </w:pPr>
            <w:r>
              <w:t xml:space="preserve">0.005</w:t>
            </w:r>
          </w:p>
        </w:tc>
        <w:tc>
          <w:tcPr/>
          <w:p>
            <w:pPr>
              <w:pStyle w:val="Compact"/>
              <w:jc w:val="left"/>
            </w:pPr>
            <w:r>
              <w:t xml:space="preserve">0.000</w:t>
            </w:r>
          </w:p>
        </w:tc>
        <w:tc>
          <w:tcPr/>
          <w:p>
            <w:pPr>
              <w:pStyle w:val="Compact"/>
              <w:jc w:val="left"/>
            </w:pPr>
            <w:r>
              <w:t xml:space="preserve">0.001</w:t>
            </w:r>
          </w:p>
        </w:tc>
      </w:tr>
      <w:tr>
        <w:tc>
          <w:tcPr/>
          <w:p>
            <w:pPr>
              <w:pStyle w:val="Compact"/>
            </w:pPr>
          </w:p>
        </w:tc>
        <w:tc>
          <w:tcPr/>
          <w:p>
            <w:pPr>
              <w:pStyle w:val="Compact"/>
              <w:jc w:val="left"/>
            </w:pPr>
            <w:r>
              <w:t xml:space="preserve">(0.006)</w:t>
            </w:r>
          </w:p>
        </w:tc>
        <w:tc>
          <w:tcPr/>
          <w:p>
            <w:pPr>
              <w:pStyle w:val="Compact"/>
            </w:pPr>
          </w:p>
        </w:tc>
        <w:tc>
          <w:tcPr/>
          <w:p>
            <w:pPr>
              <w:pStyle w:val="Compact"/>
              <w:jc w:val="left"/>
            </w:pPr>
            <w:r>
              <w:t xml:space="preserve">(0.012)</w:t>
            </w:r>
          </w:p>
        </w:tc>
        <w:tc>
          <w:tcPr/>
          <w:p>
            <w:pPr>
              <w:pStyle w:val="Compact"/>
            </w:pPr>
          </w:p>
        </w:tc>
        <w:tc>
          <w:tcPr/>
          <w:p>
            <w:pPr>
              <w:pStyle w:val="Compact"/>
              <w:jc w:val="left"/>
            </w:pPr>
            <w:r>
              <w:t xml:space="preserve">(0.006)</w:t>
            </w:r>
          </w:p>
        </w:tc>
        <w:tc>
          <w:tcPr/>
          <w:p>
            <w:pPr>
              <w:pStyle w:val="Compact"/>
            </w:pPr>
          </w:p>
        </w:tc>
      </w:tr>
      <w:tr>
        <w:tc>
          <w:tcPr/>
          <w:p>
            <w:pPr>
              <w:pStyle w:val="Compact"/>
              <w:jc w:val="left"/>
            </w:pPr>
            <w:r>
              <w:t xml:space="preserve">Employed (first and third rows)</w:t>
            </w:r>
          </w:p>
        </w:tc>
        <w:tc>
          <w:tcPr/>
          <w:p>
            <w:pPr>
              <w:pStyle w:val="Compact"/>
              <w:jc w:val="left"/>
            </w:pPr>
            <w:r>
              <w:t xml:space="preserve">0.002</w:t>
            </w:r>
          </w:p>
        </w:tc>
        <w:tc>
          <w:tcPr/>
          <w:p>
            <w:pPr>
              <w:pStyle w:val="Compact"/>
              <w:jc w:val="left"/>
            </w:pPr>
            <w:r>
              <w:t xml:space="preserve">0.002</w:t>
            </w:r>
          </w:p>
        </w:tc>
        <w:tc>
          <w:tcPr/>
          <w:p>
            <w:pPr>
              <w:pStyle w:val="Compact"/>
              <w:jc w:val="left"/>
            </w:pPr>
            <w:r>
              <w:t xml:space="preserve">0.012</w:t>
            </w:r>
          </w:p>
        </w:tc>
        <w:tc>
          <w:tcPr/>
          <w:p>
            <w:pPr>
              <w:pStyle w:val="Compact"/>
              <w:jc w:val="left"/>
            </w:pPr>
            <w:r>
              <w:t xml:space="preserve">0.007</w:t>
            </w:r>
          </w:p>
        </w:tc>
        <w:tc>
          <w:tcPr/>
          <w:p>
            <w:pPr>
              <w:pStyle w:val="Compact"/>
              <w:jc w:val="left"/>
            </w:pPr>
            <w:r>
              <w:t xml:space="preserve">0.007</w:t>
            </w:r>
          </w:p>
        </w:tc>
        <w:tc>
          <w:tcPr/>
          <w:p>
            <w:pPr>
              <w:pStyle w:val="Compact"/>
              <w:jc w:val="left"/>
            </w:pPr>
            <w:r>
              <w:t xml:space="preserve">0.005</w:t>
            </w:r>
          </w:p>
        </w:tc>
      </w:tr>
      <w:tr>
        <w:tc>
          <w:tcPr/>
          <w:p>
            <w:pPr>
              <w:pStyle w:val="Compact"/>
            </w:pPr>
          </w:p>
        </w:tc>
        <w:tc>
          <w:tcPr/>
          <w:p>
            <w:pPr>
              <w:pStyle w:val="Compact"/>
              <w:jc w:val="left"/>
            </w:pPr>
            <w:r>
              <w:t xml:space="preserve">(0.010)</w:t>
            </w:r>
          </w:p>
        </w:tc>
        <w:tc>
          <w:tcPr/>
          <w:p>
            <w:pPr>
              <w:pStyle w:val="Compact"/>
            </w:pPr>
          </w:p>
        </w:tc>
        <w:tc>
          <w:tcPr/>
          <w:p>
            <w:pPr>
              <w:pStyle w:val="Compact"/>
              <w:jc w:val="left"/>
            </w:pPr>
            <w:r>
              <w:t xml:space="preserve">(0.011)</w:t>
            </w:r>
          </w:p>
        </w:tc>
        <w:tc>
          <w:tcPr/>
          <w:p>
            <w:pPr>
              <w:pStyle w:val="Compact"/>
            </w:pPr>
          </w:p>
        </w:tc>
        <w:tc>
          <w:tcPr/>
          <w:p>
            <w:pPr>
              <w:pStyle w:val="Compact"/>
              <w:jc w:val="left"/>
            </w:pPr>
            <w:r>
              <w:t xml:space="preserve">(0.008)</w:t>
            </w:r>
          </w:p>
        </w:tc>
        <w:tc>
          <w:tcPr/>
          <w:p>
            <w:pPr>
              <w:pStyle w:val="Compact"/>
            </w:pPr>
          </w:p>
        </w:tc>
      </w:tr>
    </w:tbl>
    <w:p>
      <w:pPr>
        <w:pStyle w:val="BodyText"/>
      </w:pPr>
      <w:r>
        <w:t xml:space="preserve">Notes: Family income is the CPS household income category, nominal; teens with missing or refused income (7 percent) are excluded. Post, Pre and standard errors as in Table 15.</w:t>
      </w:r>
    </w:p>
    <w:p>
      <w:pPr>
        <w:pStyle w:val="TableCaption"/>
      </w:pPr>
      <w:r>
        <w:t xml:space="preserve">Table 17: Effects on school–work status, teens from families with income of $50,000 or more: post-event averages</w:t>
      </w:r>
    </w:p>
    <w:tbl>
      <w:tblPr>
        <w:tblStyle w:val="Table"/>
        <w:tblW w:type="dxa" w:w="9360"/>
        <w:tblLook w:firstRow="0" w:lastRow="0" w:firstColumn="0" w:lastColumn="0" w:noHBand="0" w:noVBand="0" w:val="0000"/>
        <w:jc w:val="start"/>
        <w:tblCaption w:val="Table 17: Effects on school–work status, teens from families with income of $50,000 or more: post-event average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r>
      <w:tr>
        <w:tc>
          <w:tcPr/>
          <w:p>
            <w:pPr>
              <w:pStyle w:val="Compact"/>
              <w:jc w:val="left"/>
            </w:pPr>
            <w:r>
              <w:t xml:space="preserve">Enrolled and employed</w:t>
            </w:r>
          </w:p>
        </w:tc>
        <w:tc>
          <w:tcPr/>
          <w:p>
            <w:pPr>
              <w:pStyle w:val="Compact"/>
              <w:jc w:val="left"/>
            </w:pPr>
            <w:r>
              <w:t xml:space="preserve">-0.006</w:t>
            </w:r>
          </w:p>
        </w:tc>
        <w:tc>
          <w:tcPr/>
          <w:p>
            <w:pPr>
              <w:pStyle w:val="Compact"/>
              <w:jc w:val="left"/>
            </w:pPr>
            <w:r>
              <w:t xml:space="preserve">-0.008</w:t>
            </w:r>
          </w:p>
        </w:tc>
        <w:tc>
          <w:tcPr/>
          <w:p>
            <w:pPr>
              <w:pStyle w:val="Compact"/>
              <w:jc w:val="left"/>
            </w:pPr>
            <w:r>
              <w:t xml:space="preserve">0.009</w:t>
            </w:r>
          </w:p>
        </w:tc>
        <w:tc>
          <w:tcPr/>
          <w:p>
            <w:pPr>
              <w:pStyle w:val="Compact"/>
              <w:jc w:val="left"/>
            </w:pPr>
            <w:r>
              <w:t xml:space="preserve">-0.001</w:t>
            </w:r>
          </w:p>
        </w:tc>
        <w:tc>
          <w:tcPr/>
          <w:p>
            <w:pPr>
              <w:pStyle w:val="Compact"/>
              <w:jc w:val="left"/>
            </w:pPr>
            <w:r>
              <w:t xml:space="preserve">0.000</w:t>
            </w:r>
          </w:p>
        </w:tc>
        <w:tc>
          <w:tcPr/>
          <w:p>
            <w:pPr>
              <w:pStyle w:val="Compact"/>
              <w:jc w:val="left"/>
            </w:pPr>
            <w:r>
              <w:t xml:space="preserve">-0.006</w:t>
            </w:r>
          </w:p>
        </w:tc>
      </w:tr>
      <w:tr>
        <w:tc>
          <w:tcPr/>
          <w:p>
            <w:pPr>
              <w:pStyle w:val="Compact"/>
            </w:pPr>
          </w:p>
        </w:tc>
        <w:tc>
          <w:tcPr/>
          <w:p>
            <w:pPr>
              <w:pStyle w:val="Compact"/>
              <w:jc w:val="left"/>
            </w:pPr>
            <w:r>
              <w:t xml:space="preserve">(0.005)</w:t>
            </w:r>
          </w:p>
        </w:tc>
        <w:tc>
          <w:tcPr/>
          <w:p>
            <w:pPr>
              <w:pStyle w:val="Compact"/>
            </w:pPr>
          </w:p>
        </w:tc>
        <w:tc>
          <w:tcPr/>
          <w:p>
            <w:pPr>
              <w:pStyle w:val="Compact"/>
              <w:jc w:val="left"/>
            </w:pPr>
            <w:r>
              <w:t xml:space="preserve">(0.009)</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Enrolled only</w:t>
            </w:r>
          </w:p>
        </w:tc>
        <w:tc>
          <w:tcPr/>
          <w:p>
            <w:pPr>
              <w:pStyle w:val="Compact"/>
              <w:jc w:val="left"/>
            </w:pPr>
            <w:r>
              <w:t xml:space="preserve">0.002</w:t>
            </w:r>
          </w:p>
        </w:tc>
        <w:tc>
          <w:tcPr/>
          <w:p>
            <w:pPr>
              <w:pStyle w:val="Compact"/>
              <w:jc w:val="left"/>
            </w:pPr>
            <w:r>
              <w:t xml:space="preserve">0.007</w:t>
            </w:r>
          </w:p>
        </w:tc>
        <w:tc>
          <w:tcPr/>
          <w:p>
            <w:pPr>
              <w:pStyle w:val="Compact"/>
              <w:jc w:val="left"/>
            </w:pPr>
            <w:r>
              <w:t xml:space="preserve">-0.006</w:t>
            </w:r>
          </w:p>
        </w:tc>
        <w:tc>
          <w:tcPr/>
          <w:p>
            <w:pPr>
              <w:pStyle w:val="Compact"/>
              <w:jc w:val="left"/>
            </w:pPr>
            <w:r>
              <w:t xml:space="preserve">0.007</w:t>
            </w:r>
          </w:p>
        </w:tc>
        <w:tc>
          <w:tcPr/>
          <w:p>
            <w:pPr>
              <w:pStyle w:val="Compact"/>
              <w:jc w:val="left"/>
            </w:pPr>
            <w:r>
              <w:t xml:space="preserve">0.002</w:t>
            </w:r>
          </w:p>
        </w:tc>
        <w:tc>
          <w:tcPr/>
          <w:p>
            <w:pPr>
              <w:pStyle w:val="Compact"/>
              <w:jc w:val="left"/>
            </w:pPr>
            <w:r>
              <w:t xml:space="preserve">0.013</w:t>
            </w:r>
          </w:p>
        </w:tc>
      </w:tr>
      <w:tr>
        <w:tc>
          <w:tcPr/>
          <w:p>
            <w:pPr>
              <w:pStyle w:val="Compact"/>
            </w:pPr>
          </w:p>
        </w:tc>
        <w:tc>
          <w:tcPr/>
          <w:p>
            <w:pPr>
              <w:pStyle w:val="Compact"/>
              <w:jc w:val="left"/>
            </w:pPr>
            <w:r>
              <w:t xml:space="preserve">(0.006)</w:t>
            </w:r>
          </w:p>
        </w:tc>
        <w:tc>
          <w:tcPr/>
          <w:p>
            <w:pPr>
              <w:pStyle w:val="Compact"/>
            </w:pPr>
          </w:p>
        </w:tc>
        <w:tc>
          <w:tcPr/>
          <w:p>
            <w:pPr>
              <w:pStyle w:val="Compact"/>
              <w:jc w:val="left"/>
            </w:pPr>
            <w:r>
              <w:t xml:space="preserve">(0.008)</w:t>
            </w:r>
          </w:p>
        </w:tc>
        <w:tc>
          <w:tcPr/>
          <w:p>
            <w:pPr>
              <w:pStyle w:val="Compact"/>
            </w:pPr>
          </w:p>
        </w:tc>
        <w:tc>
          <w:tcPr/>
          <w:p>
            <w:pPr>
              <w:pStyle w:val="Compact"/>
              <w:jc w:val="left"/>
            </w:pPr>
            <w:r>
              <w:t xml:space="preserve">(0.004)</w:t>
            </w:r>
          </w:p>
        </w:tc>
        <w:tc>
          <w:tcPr/>
          <w:p>
            <w:pPr>
              <w:pStyle w:val="Compact"/>
            </w:pPr>
          </w:p>
        </w:tc>
      </w:tr>
      <w:tr>
        <w:tc>
          <w:tcPr/>
          <w:p>
            <w:pPr>
              <w:pStyle w:val="Compact"/>
              <w:jc w:val="left"/>
            </w:pPr>
            <w:r>
              <w:t xml:space="preserve">Employed only</w:t>
            </w:r>
          </w:p>
        </w:tc>
        <w:tc>
          <w:tcPr/>
          <w:p>
            <w:pPr>
              <w:pStyle w:val="Compact"/>
              <w:jc w:val="left"/>
            </w:pPr>
            <w:r>
              <w:t xml:space="preserve">0.005</w:t>
            </w:r>
          </w:p>
        </w:tc>
        <w:tc>
          <w:tcPr/>
          <w:p>
            <w:pPr>
              <w:pStyle w:val="Compact"/>
              <w:jc w:val="left"/>
            </w:pPr>
            <w:r>
              <w:t xml:space="preserve">-0.001</w:t>
            </w:r>
          </w:p>
        </w:tc>
        <w:tc>
          <w:tcPr/>
          <w:p>
            <w:pPr>
              <w:pStyle w:val="Compact"/>
              <w:jc w:val="left"/>
            </w:pPr>
            <w:r>
              <w:t xml:space="preserve">0.003</w:t>
            </w:r>
          </w:p>
        </w:tc>
        <w:tc>
          <w:tcPr/>
          <w:p>
            <w:pPr>
              <w:pStyle w:val="Compact"/>
              <w:jc w:val="left"/>
            </w:pPr>
            <w:r>
              <w:t xml:space="preserve">-0.006</w:t>
            </w:r>
          </w:p>
        </w:tc>
        <w:tc>
          <w:tcPr/>
          <w:p>
            <w:pPr>
              <w:pStyle w:val="Compact"/>
              <w:jc w:val="left"/>
            </w:pPr>
            <w:r>
              <w:t xml:space="preserve">0.002</w:t>
            </w:r>
          </w:p>
        </w:tc>
        <w:tc>
          <w:tcPr/>
          <w:p>
            <w:pPr>
              <w:pStyle w:val="Compact"/>
              <w:jc w:val="left"/>
            </w:pPr>
            <w:r>
              <w:t xml:space="preserve">-0.007</w:t>
            </w:r>
          </w:p>
        </w:tc>
      </w:tr>
      <w:tr>
        <w:tc>
          <w:tcPr/>
          <w:p>
            <w:pPr>
              <w:pStyle w:val="Compact"/>
            </w:pPr>
          </w:p>
        </w:tc>
        <w:tc>
          <w:tcPr/>
          <w:p>
            <w:pPr>
              <w:pStyle w:val="Compact"/>
              <w:jc w:val="left"/>
            </w:pPr>
            <w:r>
              <w:t xml:space="preserve">(0.003)</w:t>
            </w:r>
          </w:p>
        </w:tc>
        <w:tc>
          <w:tcPr/>
          <w:p>
            <w:pPr>
              <w:pStyle w:val="Compact"/>
            </w:pPr>
          </w:p>
        </w:tc>
        <w:tc>
          <w:tcPr/>
          <w:p>
            <w:pPr>
              <w:pStyle w:val="Compact"/>
              <w:jc w:val="left"/>
            </w:pPr>
            <w:r>
              <w:t xml:space="preserve">(0.009)</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Neither enrolled nor employed</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-0.005</w:t>
            </w:r>
          </w:p>
        </w:tc>
        <w:tc>
          <w:tcPr/>
          <w:p>
            <w:pPr>
              <w:pStyle w:val="Compact"/>
              <w:jc w:val="left"/>
            </w:pPr>
            <w:r>
              <w:t xml:space="preserve">-0.001</w:t>
            </w:r>
          </w:p>
        </w:tc>
        <w:tc>
          <w:tcPr/>
          <w:p>
            <w:pPr>
              <w:pStyle w:val="Compact"/>
              <w:jc w:val="left"/>
            </w:pPr>
            <w:r>
              <w:t xml:space="preserve">-0.003</w:t>
            </w:r>
          </w:p>
        </w:tc>
        <w:tc>
          <w:tcPr/>
          <w:p>
            <w:pPr>
              <w:pStyle w:val="Compact"/>
              <w:jc w:val="left"/>
            </w:pPr>
            <w:r>
              <w:t xml:space="preserve">-0.001</w:t>
            </w:r>
          </w:p>
        </w:tc>
      </w:tr>
      <w:tr>
        <w:tc>
          <w:tcPr/>
          <w:p>
            <w:pPr>
              <w:pStyle w:val="Compact"/>
            </w:pPr>
          </w:p>
        </w:tc>
        <w:tc>
          <w:tcPr/>
          <w:p>
            <w:pPr>
              <w:pStyle w:val="Compact"/>
              <w:jc w:val="left"/>
            </w:pPr>
            <w:r>
              <w:t xml:space="preserve">(0.004)</w:t>
            </w:r>
          </w:p>
        </w:tc>
        <w:tc>
          <w:tcPr/>
          <w:p>
            <w:pPr>
              <w:pStyle w:val="Compact"/>
            </w:pPr>
          </w:p>
        </w:tc>
        <w:tc>
          <w:tcPr/>
          <w:p>
            <w:pPr>
              <w:pStyle w:val="Compact"/>
              <w:jc w:val="left"/>
            </w:pPr>
            <w:r>
              <w:t xml:space="preserve">(0.006)</w:t>
            </w:r>
          </w:p>
        </w:tc>
        <w:tc>
          <w:tcPr/>
          <w:p>
            <w:pPr>
              <w:pStyle w:val="Compact"/>
            </w:pPr>
          </w:p>
        </w:tc>
        <w:tc>
          <w:tcPr/>
          <w:p>
            <w:pPr>
              <w:pStyle w:val="Compact"/>
              <w:jc w:val="left"/>
            </w:pPr>
            <w:r>
              <w:t xml:space="preserve">(0.004)</w:t>
            </w:r>
          </w:p>
        </w:tc>
        <w:tc>
          <w:tcPr/>
          <w:p>
            <w:pPr>
              <w:pStyle w:val="Compact"/>
            </w:pPr>
          </w:p>
        </w:tc>
      </w:tr>
      <w:tr>
        <w:tc>
          <w:tcPr/>
          <w:p>
            <w:pPr>
              <w:pStyle w:val="Compact"/>
              <w:jc w:val="left"/>
            </w:pPr>
            <w:r>
              <w:t xml:space="preserve">Enrolled (first two rows)</w:t>
            </w:r>
          </w:p>
        </w:tc>
        <w:tc>
          <w:tcPr/>
          <w:p>
            <w:pPr>
              <w:pStyle w:val="Compact"/>
              <w:jc w:val="left"/>
            </w:pPr>
            <w:r>
              <w:t xml:space="preserve">-0.004</w:t>
            </w:r>
          </w:p>
        </w:tc>
        <w:tc>
          <w:tcPr/>
          <w:p>
            <w:pPr>
              <w:pStyle w:val="Compact"/>
              <w:jc w:val="left"/>
            </w:pPr>
            <w:r>
              <w:t xml:space="preserve">-0.000</w:t>
            </w:r>
          </w:p>
        </w:tc>
        <w:tc>
          <w:tcPr/>
          <w:p>
            <w:pPr>
              <w:pStyle w:val="Compact"/>
              <w:jc w:val="left"/>
            </w:pPr>
            <w:r>
              <w:t xml:space="preserve">0.002</w:t>
            </w:r>
          </w:p>
        </w:tc>
        <w:tc>
          <w:tcPr/>
          <w:p>
            <w:pPr>
              <w:pStyle w:val="Compact"/>
              <w:jc w:val="left"/>
            </w:pPr>
            <w:r>
              <w:t xml:space="preserve">0.006</w:t>
            </w:r>
          </w:p>
        </w:tc>
        <w:tc>
          <w:tcPr/>
          <w:p>
            <w:pPr>
              <w:pStyle w:val="Compact"/>
              <w:jc w:val="left"/>
            </w:pPr>
            <w:r>
              <w:t xml:space="preserve">0.002</w:t>
            </w:r>
          </w:p>
        </w:tc>
        <w:tc>
          <w:tcPr/>
          <w:p>
            <w:pPr>
              <w:pStyle w:val="Compact"/>
              <w:jc w:val="left"/>
            </w:pPr>
            <w:r>
              <w:t xml:space="preserve">0.007</w:t>
            </w:r>
          </w:p>
        </w:tc>
      </w:tr>
      <w:tr>
        <w:tc>
          <w:tcPr/>
          <w:p>
            <w:pPr>
              <w:pStyle w:val="Compact"/>
            </w:pPr>
          </w:p>
        </w:tc>
        <w:tc>
          <w:tcPr/>
          <w:p>
            <w:pPr>
              <w:pStyle w:val="Compact"/>
              <w:jc w:val="left"/>
            </w:pPr>
            <w:r>
              <w:t xml:space="preserve">(0.005)</w:t>
            </w:r>
          </w:p>
        </w:tc>
        <w:tc>
          <w:tcPr/>
          <w:p>
            <w:pPr>
              <w:pStyle w:val="Compact"/>
            </w:pPr>
          </w:p>
        </w:tc>
        <w:tc>
          <w:tcPr/>
          <w:p>
            <w:pPr>
              <w:pStyle w:val="Compact"/>
              <w:jc w:val="left"/>
            </w:pPr>
            <w:r>
              <w:t xml:space="preserve">(0.012)</w:t>
            </w:r>
          </w:p>
        </w:tc>
        <w:tc>
          <w:tcPr/>
          <w:p>
            <w:pPr>
              <w:pStyle w:val="Compact"/>
            </w:pPr>
          </w:p>
        </w:tc>
        <w:tc>
          <w:tcPr/>
          <w:p>
            <w:pPr>
              <w:pStyle w:val="Compact"/>
              <w:jc w:val="left"/>
            </w:pPr>
            <w:r>
              <w:t xml:space="preserve">(0.006)</w:t>
            </w:r>
          </w:p>
        </w:tc>
        <w:tc>
          <w:tcPr/>
          <w:p>
            <w:pPr>
              <w:pStyle w:val="Compact"/>
            </w:pPr>
          </w:p>
        </w:tc>
      </w:tr>
      <w:tr>
        <w:tc>
          <w:tcPr/>
          <w:p>
            <w:pPr>
              <w:pStyle w:val="Compact"/>
              <w:jc w:val="left"/>
            </w:pPr>
            <w:r>
              <w:t xml:space="preserve">Employed (first and third rows)</w:t>
            </w:r>
          </w:p>
        </w:tc>
        <w:tc>
          <w:tcPr/>
          <w:p>
            <w:pPr>
              <w:pStyle w:val="Compact"/>
              <w:jc w:val="left"/>
            </w:pPr>
            <w:r>
              <w:t xml:space="preserve">-0.001</w:t>
            </w:r>
          </w:p>
        </w:tc>
        <w:tc>
          <w:tcPr/>
          <w:p>
            <w:pPr>
              <w:pStyle w:val="Compact"/>
              <w:jc w:val="left"/>
            </w:pPr>
            <w:r>
              <w:t xml:space="preserve">-0.009</w:t>
            </w:r>
          </w:p>
        </w:tc>
        <w:tc>
          <w:tcPr/>
          <w:p>
            <w:pPr>
              <w:pStyle w:val="Compact"/>
              <w:jc w:val="left"/>
            </w:pPr>
            <w:r>
              <w:t xml:space="preserve">0.011</w:t>
            </w:r>
          </w:p>
        </w:tc>
        <w:tc>
          <w:tcPr/>
          <w:p>
            <w:pPr>
              <w:pStyle w:val="Compact"/>
              <w:jc w:val="left"/>
            </w:pPr>
            <w:r>
              <w:t xml:space="preserve">-0.006</w:t>
            </w:r>
          </w:p>
        </w:tc>
        <w:tc>
          <w:tcPr/>
          <w:p>
            <w:pPr>
              <w:pStyle w:val="Compact"/>
              <w:jc w:val="left"/>
            </w:pPr>
            <w:r>
              <w:t xml:space="preserve">0.002</w:t>
            </w:r>
          </w:p>
        </w:tc>
        <w:tc>
          <w:tcPr/>
          <w:p>
            <w:pPr>
              <w:pStyle w:val="Compact"/>
              <w:jc w:val="left"/>
            </w:pPr>
            <w:r>
              <w:t xml:space="preserve">-0.012</w:t>
            </w:r>
          </w:p>
        </w:tc>
      </w:tr>
      <w:tr>
        <w:tc>
          <w:tcPr/>
          <w:p>
            <w:pPr>
              <w:pStyle w:val="Compact"/>
            </w:pPr>
          </w:p>
        </w:tc>
        <w:tc>
          <w:tcPr/>
          <w:p>
            <w:pPr>
              <w:pStyle w:val="Compact"/>
              <w:jc w:val="left"/>
            </w:pPr>
            <w:r>
              <w:t xml:space="preserve">(0.005)</w:t>
            </w:r>
          </w:p>
        </w:tc>
        <w:tc>
          <w:tcPr/>
          <w:p>
            <w:pPr>
              <w:pStyle w:val="Compact"/>
            </w:pPr>
          </w:p>
        </w:tc>
        <w:tc>
          <w:tcPr/>
          <w:p>
            <w:pPr>
              <w:pStyle w:val="Compact"/>
              <w:jc w:val="left"/>
            </w:pPr>
            <w:r>
              <w:t xml:space="preserve">(0.008)</w:t>
            </w:r>
          </w:p>
        </w:tc>
        <w:tc>
          <w:tcPr/>
          <w:p>
            <w:pPr>
              <w:pStyle w:val="Compact"/>
            </w:pPr>
          </w:p>
        </w:tc>
        <w:tc>
          <w:tcPr/>
          <w:p>
            <w:pPr>
              <w:pStyle w:val="Compact"/>
              <w:jc w:val="left"/>
            </w:pPr>
            <w:r>
              <w:t xml:space="preserve">(0.004)</w:t>
            </w:r>
          </w:p>
        </w:tc>
        <w:tc>
          <w:tcPr/>
          <w:p>
            <w:pPr>
              <w:pStyle w:val="Compact"/>
            </w:pPr>
          </w:p>
        </w:tc>
      </w:tr>
    </w:tbl>
    <w:p>
      <w:pPr>
        <w:pStyle w:val="BodyText"/>
      </w:pPr>
      <w:r>
        <w:t xml:space="preserve">Notes: Family income is the CPS household income category, nominal; teens with missing or refused income (7 percent) are excluded. Post, Pre and standard errors as in Table 15.</w:t>
      </w:r>
    </w:p>
    <w:p>
      <w:pPr>
        <w:pStyle w:val="TableCaption"/>
      </w:pPr>
      <w:r>
        <w:t xml:space="preserve">Table 18: Effects of minimum wage increases on teen wages and earnings: post-event averages, 73 events from 2010</w:t>
      </w:r>
    </w:p>
    <w:tbl>
      <w:tblPr>
        <w:tblStyle w:val="Table"/>
        <w:tblW w:type="dxa" w:w="9360"/>
        <w:tblLook w:firstRow="0" w:lastRow="0" w:firstColumn="0" w:lastColumn="0" w:noHBand="0" w:noVBand="0" w:val="0000"/>
        <w:jc w:val="start"/>
        <w:tblCaption w:val="Table 18: Effects of minimum wage increases on teen wages and earnings: post-event averages, 73 events from 2010"/>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r>
      <w:tr>
        <w:tc>
          <w:tcPr/>
          <w:p>
            <w:pPr>
              <w:pStyle w:val="Compact"/>
              <w:jc w:val="left"/>
            </w:pPr>
            <w:r>
              <w:t xml:space="preserve">Log hourly wage, hourly-paid teens</w:t>
            </w:r>
          </w:p>
        </w:tc>
        <w:tc>
          <w:tcPr/>
          <w:p>
            <w:pPr>
              <w:pStyle w:val="Compact"/>
              <w:jc w:val="left"/>
            </w:pPr>
            <w:r>
              <w:t xml:space="preserve">0.053</w:t>
            </w:r>
            <w:r>
              <w:rPr>
                <w:vertAlign w:val="superscript"/>
              </w:rPr>
              <w:t xml:space="preserve">***</w:t>
            </w:r>
          </w:p>
        </w:tc>
        <w:tc>
          <w:tcPr/>
          <w:p>
            <w:pPr>
              <w:pStyle w:val="Compact"/>
              <w:jc w:val="left"/>
            </w:pPr>
            <w:r>
              <w:t xml:space="preserve">-0.005</w:t>
            </w:r>
          </w:p>
        </w:tc>
        <w:tc>
          <w:tcPr/>
          <w:p>
            <w:pPr>
              <w:pStyle w:val="Compact"/>
              <w:jc w:val="left"/>
            </w:pPr>
            <w:r>
              <w:t xml:space="preserve">0.030</w:t>
            </w:r>
            <w:r>
              <w:rPr>
                <w:vertAlign w:val="superscript"/>
              </w:rPr>
              <w:t xml:space="preserve">***</w:t>
            </w:r>
          </w:p>
        </w:tc>
        <w:tc>
          <w:tcPr/>
          <w:p>
            <w:pPr>
              <w:pStyle w:val="Compact"/>
              <w:jc w:val="left"/>
            </w:pPr>
            <w:r>
              <w:t xml:space="preserve">-0.000</w:t>
            </w:r>
          </w:p>
        </w:tc>
        <w:tc>
          <w:tcPr/>
          <w:p>
            <w:pPr>
              <w:pStyle w:val="Compact"/>
              <w:jc w:val="left"/>
            </w:pPr>
            <w:r>
              <w:t xml:space="preserve">0.038</w:t>
            </w:r>
            <w:r>
              <w:rPr>
                <w:vertAlign w:val="superscript"/>
              </w:rPr>
              <w:t xml:space="preserve">***</w:t>
            </w:r>
          </w:p>
        </w:tc>
        <w:tc>
          <w:tcPr/>
          <w:p>
            <w:pPr>
              <w:pStyle w:val="Compact"/>
              <w:jc w:val="left"/>
            </w:pPr>
            <w:r>
              <w:t xml:space="preserve">-0.003</w:t>
            </w:r>
          </w:p>
        </w:tc>
      </w:tr>
      <w:tr>
        <w:tc>
          <w:tcPr/>
          <w:p>
            <w:pPr>
              <w:pStyle w:val="Compact"/>
            </w:pPr>
          </w:p>
        </w:tc>
        <w:tc>
          <w:tcPr/>
          <w:p>
            <w:pPr>
              <w:pStyle w:val="Compact"/>
              <w:jc w:val="left"/>
            </w:pPr>
            <w:r>
              <w:t xml:space="preserve">(0.012)</w:t>
            </w:r>
          </w:p>
        </w:tc>
        <w:tc>
          <w:tcPr/>
          <w:p>
            <w:pPr>
              <w:pStyle w:val="Compact"/>
            </w:pPr>
          </w:p>
        </w:tc>
        <w:tc>
          <w:tcPr/>
          <w:p>
            <w:pPr>
              <w:pStyle w:val="Compact"/>
              <w:jc w:val="left"/>
            </w:pPr>
            <w:r>
              <w:t xml:space="preserve">(0.008)</w:t>
            </w:r>
          </w:p>
        </w:tc>
        <w:tc>
          <w:tcPr/>
          <w:p>
            <w:pPr>
              <w:pStyle w:val="Compact"/>
            </w:pPr>
          </w:p>
        </w:tc>
        <w:tc>
          <w:tcPr/>
          <w:p>
            <w:pPr>
              <w:pStyle w:val="Compact"/>
              <w:jc w:val="left"/>
            </w:pPr>
            <w:r>
              <w:t xml:space="preserve">(0.009)</w:t>
            </w:r>
          </w:p>
        </w:tc>
        <w:tc>
          <w:tcPr/>
          <w:p>
            <w:pPr>
              <w:pStyle w:val="Compact"/>
            </w:pPr>
          </w:p>
        </w:tc>
      </w:tr>
      <w:tr>
        <w:tc>
          <w:tcPr/>
          <w:p>
            <w:pPr>
              <w:pStyle w:val="Compact"/>
              <w:jc w:val="left"/>
            </w:pPr>
            <w:r>
              <w:t xml:space="preserve">Log weekly earnings, all teen workers</w:t>
            </w:r>
          </w:p>
        </w:tc>
        <w:tc>
          <w:tcPr/>
          <w:p>
            <w:pPr>
              <w:pStyle w:val="Compact"/>
              <w:jc w:val="left"/>
            </w:pPr>
            <w:r>
              <w:t xml:space="preserve">0.049</w:t>
            </w:r>
          </w:p>
        </w:tc>
        <w:tc>
          <w:tcPr/>
          <w:p>
            <w:pPr>
              <w:pStyle w:val="Compact"/>
              <w:jc w:val="left"/>
            </w:pPr>
            <w:r>
              <w:t xml:space="preserve">-0.007</w:t>
            </w:r>
          </w:p>
        </w:tc>
        <w:tc>
          <w:tcPr/>
          <w:p>
            <w:pPr>
              <w:pStyle w:val="Compact"/>
              <w:jc w:val="left"/>
            </w:pPr>
            <w:r>
              <w:t xml:space="preserve">0.042</w:t>
            </w:r>
            <w:r>
              <w:rPr>
                <w:vertAlign w:val="superscript"/>
              </w:rPr>
              <w:t xml:space="preserve">*</w:t>
            </w:r>
          </w:p>
        </w:tc>
        <w:tc>
          <w:tcPr/>
          <w:p>
            <w:pPr>
              <w:pStyle w:val="Compact"/>
              <w:jc w:val="left"/>
            </w:pPr>
            <w:r>
              <w:t xml:space="preserve">0.005</w:t>
            </w:r>
          </w:p>
        </w:tc>
        <w:tc>
          <w:tcPr/>
          <w:p>
            <w:pPr>
              <w:pStyle w:val="Compact"/>
              <w:jc w:val="left"/>
            </w:pPr>
            <w:r>
              <w:t xml:space="preserve">0.046</w:t>
            </w:r>
            <w:r>
              <w:rPr>
                <w:vertAlign w:val="superscript"/>
              </w:rPr>
              <w:t xml:space="preserve">*</w:t>
            </w:r>
          </w:p>
        </w:tc>
        <w:tc>
          <w:tcPr/>
          <w:p>
            <w:pPr>
              <w:pStyle w:val="Compact"/>
              <w:jc w:val="left"/>
            </w:pPr>
            <w:r>
              <w:t xml:space="preserve">-0.002</w:t>
            </w:r>
          </w:p>
        </w:tc>
      </w:tr>
      <w:tr>
        <w:tc>
          <w:tcPr/>
          <w:p>
            <w:pPr>
              <w:pStyle w:val="Compact"/>
            </w:pPr>
          </w:p>
        </w:tc>
        <w:tc>
          <w:tcPr/>
          <w:p>
            <w:pPr>
              <w:pStyle w:val="Compact"/>
              <w:jc w:val="left"/>
            </w:pPr>
            <w:r>
              <w:t xml:space="preserve">(0.032)</w:t>
            </w:r>
          </w:p>
        </w:tc>
        <w:tc>
          <w:tcPr/>
          <w:p>
            <w:pPr>
              <w:pStyle w:val="Compact"/>
            </w:pPr>
          </w:p>
        </w:tc>
        <w:tc>
          <w:tcPr/>
          <w:p>
            <w:pPr>
              <w:pStyle w:val="Compact"/>
              <w:jc w:val="left"/>
            </w:pPr>
            <w:r>
              <w:t xml:space="preserve">(0.024)</w:t>
            </w:r>
          </w:p>
        </w:tc>
        <w:tc>
          <w:tcPr/>
          <w:p>
            <w:pPr>
              <w:pStyle w:val="Compact"/>
            </w:pPr>
          </w:p>
        </w:tc>
        <w:tc>
          <w:tcPr/>
          <w:p>
            <w:pPr>
              <w:pStyle w:val="Compact"/>
              <w:jc w:val="left"/>
            </w:pPr>
            <w:r>
              <w:t xml:space="preserve">(0.024)</w:t>
            </w:r>
          </w:p>
        </w:tc>
        <w:tc>
          <w:tcPr/>
          <w:p>
            <w:pPr>
              <w:pStyle w:val="Compact"/>
            </w:pPr>
          </w:p>
        </w:tc>
      </w:tr>
    </w:tbl>
    <w:p>
      <w:pPr>
        <w:pStyle w:val="BodyText"/>
      </w:pPr>
      <w:r>
        <w:t xml:space="preserve">Notes: Outgoing rotation groups, earnings weights. Hourly wage among workers paid by the hour; weekly earnings among all workers. Block-bootstrap standard errors in parentheses.</w:t>
      </w:r>
    </w:p>
    <w:p>
      <w:pPr>
        <w:pStyle w:val="TableCaption"/>
      </w:pPr>
      <w:r>
        <w:t xml:space="preserve">Table 19: Effects on school–work status, girls: post-event averages</w:t>
      </w:r>
    </w:p>
    <w:tbl>
      <w:tblPr>
        <w:tblStyle w:val="Table"/>
        <w:tblW w:type="dxa" w:w="9360"/>
        <w:tblLook w:firstRow="0" w:lastRow="0" w:firstColumn="0" w:lastColumn="0" w:noHBand="0" w:noVBand="0" w:val="0000"/>
        <w:jc w:val="start"/>
        <w:tblCaption w:val="Table 19: Effects on school–work status, girls: post-event average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r>
      <w:tr>
        <w:tc>
          <w:tcPr/>
          <w:p>
            <w:pPr>
              <w:pStyle w:val="Compact"/>
              <w:jc w:val="left"/>
            </w:pPr>
            <w:r>
              <w:t xml:space="preserve">Enrolled and employed</w:t>
            </w:r>
          </w:p>
        </w:tc>
        <w:tc>
          <w:tcPr/>
          <w:p>
            <w:pPr>
              <w:pStyle w:val="Compact"/>
              <w:jc w:val="left"/>
            </w:pPr>
            <w:r>
              <w:t xml:space="preserve">-0.013</w:t>
            </w:r>
            <w:r>
              <w:rPr>
                <w:vertAlign w:val="superscript"/>
              </w:rPr>
              <w:t xml:space="preserve">***</w:t>
            </w:r>
          </w:p>
        </w:tc>
        <w:tc>
          <w:tcPr/>
          <w:p>
            <w:pPr>
              <w:pStyle w:val="Compact"/>
              <w:jc w:val="left"/>
            </w:pPr>
            <w:r>
              <w:t xml:space="preserve">0.000</w:t>
            </w:r>
          </w:p>
        </w:tc>
        <w:tc>
          <w:tcPr/>
          <w:p>
            <w:pPr>
              <w:pStyle w:val="Compact"/>
              <w:jc w:val="left"/>
            </w:pPr>
            <w:r>
              <w:t xml:space="preserve">0.008</w:t>
            </w:r>
          </w:p>
        </w:tc>
        <w:tc>
          <w:tcPr/>
          <w:p>
            <w:pPr>
              <w:pStyle w:val="Compact"/>
              <w:jc w:val="left"/>
            </w:pPr>
            <w:r>
              <w:t xml:space="preserve">0.014</w:t>
            </w:r>
          </w:p>
        </w:tc>
        <w:tc>
          <w:tcPr/>
          <w:p>
            <w:pPr>
              <w:pStyle w:val="Compact"/>
              <w:jc w:val="left"/>
            </w:pPr>
            <w:r>
              <w:t xml:space="preserve">-0.003</w:t>
            </w:r>
          </w:p>
        </w:tc>
        <w:tc>
          <w:tcPr/>
          <w:p>
            <w:pPr>
              <w:pStyle w:val="Compact"/>
              <w:jc w:val="left"/>
            </w:pPr>
            <w:r>
              <w:t xml:space="preserve">0.005</w:t>
            </w:r>
          </w:p>
        </w:tc>
      </w:tr>
      <w:tr>
        <w:tc>
          <w:tcPr/>
          <w:p>
            <w:pPr>
              <w:pStyle w:val="Compact"/>
            </w:pPr>
          </w:p>
        </w:tc>
        <w:tc>
          <w:tcPr/>
          <w:p>
            <w:pPr>
              <w:pStyle w:val="Compact"/>
              <w:jc w:val="left"/>
            </w:pPr>
            <w:r>
              <w:t xml:space="preserve">(0.005)</w:t>
            </w:r>
          </w:p>
        </w:tc>
        <w:tc>
          <w:tcPr/>
          <w:p>
            <w:pPr>
              <w:pStyle w:val="Compact"/>
            </w:pPr>
          </w:p>
        </w:tc>
        <w:tc>
          <w:tcPr/>
          <w:p>
            <w:pPr>
              <w:pStyle w:val="Compact"/>
              <w:jc w:val="left"/>
            </w:pPr>
            <w:r>
              <w:t xml:space="preserve">(0.010)</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Enrolled only</w:t>
            </w:r>
          </w:p>
        </w:tc>
        <w:tc>
          <w:tcPr/>
          <w:p>
            <w:pPr>
              <w:pStyle w:val="Compact"/>
              <w:jc w:val="left"/>
            </w:pPr>
            <w:r>
              <w:t xml:space="preserve">0.012</w:t>
            </w:r>
            <w:r>
              <w:rPr>
                <w:vertAlign w:val="superscript"/>
              </w:rPr>
              <w:t xml:space="preserve">*</w:t>
            </w:r>
          </w:p>
        </w:tc>
        <w:tc>
          <w:tcPr/>
          <w:p>
            <w:pPr>
              <w:pStyle w:val="Compact"/>
              <w:jc w:val="left"/>
            </w:pPr>
            <w:r>
              <w:t xml:space="preserve">0.001</w:t>
            </w:r>
          </w:p>
        </w:tc>
        <w:tc>
          <w:tcPr/>
          <w:p>
            <w:pPr>
              <w:pStyle w:val="Compact"/>
              <w:jc w:val="left"/>
            </w:pPr>
            <w:r>
              <w:t xml:space="preserve">0.005</w:t>
            </w:r>
          </w:p>
        </w:tc>
        <w:tc>
          <w:tcPr/>
          <w:p>
            <w:pPr>
              <w:pStyle w:val="Compact"/>
              <w:jc w:val="left"/>
            </w:pPr>
            <w:r>
              <w:t xml:space="preserve">0.018</w:t>
            </w:r>
          </w:p>
        </w:tc>
        <w:tc>
          <w:tcPr/>
          <w:p>
            <w:pPr>
              <w:pStyle w:val="Compact"/>
              <w:jc w:val="left"/>
            </w:pPr>
            <w:r>
              <w:t xml:space="preserve">0.012</w:t>
            </w:r>
            <w:r>
              <w:rPr>
                <w:vertAlign w:val="superscript"/>
              </w:rPr>
              <w:t xml:space="preserve">*</w:t>
            </w:r>
          </w:p>
        </w:tc>
        <w:tc>
          <w:tcPr/>
          <w:p>
            <w:pPr>
              <w:pStyle w:val="Compact"/>
              <w:jc w:val="left"/>
            </w:pPr>
            <w:r>
              <w:t xml:space="preserve">0.016</w:t>
            </w:r>
          </w:p>
        </w:tc>
      </w:tr>
      <w:tr>
        <w:tc>
          <w:tcPr/>
          <w:p>
            <w:pPr>
              <w:pStyle w:val="Compact"/>
            </w:pPr>
          </w:p>
        </w:tc>
        <w:tc>
          <w:tcPr/>
          <w:p>
            <w:pPr>
              <w:pStyle w:val="Compact"/>
              <w:jc w:val="left"/>
            </w:pPr>
            <w:r>
              <w:t xml:space="preserve">(0.007)</w:t>
            </w:r>
          </w:p>
        </w:tc>
        <w:tc>
          <w:tcPr/>
          <w:p>
            <w:pPr>
              <w:pStyle w:val="Compact"/>
            </w:pPr>
          </w:p>
        </w:tc>
        <w:tc>
          <w:tcPr/>
          <w:p>
            <w:pPr>
              <w:pStyle w:val="Compact"/>
              <w:jc w:val="left"/>
            </w:pPr>
            <w:r>
              <w:t xml:space="preserve">(0.009)</w:t>
            </w:r>
          </w:p>
        </w:tc>
        <w:tc>
          <w:tcPr/>
          <w:p>
            <w:pPr>
              <w:pStyle w:val="Compact"/>
            </w:pPr>
          </w:p>
        </w:tc>
        <w:tc>
          <w:tcPr/>
          <w:p>
            <w:pPr>
              <w:pStyle w:val="Compact"/>
              <w:jc w:val="left"/>
            </w:pPr>
            <w:r>
              <w:t xml:space="preserve">(0.007)</w:t>
            </w:r>
          </w:p>
        </w:tc>
        <w:tc>
          <w:tcPr/>
          <w:p>
            <w:pPr>
              <w:pStyle w:val="Compact"/>
            </w:pPr>
          </w:p>
        </w:tc>
      </w:tr>
      <w:tr>
        <w:tc>
          <w:tcPr/>
          <w:p>
            <w:pPr>
              <w:pStyle w:val="Compact"/>
              <w:jc w:val="left"/>
            </w:pPr>
            <w:r>
              <w:t xml:space="preserve">Employed only</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-0.002</w:t>
            </w:r>
          </w:p>
        </w:tc>
        <w:tc>
          <w:tcPr/>
          <w:p>
            <w:pPr>
              <w:pStyle w:val="Compact"/>
              <w:jc w:val="left"/>
            </w:pPr>
            <w:r>
              <w:t xml:space="preserve">-0.018</w:t>
            </w:r>
          </w:p>
        </w:tc>
        <w:tc>
          <w:tcPr/>
          <w:p>
            <w:pPr>
              <w:pStyle w:val="Compact"/>
              <w:jc w:val="left"/>
            </w:pPr>
            <w:r>
              <w:t xml:space="preserve">-0.003</w:t>
            </w:r>
          </w:p>
        </w:tc>
        <w:tc>
          <w:tcPr/>
          <w:p>
            <w:pPr>
              <w:pStyle w:val="Compact"/>
              <w:jc w:val="left"/>
            </w:pPr>
            <w:r>
              <w:t xml:space="preserve">-0.012</w:t>
            </w:r>
          </w:p>
        </w:tc>
      </w:tr>
      <w:tr>
        <w:tc>
          <w:tcPr/>
          <w:p>
            <w:pPr>
              <w:pStyle w:val="Compact"/>
            </w:pPr>
          </w:p>
        </w:tc>
        <w:tc>
          <w:tcPr/>
          <w:p>
            <w:pPr>
              <w:pStyle w:val="Compact"/>
              <w:jc w:val="left"/>
            </w:pPr>
            <w:r>
              <w:t xml:space="preserve">(0.003)</w:t>
            </w:r>
          </w:p>
        </w:tc>
        <w:tc>
          <w:tcPr/>
          <w:p>
            <w:pPr>
              <w:pStyle w:val="Compact"/>
            </w:pPr>
          </w:p>
        </w:tc>
        <w:tc>
          <w:tcPr/>
          <w:p>
            <w:pPr>
              <w:pStyle w:val="Compact"/>
              <w:jc w:val="left"/>
            </w:pPr>
            <w:r>
              <w:t xml:space="preserve">(0.009)</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Neither enrolled nor employed</w:t>
            </w:r>
          </w:p>
        </w:tc>
        <w:tc>
          <w:tcPr/>
          <w:p>
            <w:pPr>
              <w:pStyle w:val="Compact"/>
              <w:jc w:val="left"/>
            </w:pPr>
            <w:r>
              <w:t xml:space="preserve">0.001</w:t>
            </w:r>
          </w:p>
        </w:tc>
        <w:tc>
          <w:tcPr/>
          <w:p>
            <w:pPr>
              <w:pStyle w:val="Compact"/>
              <w:jc w:val="left"/>
            </w:pPr>
            <w:r>
              <w:t xml:space="preserve">-0.002</w:t>
            </w:r>
          </w:p>
        </w:tc>
        <w:tc>
          <w:tcPr/>
          <w:p>
            <w:pPr>
              <w:pStyle w:val="Compact"/>
              <w:jc w:val="left"/>
            </w:pPr>
            <w:r>
              <w:t xml:space="preserve">-0.011</w:t>
            </w:r>
          </w:p>
        </w:tc>
        <w:tc>
          <w:tcPr/>
          <w:p>
            <w:pPr>
              <w:pStyle w:val="Compact"/>
              <w:jc w:val="left"/>
            </w:pPr>
            <w:r>
              <w:t xml:space="preserve">-0.014</w:t>
            </w:r>
          </w:p>
        </w:tc>
        <w:tc>
          <w:tcPr/>
          <w:p>
            <w:pPr>
              <w:pStyle w:val="Compact"/>
              <w:jc w:val="left"/>
            </w:pPr>
            <w:r>
              <w:t xml:space="preserve">-0.005</w:t>
            </w:r>
          </w:p>
        </w:tc>
        <w:tc>
          <w:tcPr/>
          <w:p>
            <w:pPr>
              <w:pStyle w:val="Compact"/>
              <w:jc w:val="left"/>
            </w:pPr>
            <w:r>
              <w:t xml:space="preserve">-0.009</w:t>
            </w:r>
          </w:p>
        </w:tc>
      </w:tr>
      <w:tr>
        <w:tc>
          <w:tcPr/>
          <w:p>
            <w:pPr>
              <w:pStyle w:val="Compact"/>
            </w:pPr>
          </w:p>
        </w:tc>
        <w:tc>
          <w:tcPr/>
          <w:p>
            <w:pPr>
              <w:pStyle w:val="Compact"/>
              <w:jc w:val="left"/>
            </w:pPr>
            <w:r>
              <w:t xml:space="preserve">(0.005)</w:t>
            </w:r>
          </w:p>
        </w:tc>
        <w:tc>
          <w:tcPr/>
          <w:p>
            <w:pPr>
              <w:pStyle w:val="Compact"/>
            </w:pPr>
          </w:p>
        </w:tc>
        <w:tc>
          <w:tcPr/>
          <w:p>
            <w:pPr>
              <w:pStyle w:val="Compact"/>
              <w:jc w:val="left"/>
            </w:pPr>
            <w:r>
              <w:t xml:space="preserve">(0.008)</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Enrolled (first two rows)</w:t>
            </w:r>
          </w:p>
        </w:tc>
        <w:tc>
          <w:tcPr/>
          <w:p>
            <w:pPr>
              <w:pStyle w:val="Compact"/>
              <w:jc w:val="left"/>
            </w:pPr>
            <w:r>
              <w:t xml:space="preserve">-0.001</w:t>
            </w:r>
          </w:p>
        </w:tc>
        <w:tc>
          <w:tcPr/>
          <w:p>
            <w:pPr>
              <w:pStyle w:val="Compact"/>
              <w:jc w:val="left"/>
            </w:pPr>
            <w:r>
              <w:t xml:space="preserve">0.002</w:t>
            </w:r>
          </w:p>
        </w:tc>
        <w:tc>
          <w:tcPr/>
          <w:p>
            <w:pPr>
              <w:pStyle w:val="Compact"/>
              <w:jc w:val="left"/>
            </w:pPr>
            <w:r>
              <w:t xml:space="preserve">0.013</w:t>
            </w:r>
          </w:p>
        </w:tc>
        <w:tc>
          <w:tcPr/>
          <w:p>
            <w:pPr>
              <w:pStyle w:val="Compact"/>
              <w:jc w:val="left"/>
            </w:pPr>
            <w:r>
              <w:t xml:space="preserve">0.032</w:t>
            </w:r>
          </w:p>
        </w:tc>
        <w:tc>
          <w:tcPr/>
          <w:p>
            <w:pPr>
              <w:pStyle w:val="Compact"/>
              <w:jc w:val="left"/>
            </w:pPr>
            <w:r>
              <w:t xml:space="preserve">0.008</w:t>
            </w:r>
          </w:p>
        </w:tc>
        <w:tc>
          <w:tcPr/>
          <w:p>
            <w:pPr>
              <w:pStyle w:val="Compact"/>
              <w:jc w:val="left"/>
            </w:pPr>
            <w:r>
              <w:t xml:space="preserve">0.020</w:t>
            </w:r>
          </w:p>
        </w:tc>
      </w:tr>
      <w:tr>
        <w:tc>
          <w:tcPr/>
          <w:p>
            <w:pPr>
              <w:pStyle w:val="Compact"/>
            </w:pPr>
          </w:p>
        </w:tc>
        <w:tc>
          <w:tcPr/>
          <w:p>
            <w:pPr>
              <w:pStyle w:val="Compact"/>
              <w:jc w:val="left"/>
            </w:pPr>
            <w:r>
              <w:t xml:space="preserve">(0.005)</w:t>
            </w:r>
          </w:p>
        </w:tc>
        <w:tc>
          <w:tcPr/>
          <w:p>
            <w:pPr>
              <w:pStyle w:val="Compact"/>
            </w:pPr>
          </w:p>
        </w:tc>
        <w:tc>
          <w:tcPr/>
          <w:p>
            <w:pPr>
              <w:pStyle w:val="Compact"/>
              <w:jc w:val="left"/>
            </w:pPr>
            <w:r>
              <w:t xml:space="preserve">(0.011)</w:t>
            </w:r>
          </w:p>
        </w:tc>
        <w:tc>
          <w:tcPr/>
          <w:p>
            <w:pPr>
              <w:pStyle w:val="Compact"/>
            </w:pPr>
          </w:p>
        </w:tc>
        <w:tc>
          <w:tcPr/>
          <w:p>
            <w:pPr>
              <w:pStyle w:val="Compact"/>
              <w:jc w:val="left"/>
            </w:pPr>
            <w:r>
              <w:t xml:space="preserve">(0.007)</w:t>
            </w:r>
          </w:p>
        </w:tc>
        <w:tc>
          <w:tcPr/>
          <w:p>
            <w:pPr>
              <w:pStyle w:val="Compact"/>
            </w:pPr>
          </w:p>
        </w:tc>
      </w:tr>
      <w:tr>
        <w:tc>
          <w:tcPr/>
          <w:p>
            <w:pPr>
              <w:pStyle w:val="Compact"/>
              <w:jc w:val="left"/>
            </w:pPr>
            <w:r>
              <w:t xml:space="preserve">Employed (first and third rows)</w:t>
            </w:r>
          </w:p>
        </w:tc>
        <w:tc>
          <w:tcPr/>
          <w:p>
            <w:pPr>
              <w:pStyle w:val="Compact"/>
              <w:jc w:val="left"/>
            </w:pPr>
            <w:r>
              <w:t xml:space="preserve">-0.013</w:t>
            </w:r>
            <w:r>
              <w:rPr>
                <w:vertAlign w:val="superscript"/>
              </w:rPr>
              <w:t xml:space="preserve">***</w:t>
            </w:r>
          </w:p>
        </w:tc>
        <w:tc>
          <w:tcPr/>
          <w:p>
            <w:pPr>
              <w:pStyle w:val="Compact"/>
              <w:jc w:val="left"/>
            </w:pPr>
            <w:r>
              <w:t xml:space="preserve">0.000</w:t>
            </w:r>
          </w:p>
        </w:tc>
        <w:tc>
          <w:tcPr/>
          <w:p>
            <w:pPr>
              <w:pStyle w:val="Compact"/>
              <w:jc w:val="left"/>
            </w:pPr>
            <w:r>
              <w:t xml:space="preserve">0.007</w:t>
            </w:r>
          </w:p>
        </w:tc>
        <w:tc>
          <w:tcPr/>
          <w:p>
            <w:pPr>
              <w:pStyle w:val="Compact"/>
              <w:jc w:val="left"/>
            </w:pPr>
            <w:r>
              <w:t xml:space="preserve">-0.004</w:t>
            </w:r>
          </w:p>
        </w:tc>
        <w:tc>
          <w:tcPr/>
          <w:p>
            <w:pPr>
              <w:pStyle w:val="Compact"/>
              <w:jc w:val="left"/>
            </w:pPr>
            <w:r>
              <w:t xml:space="preserve">-0.006</w:t>
            </w:r>
          </w:p>
        </w:tc>
        <w:tc>
          <w:tcPr/>
          <w:p>
            <w:pPr>
              <w:pStyle w:val="Compact"/>
              <w:jc w:val="left"/>
            </w:pPr>
            <w:r>
              <w:t xml:space="preserve">-0.007</w:t>
            </w:r>
          </w:p>
        </w:tc>
      </w:tr>
      <w:tr>
        <w:tc>
          <w:tcPr/>
          <w:p>
            <w:pPr>
              <w:pStyle w:val="Compact"/>
            </w:pPr>
          </w:p>
        </w:tc>
        <w:tc>
          <w:tcPr/>
          <w:p>
            <w:pPr>
              <w:pStyle w:val="Compact"/>
              <w:jc w:val="left"/>
            </w:pPr>
            <w:r>
              <w:t xml:space="preserve">(0.005)</w:t>
            </w:r>
          </w:p>
        </w:tc>
        <w:tc>
          <w:tcPr/>
          <w:p>
            <w:pPr>
              <w:pStyle w:val="Compact"/>
            </w:pPr>
          </w:p>
        </w:tc>
        <w:tc>
          <w:tcPr/>
          <w:p>
            <w:pPr>
              <w:pStyle w:val="Compact"/>
              <w:jc w:val="left"/>
            </w:pPr>
            <w:r>
              <w:t xml:space="preserve">(0.011)</w:t>
            </w:r>
          </w:p>
        </w:tc>
        <w:tc>
          <w:tcPr/>
          <w:p>
            <w:pPr>
              <w:pStyle w:val="Compact"/>
            </w:pPr>
          </w:p>
        </w:tc>
        <w:tc>
          <w:tcPr/>
          <w:p>
            <w:pPr>
              <w:pStyle w:val="Compact"/>
              <w:jc w:val="left"/>
            </w:pPr>
            <w:r>
              <w:t xml:space="preserve">(0.006)</w:t>
            </w:r>
          </w:p>
        </w:tc>
        <w:tc>
          <w:tcPr/>
          <w:p>
            <w:pPr>
              <w:pStyle w:val="Compact"/>
            </w:pPr>
          </w:p>
        </w:tc>
      </w:tr>
    </w:tbl>
    <w:p>
      <w:pPr>
        <w:pStyle w:val="BodyText"/>
      </w:pPr>
      <w:r>
        <w:t xml:space="preserve">Notes: Post, Pre and standard errors as in Table 15.</w:t>
      </w:r>
    </w:p>
    <w:p>
      <w:pPr>
        <w:pStyle w:val="TableCaption"/>
      </w:pPr>
      <w:r>
        <w:t xml:space="preserve">Table 20: Effects on school–work status, boys: post-event averages</w:t>
      </w:r>
    </w:p>
    <w:tbl>
      <w:tblPr>
        <w:tblStyle w:val="Table"/>
        <w:tblW w:type="dxa" w:w="9360"/>
        <w:tblLook w:firstRow="0" w:lastRow="0" w:firstColumn="0" w:lastColumn="0" w:noHBand="0" w:noVBand="0" w:val="0000"/>
        <w:jc w:val="start"/>
        <w:tblCaption w:val="Table 20: Effects on school–work status, boys: post-event average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r>
      <w:tr>
        <w:tc>
          <w:tcPr/>
          <w:p>
            <w:pPr>
              <w:pStyle w:val="Compact"/>
              <w:jc w:val="left"/>
            </w:pPr>
            <w:r>
              <w:t xml:space="preserve">Enrolled and employed</w:t>
            </w:r>
          </w:p>
        </w:tc>
        <w:tc>
          <w:tcPr/>
          <w:p>
            <w:pPr>
              <w:pStyle w:val="Compact"/>
              <w:jc w:val="left"/>
            </w:pPr>
            <w:r>
              <w:t xml:space="preserve">0.008</w:t>
            </w:r>
          </w:p>
        </w:tc>
        <w:tc>
          <w:tcPr/>
          <w:p>
            <w:pPr>
              <w:pStyle w:val="Compact"/>
              <w:jc w:val="left"/>
            </w:pPr>
            <w:r>
              <w:t xml:space="preserve">-0.005</w:t>
            </w:r>
          </w:p>
        </w:tc>
        <w:tc>
          <w:tcPr/>
          <w:p>
            <w:pPr>
              <w:pStyle w:val="Compact"/>
              <w:jc w:val="left"/>
            </w:pPr>
            <w:r>
              <w:t xml:space="preserve">0.005</w:t>
            </w:r>
          </w:p>
        </w:tc>
        <w:tc>
          <w:tcPr/>
          <w:p>
            <w:pPr>
              <w:pStyle w:val="Compact"/>
              <w:jc w:val="left"/>
            </w:pPr>
            <w:r>
              <w:t xml:space="preserve">-0.007</w:t>
            </w:r>
          </w:p>
        </w:tc>
        <w:tc>
          <w:tcPr/>
          <w:p>
            <w:pPr>
              <w:pStyle w:val="Compact"/>
              <w:jc w:val="left"/>
            </w:pPr>
            <w:r>
              <w:t xml:space="preserve">0.006</w:t>
            </w:r>
          </w:p>
        </w:tc>
        <w:tc>
          <w:tcPr/>
          <w:p>
            <w:pPr>
              <w:pStyle w:val="Compact"/>
              <w:jc w:val="left"/>
            </w:pPr>
            <w:r>
              <w:t xml:space="preserve">-0.006</w:t>
            </w:r>
          </w:p>
        </w:tc>
      </w:tr>
      <w:tr>
        <w:tc>
          <w:tcPr/>
          <w:p>
            <w:pPr>
              <w:pStyle w:val="Compact"/>
            </w:pPr>
          </w:p>
        </w:tc>
        <w:tc>
          <w:tcPr/>
          <w:p>
            <w:pPr>
              <w:pStyle w:val="Compact"/>
              <w:jc w:val="left"/>
            </w:pPr>
            <w:r>
              <w:t xml:space="preserve">(0.010)</w:t>
            </w:r>
          </w:p>
        </w:tc>
        <w:tc>
          <w:tcPr/>
          <w:p>
            <w:pPr>
              <w:pStyle w:val="Compact"/>
            </w:pPr>
          </w:p>
        </w:tc>
        <w:tc>
          <w:tcPr/>
          <w:p>
            <w:pPr>
              <w:pStyle w:val="Compact"/>
              <w:jc w:val="left"/>
            </w:pPr>
            <w:r>
              <w:t xml:space="preserve">(0.007)</w:t>
            </w:r>
          </w:p>
        </w:tc>
        <w:tc>
          <w:tcPr/>
          <w:p>
            <w:pPr>
              <w:pStyle w:val="Compact"/>
            </w:pPr>
          </w:p>
        </w:tc>
        <w:tc>
          <w:tcPr/>
          <w:p>
            <w:pPr>
              <w:pStyle w:val="Compact"/>
              <w:jc w:val="left"/>
            </w:pPr>
            <w:r>
              <w:t xml:space="preserve">(0.007)</w:t>
            </w:r>
          </w:p>
        </w:tc>
        <w:tc>
          <w:tcPr/>
          <w:p>
            <w:pPr>
              <w:pStyle w:val="Compact"/>
            </w:pPr>
          </w:p>
        </w:tc>
      </w:tr>
      <w:tr>
        <w:tc>
          <w:tcPr/>
          <w:p>
            <w:pPr>
              <w:pStyle w:val="Compact"/>
              <w:jc w:val="left"/>
            </w:pPr>
            <w:r>
              <w:t xml:space="preserve">Enrolled only</w:t>
            </w:r>
          </w:p>
        </w:tc>
        <w:tc>
          <w:tcPr/>
          <w:p>
            <w:pPr>
              <w:pStyle w:val="Compact"/>
              <w:jc w:val="left"/>
            </w:pPr>
            <w:r>
              <w:t xml:space="preserve">-0.012</w:t>
            </w:r>
          </w:p>
        </w:tc>
        <w:tc>
          <w:tcPr/>
          <w:p>
            <w:pPr>
              <w:pStyle w:val="Compact"/>
              <w:jc w:val="left"/>
            </w:pPr>
            <w:r>
              <w:t xml:space="preserve">0.001</w:t>
            </w:r>
          </w:p>
        </w:tc>
        <w:tc>
          <w:tcPr/>
          <w:p>
            <w:pPr>
              <w:pStyle w:val="Compact"/>
              <w:jc w:val="left"/>
            </w:pPr>
            <w:r>
              <w:t xml:space="preserve">-0.016</w:t>
            </w:r>
            <w:r>
              <w:rPr>
                <w:vertAlign w:val="superscript"/>
              </w:rPr>
              <w:t xml:space="preserve">*</w:t>
            </w:r>
          </w:p>
        </w:tc>
        <w:tc>
          <w:tcPr/>
          <w:p>
            <w:pPr>
              <w:pStyle w:val="Compact"/>
              <w:jc w:val="left"/>
            </w:pPr>
            <w:r>
              <w:t xml:space="preserve">-0.014</w:t>
            </w:r>
          </w:p>
        </w:tc>
        <w:tc>
          <w:tcPr/>
          <w:p>
            <w:pPr>
              <w:pStyle w:val="Compact"/>
              <w:jc w:val="left"/>
            </w:pPr>
            <w:r>
              <w:t xml:space="preserve">-0.014</w:t>
            </w:r>
            <w:r>
              <w:rPr>
                <w:vertAlign w:val="superscript"/>
              </w:rPr>
              <w:t xml:space="preserve">***</w:t>
            </w:r>
          </w:p>
        </w:tc>
        <w:tc>
          <w:tcPr/>
          <w:p>
            <w:pPr>
              <w:pStyle w:val="Compact"/>
              <w:jc w:val="left"/>
            </w:pPr>
            <w:r>
              <w:t xml:space="preserve">-0.005</w:t>
            </w:r>
          </w:p>
        </w:tc>
      </w:tr>
      <w:tr>
        <w:tc>
          <w:tcPr/>
          <w:p>
            <w:pPr>
              <w:pStyle w:val="Compact"/>
            </w:pPr>
          </w:p>
        </w:tc>
        <w:tc>
          <w:tcPr/>
          <w:p>
            <w:pPr>
              <w:pStyle w:val="Compact"/>
              <w:jc w:val="left"/>
            </w:pPr>
            <w:r>
              <w:t xml:space="preserve">(0.010)</w:t>
            </w:r>
          </w:p>
        </w:tc>
        <w:tc>
          <w:tcPr/>
          <w:p>
            <w:pPr>
              <w:pStyle w:val="Compact"/>
            </w:pPr>
          </w:p>
        </w:tc>
        <w:tc>
          <w:tcPr/>
          <w:p>
            <w:pPr>
              <w:pStyle w:val="Compact"/>
              <w:jc w:val="left"/>
            </w:pPr>
            <w:r>
              <w:t xml:space="preserve">(0.009)</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Employed only</w:t>
            </w:r>
          </w:p>
        </w:tc>
        <w:tc>
          <w:tcPr/>
          <w:p>
            <w:pPr>
              <w:pStyle w:val="Compact"/>
              <w:jc w:val="left"/>
            </w:pPr>
            <w:r>
              <w:t xml:space="preserve">0.004</w:t>
            </w:r>
          </w:p>
        </w:tc>
        <w:tc>
          <w:tcPr/>
          <w:p>
            <w:pPr>
              <w:pStyle w:val="Compact"/>
              <w:jc w:val="left"/>
            </w:pPr>
            <w:r>
              <w:t xml:space="preserve">-0.003</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0.006</w:t>
            </w:r>
          </w:p>
        </w:tc>
        <w:tc>
          <w:tcPr/>
          <w:p>
            <w:pPr>
              <w:pStyle w:val="Compact"/>
              <w:jc w:val="left"/>
            </w:pPr>
            <w:r>
              <w:t xml:space="preserve">0.003</w:t>
            </w:r>
          </w:p>
        </w:tc>
      </w:tr>
      <w:tr>
        <w:tc>
          <w:tcPr/>
          <w:p>
            <w:pPr>
              <w:pStyle w:val="Compact"/>
            </w:pPr>
          </w:p>
        </w:tc>
        <w:tc>
          <w:tcPr/>
          <w:p>
            <w:pPr>
              <w:pStyle w:val="Compact"/>
              <w:jc w:val="left"/>
            </w:pPr>
            <w:r>
              <w:t xml:space="preserve">(0.005)</w:t>
            </w:r>
          </w:p>
        </w:tc>
        <w:tc>
          <w:tcPr/>
          <w:p>
            <w:pPr>
              <w:pStyle w:val="Compact"/>
            </w:pPr>
          </w:p>
        </w:tc>
        <w:tc>
          <w:tcPr/>
          <w:p>
            <w:pPr>
              <w:pStyle w:val="Compact"/>
              <w:jc w:val="left"/>
            </w:pPr>
            <w:r>
              <w:t xml:space="preserve">(0.009)</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Neither enrolled nor employed</w:t>
            </w:r>
          </w:p>
        </w:tc>
        <w:tc>
          <w:tcPr/>
          <w:p>
            <w:pPr>
              <w:pStyle w:val="Compact"/>
              <w:jc w:val="left"/>
            </w:pPr>
            <w:r>
              <w:t xml:space="preserve">0.000</w:t>
            </w:r>
          </w:p>
        </w:tc>
        <w:tc>
          <w:tcPr/>
          <w:p>
            <w:pPr>
              <w:pStyle w:val="Compact"/>
              <w:jc w:val="left"/>
            </w:pPr>
            <w:r>
              <w:t xml:space="preserve">0.007</w:t>
            </w:r>
          </w:p>
        </w:tc>
        <w:tc>
          <w:tcPr/>
          <w:p>
            <w:pPr>
              <w:pStyle w:val="Compact"/>
              <w:jc w:val="left"/>
            </w:pPr>
            <w:r>
              <w:t xml:space="preserve">0.001</w:t>
            </w:r>
          </w:p>
        </w:tc>
        <w:tc>
          <w:tcPr/>
          <w:p>
            <w:pPr>
              <w:pStyle w:val="Compact"/>
              <w:jc w:val="left"/>
            </w:pPr>
            <w:r>
              <w:t xml:space="preserve">0.011</w:t>
            </w:r>
          </w:p>
        </w:tc>
        <w:tc>
          <w:tcPr/>
          <w:p>
            <w:pPr>
              <w:pStyle w:val="Compact"/>
              <w:jc w:val="left"/>
            </w:pPr>
            <w:r>
              <w:t xml:space="preserve">0.001</w:t>
            </w:r>
          </w:p>
        </w:tc>
        <w:tc>
          <w:tcPr/>
          <w:p>
            <w:pPr>
              <w:pStyle w:val="Compact"/>
              <w:jc w:val="left"/>
            </w:pPr>
            <w:r>
              <w:t xml:space="preserve">0.008</w:t>
            </w:r>
          </w:p>
        </w:tc>
      </w:tr>
      <w:tr>
        <w:tc>
          <w:tcPr/>
          <w:p>
            <w:pPr>
              <w:pStyle w:val="Compact"/>
            </w:pPr>
          </w:p>
        </w:tc>
        <w:tc>
          <w:tcPr/>
          <w:p>
            <w:pPr>
              <w:pStyle w:val="Compact"/>
              <w:jc w:val="left"/>
            </w:pPr>
            <w:r>
              <w:t xml:space="preserve">(0.004)</w:t>
            </w:r>
          </w:p>
        </w:tc>
        <w:tc>
          <w:tcPr/>
          <w:p>
            <w:pPr>
              <w:pStyle w:val="Compact"/>
            </w:pPr>
          </w:p>
        </w:tc>
        <w:tc>
          <w:tcPr/>
          <w:p>
            <w:pPr>
              <w:pStyle w:val="Compact"/>
              <w:jc w:val="left"/>
            </w:pPr>
            <w:r>
              <w:t xml:space="preserve">(0.006)</w:t>
            </w:r>
          </w:p>
        </w:tc>
        <w:tc>
          <w:tcPr/>
          <w:p>
            <w:pPr>
              <w:pStyle w:val="Compact"/>
            </w:pPr>
          </w:p>
        </w:tc>
        <w:tc>
          <w:tcPr/>
          <w:p>
            <w:pPr>
              <w:pStyle w:val="Compact"/>
              <w:jc w:val="left"/>
            </w:pPr>
            <w:r>
              <w:t xml:space="preserve">(0.003)</w:t>
            </w:r>
          </w:p>
        </w:tc>
        <w:tc>
          <w:tcPr/>
          <w:p>
            <w:pPr>
              <w:pStyle w:val="Compact"/>
            </w:pPr>
          </w:p>
        </w:tc>
      </w:tr>
      <w:tr>
        <w:tc>
          <w:tcPr/>
          <w:p>
            <w:pPr>
              <w:pStyle w:val="Compact"/>
              <w:jc w:val="left"/>
            </w:pPr>
            <w:r>
              <w:t xml:space="preserve">Enrolled (first two rows)</w:t>
            </w:r>
          </w:p>
        </w:tc>
        <w:tc>
          <w:tcPr/>
          <w:p>
            <w:pPr>
              <w:pStyle w:val="Compact"/>
              <w:jc w:val="left"/>
            </w:pPr>
            <w:r>
              <w:t xml:space="preserve">-0.004</w:t>
            </w:r>
          </w:p>
        </w:tc>
        <w:tc>
          <w:tcPr/>
          <w:p>
            <w:pPr>
              <w:pStyle w:val="Compact"/>
              <w:jc w:val="left"/>
            </w:pPr>
            <w:r>
              <w:t xml:space="preserve">-0.004</w:t>
            </w:r>
          </w:p>
        </w:tc>
        <w:tc>
          <w:tcPr/>
          <w:p>
            <w:pPr>
              <w:pStyle w:val="Compact"/>
              <w:jc w:val="left"/>
            </w:pPr>
            <w:r>
              <w:t xml:space="preserve">-0.011</w:t>
            </w:r>
          </w:p>
        </w:tc>
        <w:tc>
          <w:tcPr/>
          <w:p>
            <w:pPr>
              <w:pStyle w:val="Compact"/>
              <w:jc w:val="left"/>
            </w:pPr>
            <w:r>
              <w:t xml:space="preserve">-0.020</w:t>
            </w:r>
          </w:p>
        </w:tc>
        <w:tc>
          <w:tcPr/>
          <w:p>
            <w:pPr>
              <w:pStyle w:val="Compact"/>
              <w:jc w:val="left"/>
            </w:pPr>
            <w:r>
              <w:t xml:space="preserve">-0.007</w:t>
            </w:r>
          </w:p>
        </w:tc>
        <w:tc>
          <w:tcPr/>
          <w:p>
            <w:pPr>
              <w:pStyle w:val="Compact"/>
              <w:jc w:val="left"/>
            </w:pPr>
            <w:r>
              <w:t xml:space="preserve">-0.011</w:t>
            </w:r>
          </w:p>
        </w:tc>
      </w:tr>
      <w:tr>
        <w:tc>
          <w:tcPr/>
          <w:p>
            <w:pPr>
              <w:pStyle w:val="Compact"/>
            </w:pPr>
          </w:p>
        </w:tc>
        <w:tc>
          <w:tcPr/>
          <w:p>
            <w:pPr>
              <w:pStyle w:val="Compact"/>
              <w:jc w:val="left"/>
            </w:pPr>
            <w:r>
              <w:t xml:space="preserve">(0.006)</w:t>
            </w:r>
          </w:p>
        </w:tc>
        <w:tc>
          <w:tcPr/>
          <w:p>
            <w:pPr>
              <w:pStyle w:val="Compact"/>
            </w:pPr>
          </w:p>
        </w:tc>
        <w:tc>
          <w:tcPr/>
          <w:p>
            <w:pPr>
              <w:pStyle w:val="Compact"/>
              <w:jc w:val="left"/>
            </w:pPr>
            <w:r>
              <w:t xml:space="preserve">(0.010)</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Employed (first and third rows)</w:t>
            </w:r>
          </w:p>
        </w:tc>
        <w:tc>
          <w:tcPr/>
          <w:p>
            <w:pPr>
              <w:pStyle w:val="Compact"/>
              <w:jc w:val="left"/>
            </w:pPr>
            <w:r>
              <w:t xml:space="preserve">0.012</w:t>
            </w:r>
          </w:p>
        </w:tc>
        <w:tc>
          <w:tcPr/>
          <w:p>
            <w:pPr>
              <w:pStyle w:val="Compact"/>
              <w:jc w:val="left"/>
            </w:pPr>
            <w:r>
              <w:t xml:space="preserve">-0.008</w:t>
            </w:r>
          </w:p>
        </w:tc>
        <w:tc>
          <w:tcPr/>
          <w:p>
            <w:pPr>
              <w:pStyle w:val="Compact"/>
              <w:jc w:val="left"/>
            </w:pPr>
            <w:r>
              <w:t xml:space="preserve">0.015</w:t>
            </w:r>
          </w:p>
        </w:tc>
        <w:tc>
          <w:tcPr/>
          <w:p>
            <w:pPr>
              <w:pStyle w:val="Compact"/>
              <w:jc w:val="left"/>
            </w:pPr>
            <w:r>
              <w:t xml:space="preserve">0.003</w:t>
            </w:r>
          </w:p>
        </w:tc>
        <w:tc>
          <w:tcPr/>
          <w:p>
            <w:pPr>
              <w:pStyle w:val="Compact"/>
              <w:jc w:val="left"/>
            </w:pPr>
            <w:r>
              <w:t xml:space="preserve">0.013</w:t>
            </w:r>
            <w:r>
              <w:rPr>
                <w:vertAlign w:val="superscript"/>
              </w:rPr>
              <w:t xml:space="preserve">**</w:t>
            </w:r>
          </w:p>
        </w:tc>
        <w:tc>
          <w:tcPr/>
          <w:p>
            <w:pPr>
              <w:pStyle w:val="Compact"/>
              <w:jc w:val="left"/>
            </w:pPr>
            <w:r>
              <w:t xml:space="preserve">-0.004</w:t>
            </w:r>
          </w:p>
        </w:tc>
      </w:tr>
      <w:tr>
        <w:tc>
          <w:tcPr/>
          <w:p>
            <w:pPr>
              <w:pStyle w:val="Compact"/>
            </w:pPr>
          </w:p>
        </w:tc>
        <w:tc>
          <w:tcPr/>
          <w:p>
            <w:pPr>
              <w:pStyle w:val="Compact"/>
              <w:jc w:val="left"/>
            </w:pPr>
            <w:r>
              <w:t xml:space="preserve">(0.009)</w:t>
            </w:r>
          </w:p>
        </w:tc>
        <w:tc>
          <w:tcPr/>
          <w:p>
            <w:pPr>
              <w:pStyle w:val="Compact"/>
            </w:pPr>
          </w:p>
        </w:tc>
        <w:tc>
          <w:tcPr/>
          <w:p>
            <w:pPr>
              <w:pStyle w:val="Compact"/>
              <w:jc w:val="left"/>
            </w:pPr>
            <w:r>
              <w:t xml:space="preserve">(0.009)</w:t>
            </w:r>
          </w:p>
        </w:tc>
        <w:tc>
          <w:tcPr/>
          <w:p>
            <w:pPr>
              <w:pStyle w:val="Compact"/>
            </w:pPr>
          </w:p>
        </w:tc>
        <w:tc>
          <w:tcPr/>
          <w:p>
            <w:pPr>
              <w:pStyle w:val="Compact"/>
              <w:jc w:val="left"/>
            </w:pPr>
            <w:r>
              <w:t xml:space="preserve">(0.006)</w:t>
            </w:r>
          </w:p>
        </w:tc>
        <w:tc>
          <w:tcPr/>
          <w:p>
            <w:pPr>
              <w:pStyle w:val="Compact"/>
            </w:pPr>
          </w:p>
        </w:tc>
      </w:tr>
    </w:tbl>
    <w:p>
      <w:pPr>
        <w:pStyle w:val="BodyText"/>
      </w:pPr>
      <w:r>
        <w:t xml:space="preserve">Notes: Post, Pre and standard errors as in Table 15.</w:t>
      </w:r>
    </w:p>
    <w:p>
      <w:pPr>
        <w:pStyle w:val="TableCaption"/>
      </w:pPr>
      <w:r>
        <w:t xml:space="preserve">Table 21: Effects on school–work status, non-Hispanic white teens: post-event averages</w:t>
      </w:r>
    </w:p>
    <w:tbl>
      <w:tblPr>
        <w:tblStyle w:val="Table"/>
        <w:tblW w:type="dxa" w:w="9360"/>
        <w:tblLook w:firstRow="0" w:lastRow="0" w:firstColumn="0" w:lastColumn="0" w:noHBand="0" w:noVBand="0" w:val="0000"/>
        <w:jc w:val="start"/>
        <w:tblCaption w:val="Table 21: Effects on school–work status, non-Hispanic white teens: post-event average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r>
      <w:tr>
        <w:tc>
          <w:tcPr/>
          <w:p>
            <w:pPr>
              <w:pStyle w:val="Compact"/>
              <w:jc w:val="left"/>
            </w:pPr>
            <w:r>
              <w:t xml:space="preserve">Enrolled and employed</w:t>
            </w:r>
          </w:p>
        </w:tc>
        <w:tc>
          <w:tcPr/>
          <w:p>
            <w:pPr>
              <w:pStyle w:val="Compact"/>
              <w:jc w:val="left"/>
            </w:pPr>
            <w:r>
              <w:t xml:space="preserve">0.003</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0.013</w:t>
            </w:r>
          </w:p>
        </w:tc>
        <w:tc>
          <w:tcPr/>
          <w:p>
            <w:pPr>
              <w:pStyle w:val="Compact"/>
              <w:jc w:val="left"/>
            </w:pPr>
            <w:r>
              <w:t xml:space="preserve">0.002</w:t>
            </w:r>
          </w:p>
        </w:tc>
        <w:tc>
          <w:tcPr/>
          <w:p>
            <w:pPr>
              <w:pStyle w:val="Compact"/>
              <w:jc w:val="left"/>
            </w:pPr>
            <w:r>
              <w:t xml:space="preserve">0.005</w:t>
            </w:r>
          </w:p>
        </w:tc>
      </w:tr>
      <w:tr>
        <w:tc>
          <w:tcPr/>
          <w:p>
            <w:pPr>
              <w:pStyle w:val="Compact"/>
            </w:pPr>
          </w:p>
        </w:tc>
        <w:tc>
          <w:tcPr/>
          <w:p>
            <w:pPr>
              <w:pStyle w:val="Compact"/>
              <w:jc w:val="left"/>
            </w:pPr>
            <w:r>
              <w:t xml:space="preserve">(0.007)</w:t>
            </w:r>
          </w:p>
        </w:tc>
        <w:tc>
          <w:tcPr/>
          <w:p>
            <w:pPr>
              <w:pStyle w:val="Compact"/>
            </w:pPr>
          </w:p>
        </w:tc>
        <w:tc>
          <w:tcPr/>
          <w:p>
            <w:pPr>
              <w:pStyle w:val="Compact"/>
              <w:jc w:val="left"/>
            </w:pPr>
            <w:r>
              <w:t xml:space="preserve">(0.010)</w:t>
            </w:r>
          </w:p>
        </w:tc>
        <w:tc>
          <w:tcPr/>
          <w:p>
            <w:pPr>
              <w:pStyle w:val="Compact"/>
            </w:pPr>
          </w:p>
        </w:tc>
        <w:tc>
          <w:tcPr/>
          <w:p>
            <w:pPr>
              <w:pStyle w:val="Compact"/>
              <w:jc w:val="left"/>
            </w:pPr>
            <w:r>
              <w:t xml:space="preserve">(0.006)</w:t>
            </w:r>
          </w:p>
        </w:tc>
        <w:tc>
          <w:tcPr/>
          <w:p>
            <w:pPr>
              <w:pStyle w:val="Compact"/>
            </w:pPr>
          </w:p>
        </w:tc>
      </w:tr>
      <w:tr>
        <w:tc>
          <w:tcPr/>
          <w:p>
            <w:pPr>
              <w:pStyle w:val="Compact"/>
              <w:jc w:val="left"/>
            </w:pPr>
            <w:r>
              <w:t xml:space="preserve">Enrolled only</w:t>
            </w:r>
          </w:p>
        </w:tc>
        <w:tc>
          <w:tcPr/>
          <w:p>
            <w:pPr>
              <w:pStyle w:val="Compact"/>
              <w:jc w:val="left"/>
            </w:pPr>
            <w:r>
              <w:t xml:space="preserve">-0.002</w:t>
            </w:r>
          </w:p>
        </w:tc>
        <w:tc>
          <w:tcPr/>
          <w:p>
            <w:pPr>
              <w:pStyle w:val="Compact"/>
              <w:jc w:val="left"/>
            </w:pPr>
            <w:r>
              <w:t xml:space="preserve">0.004</w:t>
            </w:r>
          </w:p>
        </w:tc>
        <w:tc>
          <w:tcPr/>
          <w:p>
            <w:pPr>
              <w:pStyle w:val="Compact"/>
              <w:jc w:val="left"/>
            </w:pPr>
            <w:r>
              <w:t xml:space="preserve">-0.009</w:t>
            </w:r>
          </w:p>
        </w:tc>
        <w:tc>
          <w:tcPr/>
          <w:p>
            <w:pPr>
              <w:pStyle w:val="Compact"/>
              <w:jc w:val="left"/>
            </w:pPr>
            <w:r>
              <w:t xml:space="preserve">-0.005</w:t>
            </w:r>
          </w:p>
        </w:tc>
        <w:tc>
          <w:tcPr/>
          <w:p>
            <w:pPr>
              <w:pStyle w:val="Compact"/>
              <w:jc w:val="left"/>
            </w:pPr>
            <w:r>
              <w:t xml:space="preserve">-0.004</w:t>
            </w:r>
          </w:p>
        </w:tc>
        <w:tc>
          <w:tcPr/>
          <w:p>
            <w:pPr>
              <w:pStyle w:val="Compact"/>
              <w:jc w:val="left"/>
            </w:pPr>
            <w:r>
              <w:t xml:space="preserve">0.002</w:t>
            </w:r>
          </w:p>
        </w:tc>
      </w:tr>
      <w:tr>
        <w:tc>
          <w:tcPr/>
          <w:p>
            <w:pPr>
              <w:pStyle w:val="Compact"/>
            </w:pPr>
          </w:p>
        </w:tc>
        <w:tc>
          <w:tcPr/>
          <w:p>
            <w:pPr>
              <w:pStyle w:val="Compact"/>
              <w:jc w:val="left"/>
            </w:pPr>
            <w:r>
              <w:t xml:space="preserve">(0.007)</w:t>
            </w:r>
          </w:p>
        </w:tc>
        <w:tc>
          <w:tcPr/>
          <w:p>
            <w:pPr>
              <w:pStyle w:val="Compact"/>
            </w:pPr>
          </w:p>
        </w:tc>
        <w:tc>
          <w:tcPr/>
          <w:p>
            <w:pPr>
              <w:pStyle w:val="Compact"/>
              <w:jc w:val="left"/>
            </w:pPr>
            <w:r>
              <w:t xml:space="preserve">(0.008)</w:t>
            </w:r>
          </w:p>
        </w:tc>
        <w:tc>
          <w:tcPr/>
          <w:p>
            <w:pPr>
              <w:pStyle w:val="Compact"/>
            </w:pPr>
          </w:p>
        </w:tc>
        <w:tc>
          <w:tcPr/>
          <w:p>
            <w:pPr>
              <w:pStyle w:val="Compact"/>
              <w:jc w:val="left"/>
            </w:pPr>
            <w:r>
              <w:t xml:space="preserve">(0.006)</w:t>
            </w:r>
          </w:p>
        </w:tc>
        <w:tc>
          <w:tcPr/>
          <w:p>
            <w:pPr>
              <w:pStyle w:val="Compact"/>
            </w:pPr>
          </w:p>
        </w:tc>
      </w:tr>
      <w:tr>
        <w:tc>
          <w:tcPr/>
          <w:p>
            <w:pPr>
              <w:pStyle w:val="Compact"/>
              <w:jc w:val="left"/>
            </w:pPr>
            <w:r>
              <w:t xml:space="preserve">Employed only</w:t>
            </w:r>
          </w:p>
        </w:tc>
        <w:tc>
          <w:tcPr/>
          <w:p>
            <w:pPr>
              <w:pStyle w:val="Compact"/>
              <w:jc w:val="left"/>
            </w:pPr>
            <w:r>
              <w:t xml:space="preserve">0.002</w:t>
            </w:r>
          </w:p>
        </w:tc>
        <w:tc>
          <w:tcPr/>
          <w:p>
            <w:pPr>
              <w:pStyle w:val="Compact"/>
              <w:jc w:val="left"/>
            </w:pPr>
            <w:r>
              <w:t xml:space="preserve">-0.001</w:t>
            </w:r>
          </w:p>
        </w:tc>
        <w:tc>
          <w:tcPr/>
          <w:p>
            <w:pPr>
              <w:pStyle w:val="Compact"/>
              <w:jc w:val="left"/>
            </w:pPr>
            <w:r>
              <w:t xml:space="preserve">0.006</w:t>
            </w:r>
          </w:p>
        </w:tc>
        <w:tc>
          <w:tcPr/>
          <w:p>
            <w:pPr>
              <w:pStyle w:val="Compact"/>
              <w:jc w:val="left"/>
            </w:pPr>
            <w:r>
              <w:t xml:space="preserve">-0.009</w:t>
            </w:r>
          </w:p>
        </w:tc>
        <w:tc>
          <w:tcPr/>
          <w:p>
            <w:pPr>
              <w:pStyle w:val="Compact"/>
              <w:jc w:val="left"/>
            </w:pPr>
            <w:r>
              <w:t xml:space="preserve">0.003</w:t>
            </w:r>
          </w:p>
        </w:tc>
        <w:tc>
          <w:tcPr/>
          <w:p>
            <w:pPr>
              <w:pStyle w:val="Compact"/>
              <w:jc w:val="left"/>
            </w:pPr>
            <w:r>
              <w:t xml:space="preserve">-0.007</w:t>
            </w:r>
          </w:p>
        </w:tc>
      </w:tr>
      <w:tr>
        <w:tc>
          <w:tcPr/>
          <w:p>
            <w:pPr>
              <w:pStyle w:val="Compact"/>
            </w:pPr>
          </w:p>
        </w:tc>
        <w:tc>
          <w:tcPr/>
          <w:p>
            <w:pPr>
              <w:pStyle w:val="Compact"/>
              <w:jc w:val="left"/>
            </w:pPr>
            <w:r>
              <w:t xml:space="preserve">(0.004)</w:t>
            </w:r>
          </w:p>
        </w:tc>
        <w:tc>
          <w:tcPr/>
          <w:p>
            <w:pPr>
              <w:pStyle w:val="Compact"/>
            </w:pPr>
          </w:p>
        </w:tc>
        <w:tc>
          <w:tcPr/>
          <w:p>
            <w:pPr>
              <w:pStyle w:val="Compact"/>
              <w:jc w:val="left"/>
            </w:pPr>
            <w:r>
              <w:t xml:space="preserve">(0.010)</w:t>
            </w:r>
          </w:p>
        </w:tc>
        <w:tc>
          <w:tcPr/>
          <w:p>
            <w:pPr>
              <w:pStyle w:val="Compact"/>
            </w:pPr>
          </w:p>
        </w:tc>
        <w:tc>
          <w:tcPr/>
          <w:p>
            <w:pPr>
              <w:pStyle w:val="Compact"/>
              <w:jc w:val="left"/>
            </w:pPr>
            <w:r>
              <w:t xml:space="preserve">(0.006)</w:t>
            </w:r>
          </w:p>
        </w:tc>
        <w:tc>
          <w:tcPr/>
          <w:p>
            <w:pPr>
              <w:pStyle w:val="Compact"/>
            </w:pPr>
          </w:p>
        </w:tc>
      </w:tr>
      <w:tr>
        <w:tc>
          <w:tcPr/>
          <w:p>
            <w:pPr>
              <w:pStyle w:val="Compact"/>
              <w:jc w:val="left"/>
            </w:pPr>
            <w:r>
              <w:t xml:space="preserve">Neither enrolled nor employed</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0.003</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-0.001</w:t>
            </w:r>
          </w:p>
        </w:tc>
      </w:tr>
      <w:tr>
        <w:tc>
          <w:tcPr/>
          <w:p>
            <w:pPr>
              <w:pStyle w:val="Compact"/>
            </w:pPr>
          </w:p>
        </w:tc>
        <w:tc>
          <w:tcPr/>
          <w:p>
            <w:pPr>
              <w:pStyle w:val="Compact"/>
              <w:jc w:val="left"/>
            </w:pPr>
            <w:r>
              <w:t xml:space="preserve">(0.005)</w:t>
            </w:r>
          </w:p>
        </w:tc>
        <w:tc>
          <w:tcPr/>
          <w:p>
            <w:pPr>
              <w:pStyle w:val="Compact"/>
            </w:pPr>
          </w:p>
        </w:tc>
        <w:tc>
          <w:tcPr/>
          <w:p>
            <w:pPr>
              <w:pStyle w:val="Compact"/>
              <w:jc w:val="left"/>
            </w:pPr>
            <w:r>
              <w:t xml:space="preserve">(0.007)</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Enrolled (first two rows)</w:t>
            </w:r>
          </w:p>
        </w:tc>
        <w:tc>
          <w:tcPr/>
          <w:p>
            <w:pPr>
              <w:pStyle w:val="Compact"/>
              <w:jc w:val="left"/>
            </w:pPr>
            <w:r>
              <w:t xml:space="preserve">0.000</w:t>
            </w:r>
          </w:p>
        </w:tc>
        <w:tc>
          <w:tcPr/>
          <w:p>
            <w:pPr>
              <w:pStyle w:val="Compact"/>
              <w:jc w:val="left"/>
            </w:pPr>
            <w:r>
              <w:t xml:space="preserve">0.004</w:t>
            </w:r>
          </w:p>
        </w:tc>
        <w:tc>
          <w:tcPr/>
          <w:p>
            <w:pPr>
              <w:pStyle w:val="Compact"/>
              <w:jc w:val="left"/>
            </w:pPr>
            <w:r>
              <w:t xml:space="preserve">-0.009</w:t>
            </w:r>
          </w:p>
        </w:tc>
        <w:tc>
          <w:tcPr/>
          <w:p>
            <w:pPr>
              <w:pStyle w:val="Compact"/>
              <w:jc w:val="left"/>
            </w:pPr>
            <w:r>
              <w:t xml:space="preserve">0.007</w:t>
            </w:r>
          </w:p>
        </w:tc>
        <w:tc>
          <w:tcPr/>
          <w:p>
            <w:pPr>
              <w:pStyle w:val="Compact"/>
              <w:jc w:val="left"/>
            </w:pPr>
            <w:r>
              <w:t xml:space="preserve">-0.002</w:t>
            </w:r>
          </w:p>
        </w:tc>
        <w:tc>
          <w:tcPr/>
          <w:p>
            <w:pPr>
              <w:pStyle w:val="Compact"/>
              <w:jc w:val="left"/>
            </w:pPr>
            <w:r>
              <w:t xml:space="preserve">0.008</w:t>
            </w:r>
          </w:p>
        </w:tc>
      </w:tr>
      <w:tr>
        <w:tc>
          <w:tcPr/>
          <w:p>
            <w:pPr>
              <w:pStyle w:val="Compact"/>
            </w:pPr>
          </w:p>
        </w:tc>
        <w:tc>
          <w:tcPr/>
          <w:p>
            <w:pPr>
              <w:pStyle w:val="Compact"/>
              <w:jc w:val="left"/>
            </w:pPr>
            <w:r>
              <w:t xml:space="preserve">(0.007)</w:t>
            </w:r>
          </w:p>
        </w:tc>
        <w:tc>
          <w:tcPr/>
          <w:p>
            <w:pPr>
              <w:pStyle w:val="Compact"/>
            </w:pPr>
          </w:p>
        </w:tc>
        <w:tc>
          <w:tcPr/>
          <w:p>
            <w:pPr>
              <w:pStyle w:val="Compact"/>
              <w:jc w:val="left"/>
            </w:pPr>
            <w:r>
              <w:t xml:space="preserve">(0.012)</w:t>
            </w:r>
          </w:p>
        </w:tc>
        <w:tc>
          <w:tcPr/>
          <w:p>
            <w:pPr>
              <w:pStyle w:val="Compact"/>
            </w:pPr>
          </w:p>
        </w:tc>
        <w:tc>
          <w:tcPr/>
          <w:p>
            <w:pPr>
              <w:pStyle w:val="Compact"/>
              <w:jc w:val="left"/>
            </w:pPr>
            <w:r>
              <w:t xml:space="preserve">(0.008)</w:t>
            </w:r>
          </w:p>
        </w:tc>
        <w:tc>
          <w:tcPr/>
          <w:p>
            <w:pPr>
              <w:pStyle w:val="Compact"/>
            </w:pPr>
          </w:p>
        </w:tc>
      </w:tr>
      <w:tr>
        <w:tc>
          <w:tcPr/>
          <w:p>
            <w:pPr>
              <w:pStyle w:val="Compact"/>
              <w:jc w:val="left"/>
            </w:pPr>
            <w:r>
              <w:t xml:space="preserve">Employed (first and third rows)</w:t>
            </w:r>
          </w:p>
        </w:tc>
        <w:tc>
          <w:tcPr/>
          <w:p>
            <w:pPr>
              <w:pStyle w:val="Compact"/>
              <w:jc w:val="left"/>
            </w:pPr>
            <w:r>
              <w:t xml:space="preserve">0.005</w:t>
            </w:r>
          </w:p>
        </w:tc>
        <w:tc>
          <w:tcPr/>
          <w:p>
            <w:pPr>
              <w:pStyle w:val="Compact"/>
              <w:jc w:val="left"/>
            </w:pPr>
            <w:r>
              <w:t xml:space="preserve">-0.001</w:t>
            </w:r>
          </w:p>
        </w:tc>
        <w:tc>
          <w:tcPr/>
          <w:p>
            <w:pPr>
              <w:pStyle w:val="Compact"/>
              <w:jc w:val="left"/>
            </w:pPr>
            <w:r>
              <w:t xml:space="preserve">0.006</w:t>
            </w:r>
          </w:p>
        </w:tc>
        <w:tc>
          <w:tcPr/>
          <w:p>
            <w:pPr>
              <w:pStyle w:val="Compact"/>
              <w:jc w:val="left"/>
            </w:pPr>
            <w:r>
              <w:t xml:space="preserve">0.004</w:t>
            </w:r>
          </w:p>
        </w:tc>
        <w:tc>
          <w:tcPr/>
          <w:p>
            <w:pPr>
              <w:pStyle w:val="Compact"/>
              <w:jc w:val="left"/>
            </w:pPr>
            <w:r>
              <w:t xml:space="preserve">0.004</w:t>
            </w:r>
          </w:p>
        </w:tc>
        <w:tc>
          <w:tcPr/>
          <w:p>
            <w:pPr>
              <w:pStyle w:val="Compact"/>
              <w:jc w:val="left"/>
            </w:pPr>
            <w:r>
              <w:t xml:space="preserve">-0.001</w:t>
            </w:r>
          </w:p>
        </w:tc>
      </w:tr>
      <w:tr>
        <w:tc>
          <w:tcPr/>
          <w:p>
            <w:pPr>
              <w:pStyle w:val="Compact"/>
            </w:pPr>
          </w:p>
        </w:tc>
        <w:tc>
          <w:tcPr/>
          <w:p>
            <w:pPr>
              <w:pStyle w:val="Compact"/>
              <w:jc w:val="left"/>
            </w:pPr>
            <w:r>
              <w:t xml:space="preserve">(0.007)</w:t>
            </w:r>
          </w:p>
        </w:tc>
        <w:tc>
          <w:tcPr/>
          <w:p>
            <w:pPr>
              <w:pStyle w:val="Compact"/>
            </w:pPr>
          </w:p>
        </w:tc>
        <w:tc>
          <w:tcPr/>
          <w:p>
            <w:pPr>
              <w:pStyle w:val="Compact"/>
              <w:jc w:val="left"/>
            </w:pPr>
            <w:r>
              <w:t xml:space="preserve">(0.010)</w:t>
            </w:r>
          </w:p>
        </w:tc>
        <w:tc>
          <w:tcPr/>
          <w:p>
            <w:pPr>
              <w:pStyle w:val="Compact"/>
            </w:pPr>
          </w:p>
        </w:tc>
        <w:tc>
          <w:tcPr/>
          <w:p>
            <w:pPr>
              <w:pStyle w:val="Compact"/>
              <w:jc w:val="left"/>
            </w:pPr>
            <w:r>
              <w:t xml:space="preserve">(0.007)</w:t>
            </w:r>
          </w:p>
        </w:tc>
        <w:tc>
          <w:tcPr/>
          <w:p>
            <w:pPr>
              <w:pStyle w:val="Compact"/>
            </w:pPr>
          </w:p>
        </w:tc>
      </w:tr>
    </w:tbl>
    <w:p>
      <w:pPr>
        <w:pStyle w:val="BodyText"/>
      </w:pPr>
      <w:r>
        <w:t xml:space="preserve">Notes: Post, Pre and standard errors as in Table 15.</w:t>
      </w:r>
    </w:p>
    <w:p>
      <w:pPr>
        <w:pStyle w:val="TableCaption"/>
      </w:pPr>
      <w:r>
        <w:t xml:space="preserve">Table 22: Effects on school–work status, Black, Hispanic and other non-white teens: post-event averages</w:t>
      </w:r>
    </w:p>
    <w:tbl>
      <w:tblPr>
        <w:tblStyle w:val="Table"/>
        <w:tblW w:type="dxa" w:w="9360"/>
        <w:tblLook w:firstRow="0" w:lastRow="0" w:firstColumn="0" w:lastColumn="0" w:noHBand="0" w:noVBand="0" w:val="0000"/>
        <w:jc w:val="start"/>
        <w:tblCaption w:val="Table 22: Effects on school–work status, Black, Hispanic and other non-white teens: post-event average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c>
          <w:tcPr/>
          <w:p>
            <w:pPr>
              <w:pStyle w:val="Compact"/>
              <w:jc w:val="left"/>
            </w:pPr>
            <w:r>
              <w:t xml:space="preserve">Post</w:t>
            </w:r>
          </w:p>
        </w:tc>
        <w:tc>
          <w:tcPr/>
          <w:p>
            <w:pPr>
              <w:pStyle w:val="Compact"/>
              <w:jc w:val="left"/>
            </w:pPr>
            <w:r>
              <w:t xml:space="preserve">Pre</w:t>
            </w:r>
          </w:p>
        </w:tc>
      </w:tr>
      <w:tr>
        <w:tc>
          <w:tcPr/>
          <w:p>
            <w:pPr>
              <w:pStyle w:val="Compact"/>
              <w:jc w:val="left"/>
            </w:pPr>
            <w:r>
              <w:t xml:space="preserve">Enrolled and employed</w:t>
            </w:r>
          </w:p>
        </w:tc>
        <w:tc>
          <w:tcPr/>
          <w:p>
            <w:pPr>
              <w:pStyle w:val="Compact"/>
              <w:jc w:val="left"/>
            </w:pPr>
            <w:r>
              <w:t xml:space="preserve">-0.012</w:t>
            </w:r>
            <w:r>
              <w:rPr>
                <w:vertAlign w:val="superscript"/>
              </w:rPr>
              <w:t xml:space="preserve">*</w:t>
            </w:r>
          </w:p>
        </w:tc>
        <w:tc>
          <w:tcPr/>
          <w:p>
            <w:pPr>
              <w:pStyle w:val="Compact"/>
              <w:jc w:val="left"/>
            </w:pPr>
            <w:r>
              <w:t xml:space="preserve">-0.003</w:t>
            </w:r>
          </w:p>
        </w:tc>
        <w:tc>
          <w:tcPr/>
          <w:p>
            <w:pPr>
              <w:pStyle w:val="Compact"/>
              <w:jc w:val="left"/>
            </w:pPr>
            <w:r>
              <w:t xml:space="preserve">0.011</w:t>
            </w:r>
          </w:p>
        </w:tc>
        <w:tc>
          <w:tcPr/>
          <w:p>
            <w:pPr>
              <w:pStyle w:val="Compact"/>
              <w:jc w:val="left"/>
            </w:pPr>
            <w:r>
              <w:t xml:space="preserve">-0.007</w:t>
            </w:r>
          </w:p>
        </w:tc>
        <w:tc>
          <w:tcPr/>
          <w:p>
            <w:pPr>
              <w:pStyle w:val="Compact"/>
              <w:jc w:val="left"/>
            </w:pPr>
            <w:r>
              <w:t xml:space="preserve">-0.001</w:t>
            </w:r>
          </w:p>
        </w:tc>
        <w:tc>
          <w:tcPr/>
          <w:p>
            <w:pPr>
              <w:pStyle w:val="Compact"/>
              <w:jc w:val="left"/>
            </w:pPr>
            <w:r>
              <w:t xml:space="preserve">-0.006</w:t>
            </w:r>
          </w:p>
        </w:tc>
      </w:tr>
      <w:tr>
        <w:tc>
          <w:tcPr/>
          <w:p>
            <w:pPr>
              <w:pStyle w:val="Compact"/>
            </w:pPr>
          </w:p>
        </w:tc>
        <w:tc>
          <w:tcPr/>
          <w:p>
            <w:pPr>
              <w:pStyle w:val="Compact"/>
              <w:jc w:val="left"/>
            </w:pPr>
            <w:r>
              <w:t xml:space="preserve">(0.007)</w:t>
            </w:r>
          </w:p>
        </w:tc>
        <w:tc>
          <w:tcPr/>
          <w:p>
            <w:pPr>
              <w:pStyle w:val="Compact"/>
            </w:pPr>
          </w:p>
        </w:tc>
        <w:tc>
          <w:tcPr/>
          <w:p>
            <w:pPr>
              <w:pStyle w:val="Compact"/>
              <w:jc w:val="left"/>
            </w:pPr>
            <w:r>
              <w:t xml:space="preserve">(0.007)</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Enrolled only</w:t>
            </w:r>
          </w:p>
        </w:tc>
        <w:tc>
          <w:tcPr/>
          <w:p>
            <w:pPr>
              <w:pStyle w:val="Compact"/>
              <w:jc w:val="left"/>
            </w:pPr>
            <w:r>
              <w:t xml:space="preserve">0.007</w:t>
            </w:r>
          </w:p>
        </w:tc>
        <w:tc>
          <w:tcPr/>
          <w:p>
            <w:pPr>
              <w:pStyle w:val="Compact"/>
              <w:jc w:val="left"/>
            </w:pPr>
            <w:r>
              <w:t xml:space="preserve">-0.001</w:t>
            </w:r>
          </w:p>
        </w:tc>
        <w:tc>
          <w:tcPr/>
          <w:p>
            <w:pPr>
              <w:pStyle w:val="Compact"/>
              <w:jc w:val="left"/>
            </w:pPr>
            <w:r>
              <w:t xml:space="preserve">0.002</w:t>
            </w:r>
          </w:p>
        </w:tc>
        <w:tc>
          <w:tcPr/>
          <w:p>
            <w:pPr>
              <w:pStyle w:val="Compact"/>
              <w:jc w:val="left"/>
            </w:pPr>
            <w:r>
              <w:t xml:space="preserve">0.009</w:t>
            </w:r>
          </w:p>
        </w:tc>
        <w:tc>
          <w:tcPr/>
          <w:p>
            <w:pPr>
              <w:pStyle w:val="Compact"/>
              <w:jc w:val="left"/>
            </w:pPr>
            <w:r>
              <w:t xml:space="preserve">0.005</w:t>
            </w:r>
          </w:p>
        </w:tc>
        <w:tc>
          <w:tcPr/>
          <w:p>
            <w:pPr>
              <w:pStyle w:val="Compact"/>
              <w:jc w:val="left"/>
            </w:pPr>
            <w:r>
              <w:t xml:space="preserve">0.007</w:t>
            </w:r>
          </w:p>
        </w:tc>
      </w:tr>
      <w:tr>
        <w:tc>
          <w:tcPr/>
          <w:p>
            <w:pPr>
              <w:pStyle w:val="Compact"/>
            </w:pPr>
          </w:p>
        </w:tc>
        <w:tc>
          <w:tcPr/>
          <w:p>
            <w:pPr>
              <w:pStyle w:val="Compact"/>
              <w:jc w:val="left"/>
            </w:pPr>
            <w:r>
              <w:t xml:space="preserve">(0.012)</w:t>
            </w:r>
          </w:p>
        </w:tc>
        <w:tc>
          <w:tcPr/>
          <w:p>
            <w:pPr>
              <w:pStyle w:val="Compact"/>
            </w:pPr>
          </w:p>
        </w:tc>
        <w:tc>
          <w:tcPr/>
          <w:p>
            <w:pPr>
              <w:pStyle w:val="Compact"/>
              <w:jc w:val="left"/>
            </w:pPr>
            <w:r>
              <w:t xml:space="preserve">(0.011)</w:t>
            </w:r>
          </w:p>
        </w:tc>
        <w:tc>
          <w:tcPr/>
          <w:p>
            <w:pPr>
              <w:pStyle w:val="Compact"/>
            </w:pPr>
          </w:p>
        </w:tc>
        <w:tc>
          <w:tcPr/>
          <w:p>
            <w:pPr>
              <w:pStyle w:val="Compact"/>
              <w:jc w:val="left"/>
            </w:pPr>
            <w:r>
              <w:t xml:space="preserve">(0.008)</w:t>
            </w:r>
          </w:p>
        </w:tc>
        <w:tc>
          <w:tcPr/>
          <w:p>
            <w:pPr>
              <w:pStyle w:val="Compact"/>
            </w:pPr>
          </w:p>
        </w:tc>
      </w:tr>
      <w:tr>
        <w:tc>
          <w:tcPr/>
          <w:p>
            <w:pPr>
              <w:pStyle w:val="Compact"/>
              <w:jc w:val="left"/>
            </w:pPr>
            <w:r>
              <w:t xml:space="preserve">Employed only</w:t>
            </w:r>
          </w:p>
        </w:tc>
        <w:tc>
          <w:tcPr/>
          <w:p>
            <w:pPr>
              <w:pStyle w:val="Compact"/>
              <w:jc w:val="left"/>
            </w:pPr>
            <w:r>
              <w:t xml:space="preserve">0.001</w:t>
            </w:r>
          </w:p>
        </w:tc>
        <w:tc>
          <w:tcPr/>
          <w:p>
            <w:pPr>
              <w:pStyle w:val="Compact"/>
              <w:jc w:val="left"/>
            </w:pPr>
            <w:r>
              <w:t xml:space="preserve">-0.003</w:t>
            </w:r>
          </w:p>
        </w:tc>
        <w:tc>
          <w:tcPr/>
          <w:p>
            <w:pPr>
              <w:pStyle w:val="Compact"/>
              <w:jc w:val="left"/>
            </w:pPr>
            <w:r>
              <w:t xml:space="preserve">-0.000</w:t>
            </w:r>
          </w:p>
        </w:tc>
        <w:tc>
          <w:tcPr/>
          <w:p>
            <w:pPr>
              <w:pStyle w:val="Compact"/>
              <w:jc w:val="left"/>
            </w:pPr>
            <w:r>
              <w:t xml:space="preserve">0.003</w:t>
            </w:r>
          </w:p>
        </w:tc>
        <w:tc>
          <w:tcPr/>
          <w:p>
            <w:pPr>
              <w:pStyle w:val="Compact"/>
              <w:jc w:val="left"/>
            </w:pPr>
            <w:r>
              <w:t xml:space="preserve">-0.001</w:t>
            </w:r>
          </w:p>
        </w:tc>
        <w:tc>
          <w:tcPr/>
          <w:p>
            <w:pPr>
              <w:pStyle w:val="Compact"/>
              <w:jc w:val="left"/>
            </w:pPr>
            <w:r>
              <w:t xml:space="preserve">-0.002</w:t>
            </w:r>
          </w:p>
        </w:tc>
      </w:tr>
      <w:tr>
        <w:tc>
          <w:tcPr/>
          <w:p>
            <w:pPr>
              <w:pStyle w:val="Compact"/>
            </w:pPr>
          </w:p>
        </w:tc>
        <w:tc>
          <w:tcPr/>
          <w:p>
            <w:pPr>
              <w:pStyle w:val="Compact"/>
              <w:jc w:val="left"/>
            </w:pPr>
            <w:r>
              <w:t xml:space="preserve">(0.004)</w:t>
            </w:r>
          </w:p>
        </w:tc>
        <w:tc>
          <w:tcPr/>
          <w:p>
            <w:pPr>
              <w:pStyle w:val="Compact"/>
            </w:pPr>
          </w:p>
        </w:tc>
        <w:tc>
          <w:tcPr/>
          <w:p>
            <w:pPr>
              <w:pStyle w:val="Compact"/>
              <w:jc w:val="left"/>
            </w:pPr>
            <w:r>
              <w:t xml:space="preserve">(0.010)</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Neither enrolled nor employed</w:t>
            </w:r>
          </w:p>
        </w:tc>
        <w:tc>
          <w:tcPr/>
          <w:p>
            <w:pPr>
              <w:pStyle w:val="Compact"/>
              <w:jc w:val="left"/>
            </w:pPr>
            <w:r>
              <w:t xml:space="preserve">0.003</w:t>
            </w:r>
          </w:p>
        </w:tc>
        <w:tc>
          <w:tcPr/>
          <w:p>
            <w:pPr>
              <w:pStyle w:val="Compact"/>
              <w:jc w:val="left"/>
            </w:pPr>
            <w:r>
              <w:t xml:space="preserve">0.007</w:t>
            </w:r>
          </w:p>
        </w:tc>
        <w:tc>
          <w:tcPr/>
          <w:p>
            <w:pPr>
              <w:pStyle w:val="Compact"/>
              <w:jc w:val="left"/>
            </w:pPr>
            <w:r>
              <w:t xml:space="preserve">-0.012</w:t>
            </w:r>
          </w:p>
        </w:tc>
        <w:tc>
          <w:tcPr/>
          <w:p>
            <w:pPr>
              <w:pStyle w:val="Compact"/>
              <w:jc w:val="left"/>
            </w:pPr>
            <w:r>
              <w:t xml:space="preserve">-0.006</w:t>
            </w:r>
          </w:p>
        </w:tc>
        <w:tc>
          <w:tcPr/>
          <w:p>
            <w:pPr>
              <w:pStyle w:val="Compact"/>
              <w:jc w:val="left"/>
            </w:pPr>
            <w:r>
              <w:t xml:space="preserve">-0.004</w:t>
            </w:r>
          </w:p>
        </w:tc>
        <w:tc>
          <w:tcPr/>
          <w:p>
            <w:pPr>
              <w:pStyle w:val="Compact"/>
              <w:jc w:val="left"/>
            </w:pPr>
            <w:r>
              <w:t xml:space="preserve">0.000</w:t>
            </w:r>
          </w:p>
        </w:tc>
      </w:tr>
      <w:tr>
        <w:tc>
          <w:tcPr/>
          <w:p>
            <w:pPr>
              <w:pStyle w:val="Compact"/>
            </w:pPr>
          </w:p>
        </w:tc>
        <w:tc>
          <w:tcPr/>
          <w:p>
            <w:pPr>
              <w:pStyle w:val="Compact"/>
              <w:jc w:val="left"/>
            </w:pPr>
            <w:r>
              <w:t xml:space="preserve">(0.005)</w:t>
            </w:r>
          </w:p>
        </w:tc>
        <w:tc>
          <w:tcPr/>
          <w:p>
            <w:pPr>
              <w:pStyle w:val="Compact"/>
            </w:pPr>
          </w:p>
        </w:tc>
        <w:tc>
          <w:tcPr/>
          <w:p>
            <w:pPr>
              <w:pStyle w:val="Compact"/>
              <w:jc w:val="left"/>
            </w:pPr>
            <w:r>
              <w:t xml:space="preserve">(0.008)</w:t>
            </w:r>
          </w:p>
        </w:tc>
        <w:tc>
          <w:tcPr/>
          <w:p>
            <w:pPr>
              <w:pStyle w:val="Compact"/>
            </w:pPr>
          </w:p>
        </w:tc>
        <w:tc>
          <w:tcPr/>
          <w:p>
            <w:pPr>
              <w:pStyle w:val="Compact"/>
              <w:jc w:val="left"/>
            </w:pPr>
            <w:r>
              <w:t xml:space="preserve">(0.005)</w:t>
            </w:r>
          </w:p>
        </w:tc>
        <w:tc>
          <w:tcPr/>
          <w:p>
            <w:pPr>
              <w:pStyle w:val="Compact"/>
            </w:pPr>
          </w:p>
        </w:tc>
      </w:tr>
      <w:tr>
        <w:tc>
          <w:tcPr/>
          <w:p>
            <w:pPr>
              <w:pStyle w:val="Compact"/>
              <w:jc w:val="left"/>
            </w:pPr>
            <w:r>
              <w:t xml:space="preserve">Enrolled (first two rows)</w:t>
            </w:r>
          </w:p>
        </w:tc>
        <w:tc>
          <w:tcPr/>
          <w:p>
            <w:pPr>
              <w:pStyle w:val="Compact"/>
              <w:jc w:val="left"/>
            </w:pPr>
            <w:r>
              <w:t xml:space="preserve">-0.004</w:t>
            </w:r>
          </w:p>
        </w:tc>
        <w:tc>
          <w:tcPr/>
          <w:p>
            <w:pPr>
              <w:pStyle w:val="Compact"/>
              <w:jc w:val="left"/>
            </w:pPr>
            <w:r>
              <w:t xml:space="preserve">-0.004</w:t>
            </w:r>
          </w:p>
        </w:tc>
        <w:tc>
          <w:tcPr/>
          <w:p>
            <w:pPr>
              <w:pStyle w:val="Compact"/>
              <w:jc w:val="left"/>
            </w:pPr>
            <w:r>
              <w:t xml:space="preserve">0.012</w:t>
            </w:r>
          </w:p>
        </w:tc>
        <w:tc>
          <w:tcPr/>
          <w:p>
            <w:pPr>
              <w:pStyle w:val="Compact"/>
              <w:jc w:val="left"/>
            </w:pPr>
            <w:r>
              <w:t xml:space="preserve">0.003</w:t>
            </w:r>
          </w:p>
        </w:tc>
        <w:tc>
          <w:tcPr/>
          <w:p>
            <w:pPr>
              <w:pStyle w:val="Compact"/>
              <w:jc w:val="left"/>
            </w:pPr>
            <w:r>
              <w:t xml:space="preserve">0.004</w:t>
            </w:r>
          </w:p>
        </w:tc>
        <w:tc>
          <w:tcPr/>
          <w:p>
            <w:pPr>
              <w:pStyle w:val="Compact"/>
              <w:jc w:val="left"/>
            </w:pPr>
            <w:r>
              <w:t xml:space="preserve">0.001</w:t>
            </w:r>
          </w:p>
        </w:tc>
      </w:tr>
      <w:tr>
        <w:tc>
          <w:tcPr/>
          <w:p>
            <w:pPr>
              <w:pStyle w:val="Compact"/>
            </w:pPr>
          </w:p>
        </w:tc>
        <w:tc>
          <w:tcPr/>
          <w:p>
            <w:pPr>
              <w:pStyle w:val="Compact"/>
              <w:jc w:val="left"/>
            </w:pPr>
            <w:r>
              <w:t xml:space="preserve">(0.007)</w:t>
            </w:r>
          </w:p>
        </w:tc>
        <w:tc>
          <w:tcPr/>
          <w:p>
            <w:pPr>
              <w:pStyle w:val="Compact"/>
            </w:pPr>
          </w:p>
        </w:tc>
        <w:tc>
          <w:tcPr/>
          <w:p>
            <w:pPr>
              <w:pStyle w:val="Compact"/>
              <w:jc w:val="left"/>
            </w:pPr>
            <w:r>
              <w:t xml:space="preserve">(0.010)</w:t>
            </w:r>
          </w:p>
        </w:tc>
        <w:tc>
          <w:tcPr/>
          <w:p>
            <w:pPr>
              <w:pStyle w:val="Compact"/>
            </w:pPr>
          </w:p>
        </w:tc>
        <w:tc>
          <w:tcPr/>
          <w:p>
            <w:pPr>
              <w:pStyle w:val="Compact"/>
              <w:jc w:val="left"/>
            </w:pPr>
            <w:r>
              <w:t xml:space="preserve">(0.006)</w:t>
            </w:r>
          </w:p>
        </w:tc>
        <w:tc>
          <w:tcPr/>
          <w:p>
            <w:pPr>
              <w:pStyle w:val="Compact"/>
            </w:pPr>
          </w:p>
        </w:tc>
      </w:tr>
      <w:tr>
        <w:tc>
          <w:tcPr/>
          <w:p>
            <w:pPr>
              <w:pStyle w:val="Compact"/>
              <w:jc w:val="left"/>
            </w:pPr>
            <w:r>
              <w:t xml:space="preserve">Employed (first and third rows)</w:t>
            </w:r>
          </w:p>
        </w:tc>
        <w:tc>
          <w:tcPr/>
          <w:p>
            <w:pPr>
              <w:pStyle w:val="Compact"/>
              <w:jc w:val="left"/>
            </w:pPr>
            <w:r>
              <w:t xml:space="preserve">-0.011</w:t>
            </w:r>
          </w:p>
        </w:tc>
        <w:tc>
          <w:tcPr/>
          <w:p>
            <w:pPr>
              <w:pStyle w:val="Compact"/>
              <w:jc w:val="left"/>
            </w:pPr>
            <w:r>
              <w:t xml:space="preserve">-0.007</w:t>
            </w:r>
          </w:p>
        </w:tc>
        <w:tc>
          <w:tcPr/>
          <w:p>
            <w:pPr>
              <w:pStyle w:val="Compact"/>
              <w:jc w:val="left"/>
            </w:pPr>
            <w:r>
              <w:t xml:space="preserve">0.010</w:t>
            </w:r>
          </w:p>
        </w:tc>
        <w:tc>
          <w:tcPr/>
          <w:p>
            <w:pPr>
              <w:pStyle w:val="Compact"/>
              <w:jc w:val="left"/>
            </w:pPr>
            <w:r>
              <w:t xml:space="preserve">-0.003</w:t>
            </w:r>
          </w:p>
        </w:tc>
        <w:tc>
          <w:tcPr/>
          <w:p>
            <w:pPr>
              <w:pStyle w:val="Compact"/>
              <w:jc w:val="left"/>
            </w:pPr>
            <w:r>
              <w:t xml:space="preserve">-0.001</w:t>
            </w:r>
          </w:p>
        </w:tc>
        <w:tc>
          <w:tcPr/>
          <w:p>
            <w:pPr>
              <w:pStyle w:val="Compact"/>
              <w:jc w:val="left"/>
            </w:pPr>
            <w:r>
              <w:t xml:space="preserve">-0.008</w:t>
            </w:r>
          </w:p>
        </w:tc>
      </w:tr>
      <w:tr>
        <w:tc>
          <w:tcPr/>
          <w:p>
            <w:pPr>
              <w:pStyle w:val="Compact"/>
            </w:pPr>
          </w:p>
        </w:tc>
        <w:tc>
          <w:tcPr/>
          <w:p>
            <w:pPr>
              <w:pStyle w:val="Compact"/>
              <w:jc w:val="left"/>
            </w:pPr>
            <w:r>
              <w:t xml:space="preserve">(0.009)</w:t>
            </w:r>
          </w:p>
        </w:tc>
        <w:tc>
          <w:tcPr/>
          <w:p>
            <w:pPr>
              <w:pStyle w:val="Compact"/>
            </w:pPr>
          </w:p>
        </w:tc>
        <w:tc>
          <w:tcPr/>
          <w:p>
            <w:pPr>
              <w:pStyle w:val="Compact"/>
              <w:jc w:val="left"/>
            </w:pPr>
            <w:r>
              <w:t xml:space="preserve">(0.013)</w:t>
            </w:r>
          </w:p>
        </w:tc>
        <w:tc>
          <w:tcPr/>
          <w:p>
            <w:pPr>
              <w:pStyle w:val="Compact"/>
            </w:pPr>
          </w:p>
        </w:tc>
        <w:tc>
          <w:tcPr/>
          <w:p>
            <w:pPr>
              <w:pStyle w:val="Compact"/>
              <w:jc w:val="left"/>
            </w:pPr>
            <w:r>
              <w:t xml:space="preserve">(0.009)</w:t>
            </w:r>
          </w:p>
        </w:tc>
        <w:tc>
          <w:tcPr/>
          <w:p>
            <w:pPr>
              <w:pStyle w:val="Compact"/>
            </w:pPr>
          </w:p>
        </w:tc>
      </w:tr>
    </w:tbl>
    <w:p>
      <w:pPr>
        <w:pStyle w:val="BodyText"/>
      </w:pPr>
      <w:r>
        <w:t xml:space="preserve">Notes: Post, Pre and standard errors as in Table 15.</w:t>
      </w:r>
    </w:p>
    <w:bookmarkEnd w:id="81"/>
    <w:bookmarkStart w:id="82" w:name="b-the-events"/>
    <w:p>
      <w:pPr>
        <w:pStyle w:val="Heading1"/>
      </w:pPr>
      <w:r>
        <w:t xml:space="preserve">B The events</w:t>
      </w:r>
    </w:p>
    <w:p>
      <w:pPr>
        <w:pStyle w:val="TableCaption"/>
      </w:pPr>
      <w:r>
        <w:t xml:space="preserve">Table 23: Unit events from January 2010 with CPS teens in the unit</w:t>
      </w:r>
    </w:p>
    <w:tbl>
      <w:tblPr>
        <w:tblStyle w:val="Table"/>
        <w:tblW w:type="dxa" w:w="9360"/>
        <w:tblLook w:firstRow="1" w:lastRow="0" w:firstColumn="0" w:lastColumn="0" w:noHBand="0" w:noVBand="0" w:val="0020"/>
        <w:jc w:val="start"/>
        <w:tblCaption w:val="Table 23: Unit events from January 2010 with CPS teens in the unit"/>
      </w:tblPr>
      <w:tblGrid>
        <w:gridCol w:w="2808"/>
        <w:gridCol w:w="819"/>
        <w:gridCol w:w="819"/>
        <w:gridCol w:w="819"/>
        <w:gridCol w:w="819"/>
        <w:gridCol w:w="819"/>
        <w:gridCol w:w="819"/>
        <w:gridCol w:w="819"/>
        <w:gridCol w:w="819"/>
      </w:tblGrid>
      <w:tr>
        <w:trPr>
          <w:tblHeader w:val="true"/>
        </w:trPr>
        <w:tc>
          <w:tcPr/>
          <w:p>
            <w:pPr>
              <w:pStyle w:val="Compact"/>
              <w:jc w:val="left"/>
            </w:pPr>
            <w:r>
              <w:t xml:space="preserve">Unit</w:t>
            </w:r>
          </w:p>
        </w:tc>
        <w:tc>
          <w:tcPr/>
          <w:p>
            <w:pPr>
              <w:pStyle w:val="Compact"/>
              <w:jc w:val="left"/>
            </w:pPr>
            <w:r>
              <w:t xml:space="preserve">Source</w:t>
            </w:r>
          </w:p>
        </w:tc>
        <w:tc>
          <w:tcPr/>
          <w:p>
            <w:pPr>
              <w:pStyle w:val="Compact"/>
              <w:jc w:val="left"/>
            </w:pPr>
            <w:r>
              <w:t xml:space="preserve">Event month</w:t>
            </w:r>
          </w:p>
        </w:tc>
        <w:tc>
          <w:tcPr/>
          <w:p>
            <w:pPr>
              <w:pStyle w:val="Compact"/>
              <w:jc w:val="right"/>
            </w:pPr>
            <w:r>
              <w:t xml:space="preserve">Before</w:t>
            </w:r>
          </w:p>
        </w:tc>
        <w:tc>
          <w:tcPr/>
          <w:p>
            <w:pPr>
              <w:pStyle w:val="Compact"/>
              <w:jc w:val="right"/>
            </w:pPr>
            <w:r>
              <w:t xml:space="preserve">First step</w:t>
            </w:r>
          </w:p>
        </w:tc>
        <w:tc>
          <w:tcPr/>
          <w:p>
            <w:pPr>
              <w:pStyle w:val="Compact"/>
              <w:jc w:val="right"/>
            </w:pPr>
            <w:r>
              <w:t xml:space="preserve">End of window</w:t>
            </w:r>
          </w:p>
        </w:tc>
        <w:tc>
          <w:tcPr/>
          <w:p>
            <w:pPr>
              <w:pStyle w:val="Compact"/>
              <w:jc w:val="right"/>
            </w:pPr>
            <w:r>
              <w:t xml:space="preserve">Rise (%)</w:t>
            </w:r>
          </w:p>
        </w:tc>
        <w:tc>
          <w:tcPr/>
          <w:p>
            <w:pPr>
              <w:pStyle w:val="Compact"/>
              <w:jc w:val="right"/>
            </w:pPr>
            <w:r>
              <w:t xml:space="preserve">Steps</w:t>
            </w:r>
          </w:p>
        </w:tc>
        <w:tc>
          <w:tcPr/>
          <w:p>
            <w:pPr>
              <w:pStyle w:val="Compact"/>
              <w:jc w:val="right"/>
            </w:pPr>
            <w:r>
              <w:t xml:space="preserve">Controls</w:t>
            </w:r>
          </w:p>
        </w:tc>
      </w:tr>
      <w:tr>
        <w:tc>
          <w:tcPr/>
          <w:p>
            <w:pPr>
              <w:pStyle w:val="Compact"/>
              <w:jc w:val="left"/>
            </w:pPr>
            <w:r>
              <w:t xml:space="preserve">Alaska (remainder)</w:t>
            </w:r>
          </w:p>
        </w:tc>
        <w:tc>
          <w:tcPr/>
          <w:p>
            <w:pPr>
              <w:pStyle w:val="Compact"/>
              <w:jc w:val="left"/>
            </w:pPr>
            <w:r>
              <w:t xml:space="preserve">state</w:t>
            </w:r>
          </w:p>
        </w:tc>
        <w:tc>
          <w:tcPr/>
          <w:p>
            <w:pPr>
              <w:pStyle w:val="Compact"/>
              <w:jc w:val="left"/>
            </w:pPr>
            <w:r>
              <w:t xml:space="preserve">2010-01</w:t>
            </w:r>
          </w:p>
        </w:tc>
        <w:tc>
          <w:tcPr/>
          <w:p>
            <w:pPr>
              <w:pStyle w:val="Compact"/>
              <w:jc w:val="right"/>
            </w:pPr>
            <w:r>
              <w:t xml:space="preserve">7.25</w:t>
            </w:r>
          </w:p>
        </w:tc>
        <w:tc>
          <w:tcPr/>
          <w:p>
            <w:pPr>
              <w:pStyle w:val="Compact"/>
              <w:jc w:val="right"/>
            </w:pPr>
            <w:r>
              <w:t xml:space="preserve">7.75</w:t>
            </w:r>
          </w:p>
        </w:tc>
        <w:tc>
          <w:tcPr/>
          <w:p>
            <w:pPr>
              <w:pStyle w:val="Compact"/>
              <w:jc w:val="right"/>
            </w:pPr>
            <w:r>
              <w:t xml:space="preserve">7.75</w:t>
            </w:r>
          </w:p>
        </w:tc>
        <w:tc>
          <w:tcPr/>
          <w:p>
            <w:pPr>
              <w:pStyle w:val="Compact"/>
              <w:jc w:val="right"/>
            </w:pPr>
            <w:r>
              <w:t xml:space="preserve">7</w:t>
            </w:r>
          </w:p>
        </w:tc>
        <w:tc>
          <w:tcPr/>
          <w:p>
            <w:pPr>
              <w:pStyle w:val="Compact"/>
              <w:jc w:val="right"/>
            </w:pPr>
            <w:r>
              <w:t xml:space="preserve">1</w:t>
            </w:r>
          </w:p>
        </w:tc>
        <w:tc>
          <w:tcPr/>
          <w:p>
            <w:pPr>
              <w:pStyle w:val="Compact"/>
              <w:jc w:val="right"/>
            </w:pPr>
            <w:r>
              <w:t xml:space="preserve">26</w:t>
            </w:r>
          </w:p>
        </w:tc>
      </w:tr>
      <w:tr>
        <w:tc>
          <w:tcPr/>
          <w:p>
            <w:pPr>
              <w:pStyle w:val="Compact"/>
              <w:jc w:val="left"/>
            </w:pPr>
            <w:r>
              <w:t xml:space="preserve">Connecticut (remainder)</w:t>
            </w:r>
          </w:p>
        </w:tc>
        <w:tc>
          <w:tcPr/>
          <w:p>
            <w:pPr>
              <w:pStyle w:val="Compact"/>
              <w:jc w:val="left"/>
            </w:pPr>
            <w:r>
              <w:t xml:space="preserve">state</w:t>
            </w:r>
          </w:p>
        </w:tc>
        <w:tc>
          <w:tcPr/>
          <w:p>
            <w:pPr>
              <w:pStyle w:val="Compact"/>
              <w:jc w:val="left"/>
            </w:pPr>
            <w:r>
              <w:t xml:space="preserve">2014-01</w:t>
            </w:r>
          </w:p>
        </w:tc>
        <w:tc>
          <w:tcPr/>
          <w:p>
            <w:pPr>
              <w:pStyle w:val="Compact"/>
              <w:jc w:val="right"/>
            </w:pPr>
            <w:r>
              <w:t xml:space="preserve">8.25</w:t>
            </w:r>
          </w:p>
        </w:tc>
        <w:tc>
          <w:tcPr/>
          <w:p>
            <w:pPr>
              <w:pStyle w:val="Compact"/>
              <w:jc w:val="right"/>
            </w:pPr>
            <w:r>
              <w:t xml:space="preserve">8.70</w:t>
            </w:r>
          </w:p>
        </w:tc>
        <w:tc>
          <w:tcPr/>
          <w:p>
            <w:pPr>
              <w:pStyle w:val="Compact"/>
              <w:jc w:val="right"/>
            </w:pPr>
            <w:r>
              <w:t xml:space="preserve">10.10</w:t>
            </w:r>
          </w:p>
        </w:tc>
        <w:tc>
          <w:tcPr/>
          <w:p>
            <w:pPr>
              <w:pStyle w:val="Compact"/>
              <w:jc w:val="right"/>
            </w:pPr>
            <w:r>
              <w:t xml:space="preserve">22</w:t>
            </w:r>
          </w:p>
        </w:tc>
        <w:tc>
          <w:tcPr/>
          <w:p>
            <w:pPr>
              <w:pStyle w:val="Compact"/>
              <w:jc w:val="right"/>
            </w:pPr>
            <w:r>
              <w:t xml:space="preserve">3</w:t>
            </w:r>
          </w:p>
        </w:tc>
        <w:tc>
          <w:tcPr/>
          <w:p>
            <w:pPr>
              <w:pStyle w:val="Compact"/>
              <w:jc w:val="right"/>
            </w:pPr>
            <w:r>
              <w:t xml:space="preserve">29</w:t>
            </w:r>
          </w:p>
        </w:tc>
      </w:tr>
      <w:tr>
        <w:tc>
          <w:tcPr/>
          <w:p>
            <w:pPr>
              <w:pStyle w:val="Compact"/>
              <w:jc w:val="left"/>
            </w:pPr>
            <w:r>
              <w:t xml:space="preserve">New Jersey (remainder)</w:t>
            </w:r>
          </w:p>
        </w:tc>
        <w:tc>
          <w:tcPr/>
          <w:p>
            <w:pPr>
              <w:pStyle w:val="Compact"/>
              <w:jc w:val="left"/>
            </w:pPr>
            <w:r>
              <w:t xml:space="preserve">state</w:t>
            </w:r>
          </w:p>
        </w:tc>
        <w:tc>
          <w:tcPr/>
          <w:p>
            <w:pPr>
              <w:pStyle w:val="Compact"/>
              <w:jc w:val="left"/>
            </w:pPr>
            <w:r>
              <w:t xml:space="preserve">2014-01</w:t>
            </w:r>
          </w:p>
        </w:tc>
        <w:tc>
          <w:tcPr/>
          <w:p>
            <w:pPr>
              <w:pStyle w:val="Compact"/>
              <w:jc w:val="right"/>
            </w:pPr>
            <w:r>
              <w:t xml:space="preserve">7.25</w:t>
            </w:r>
          </w:p>
        </w:tc>
        <w:tc>
          <w:tcPr/>
          <w:p>
            <w:pPr>
              <w:pStyle w:val="Compact"/>
              <w:jc w:val="right"/>
            </w:pPr>
            <w:r>
              <w:t xml:space="preserve">8.25</w:t>
            </w:r>
          </w:p>
        </w:tc>
        <w:tc>
          <w:tcPr/>
          <w:p>
            <w:pPr>
              <w:pStyle w:val="Compact"/>
              <w:jc w:val="right"/>
            </w:pPr>
            <w:r>
              <w:t xml:space="preserve">8.44</w:t>
            </w:r>
          </w:p>
        </w:tc>
        <w:tc>
          <w:tcPr/>
          <w:p>
            <w:pPr>
              <w:pStyle w:val="Compact"/>
              <w:jc w:val="right"/>
            </w:pPr>
            <w:r>
              <w:t xml:space="preserve">16</w:t>
            </w:r>
          </w:p>
        </w:tc>
        <w:tc>
          <w:tcPr/>
          <w:p>
            <w:pPr>
              <w:pStyle w:val="Compact"/>
              <w:jc w:val="right"/>
            </w:pPr>
            <w:r>
              <w:t xml:space="preserve">1</w:t>
            </w:r>
          </w:p>
        </w:tc>
        <w:tc>
          <w:tcPr/>
          <w:p>
            <w:pPr>
              <w:pStyle w:val="Compact"/>
              <w:jc w:val="right"/>
            </w:pPr>
            <w:r>
              <w:t xml:space="preserve">29</w:t>
            </w:r>
          </w:p>
        </w:tc>
      </w:tr>
      <w:tr>
        <w:tc>
          <w:tcPr/>
          <w:p>
            <w:pPr>
              <w:pStyle w:val="Compact"/>
              <w:jc w:val="left"/>
            </w:pPr>
            <w:r>
              <w:t xml:space="preserve">New York (remainder)</w:t>
            </w:r>
          </w:p>
        </w:tc>
        <w:tc>
          <w:tcPr/>
          <w:p>
            <w:pPr>
              <w:pStyle w:val="Compact"/>
              <w:jc w:val="left"/>
            </w:pPr>
            <w:r>
              <w:t xml:space="preserve">state</w:t>
            </w:r>
          </w:p>
        </w:tc>
        <w:tc>
          <w:tcPr/>
          <w:p>
            <w:pPr>
              <w:pStyle w:val="Compact"/>
              <w:jc w:val="left"/>
            </w:pPr>
            <w:r>
              <w:t xml:space="preserve">2014-01</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9.70</w:t>
            </w:r>
          </w:p>
        </w:tc>
        <w:tc>
          <w:tcPr/>
          <w:p>
            <w:pPr>
              <w:pStyle w:val="Compact"/>
              <w:jc w:val="right"/>
            </w:pPr>
            <w:r>
              <w:t xml:space="preserve">34</w:t>
            </w:r>
          </w:p>
        </w:tc>
        <w:tc>
          <w:tcPr/>
          <w:p>
            <w:pPr>
              <w:pStyle w:val="Compact"/>
              <w:jc w:val="right"/>
            </w:pPr>
            <w:r>
              <w:t xml:space="preserve">3</w:t>
            </w:r>
          </w:p>
        </w:tc>
        <w:tc>
          <w:tcPr/>
          <w:p>
            <w:pPr>
              <w:pStyle w:val="Compact"/>
              <w:jc w:val="right"/>
            </w:pPr>
            <w:r>
              <w:t xml:space="preserve">29</w:t>
            </w:r>
          </w:p>
        </w:tc>
      </w:tr>
      <w:tr>
        <w:tc>
          <w:tcPr/>
          <w:p>
            <w:pPr>
              <w:pStyle w:val="Compact"/>
              <w:jc w:val="left"/>
            </w:pPr>
            <w:r>
              <w:t xml:space="preserve">Delaware (remainder)</w:t>
            </w:r>
          </w:p>
        </w:tc>
        <w:tc>
          <w:tcPr/>
          <w:p>
            <w:pPr>
              <w:pStyle w:val="Compact"/>
              <w:jc w:val="left"/>
            </w:pPr>
            <w:r>
              <w:t xml:space="preserve">state</w:t>
            </w:r>
          </w:p>
        </w:tc>
        <w:tc>
          <w:tcPr/>
          <w:p>
            <w:pPr>
              <w:pStyle w:val="Compact"/>
              <w:jc w:val="left"/>
            </w:pPr>
            <w:r>
              <w:t xml:space="preserve">2014-06</w:t>
            </w:r>
          </w:p>
        </w:tc>
        <w:tc>
          <w:tcPr/>
          <w:p>
            <w:pPr>
              <w:pStyle w:val="Compact"/>
              <w:jc w:val="right"/>
            </w:pPr>
            <w:r>
              <w:t xml:space="preserve">7.25</w:t>
            </w:r>
          </w:p>
        </w:tc>
        <w:tc>
          <w:tcPr/>
          <w:p>
            <w:pPr>
              <w:pStyle w:val="Compact"/>
              <w:jc w:val="right"/>
            </w:pPr>
            <w:r>
              <w:t xml:space="preserve">7.75</w:t>
            </w:r>
          </w:p>
        </w:tc>
        <w:tc>
          <w:tcPr/>
          <w:p>
            <w:pPr>
              <w:pStyle w:val="Compact"/>
              <w:jc w:val="right"/>
            </w:pPr>
            <w:r>
              <w:t xml:space="preserve">8.25</w:t>
            </w:r>
          </w:p>
        </w:tc>
        <w:tc>
          <w:tcPr/>
          <w:p>
            <w:pPr>
              <w:pStyle w:val="Compact"/>
              <w:jc w:val="right"/>
            </w:pPr>
            <w:r>
              <w:t xml:space="preserve">14</w:t>
            </w:r>
          </w:p>
        </w:tc>
        <w:tc>
          <w:tcPr/>
          <w:p>
            <w:pPr>
              <w:pStyle w:val="Compact"/>
              <w:jc w:val="right"/>
            </w:pPr>
            <w:r>
              <w:t xml:space="preserve">2</w:t>
            </w:r>
          </w:p>
        </w:tc>
        <w:tc>
          <w:tcPr/>
          <w:p>
            <w:pPr>
              <w:pStyle w:val="Compact"/>
              <w:jc w:val="right"/>
            </w:pPr>
            <w:r>
              <w:t xml:space="preserve">28</w:t>
            </w:r>
          </w:p>
        </w:tc>
      </w:tr>
      <w:tr>
        <w:tc>
          <w:tcPr/>
          <w:p>
            <w:pPr>
              <w:pStyle w:val="Compact"/>
              <w:jc w:val="left"/>
            </w:pPr>
            <w:r>
              <w:t xml:space="preserve">California (remainder)</w:t>
            </w:r>
          </w:p>
        </w:tc>
        <w:tc>
          <w:tcPr/>
          <w:p>
            <w:pPr>
              <w:pStyle w:val="Compact"/>
              <w:jc w:val="left"/>
            </w:pPr>
            <w:r>
              <w:t xml:space="preserve">state</w:t>
            </w:r>
          </w:p>
        </w:tc>
        <w:tc>
          <w:tcPr/>
          <w:p>
            <w:pPr>
              <w:pStyle w:val="Compact"/>
              <w:jc w:val="left"/>
            </w:pPr>
            <w:r>
              <w:t xml:space="preserve">2014-07</w:t>
            </w:r>
          </w:p>
        </w:tc>
        <w:tc>
          <w:tcPr/>
          <w:p>
            <w:pPr>
              <w:pStyle w:val="Compact"/>
              <w:jc w:val="right"/>
            </w:pPr>
            <w:r>
              <w:t xml:space="preserve">8.00</w:t>
            </w:r>
          </w:p>
        </w:tc>
        <w:tc>
          <w:tcPr/>
          <w:p>
            <w:pPr>
              <w:pStyle w:val="Compact"/>
              <w:jc w:val="right"/>
            </w:pPr>
            <w:r>
              <w:t xml:space="preserve">9.00</w:t>
            </w:r>
          </w:p>
        </w:tc>
        <w:tc>
          <w:tcPr/>
          <w:p>
            <w:pPr>
              <w:pStyle w:val="Compact"/>
              <w:jc w:val="right"/>
            </w:pPr>
            <w:r>
              <w:t xml:space="preserve">11.00</w:t>
            </w:r>
          </w:p>
        </w:tc>
        <w:tc>
          <w:tcPr/>
          <w:p>
            <w:pPr>
              <w:pStyle w:val="Compact"/>
              <w:jc w:val="right"/>
            </w:pPr>
            <w:r>
              <w:t xml:space="preserve">38</w:t>
            </w:r>
          </w:p>
        </w:tc>
        <w:tc>
          <w:tcPr/>
          <w:p>
            <w:pPr>
              <w:pStyle w:val="Compact"/>
              <w:jc w:val="right"/>
            </w:pPr>
            <w:r>
              <w:t xml:space="preserve">3</w:t>
            </w:r>
          </w:p>
        </w:tc>
        <w:tc>
          <w:tcPr/>
          <w:p>
            <w:pPr>
              <w:pStyle w:val="Compact"/>
              <w:jc w:val="right"/>
            </w:pPr>
            <w:r>
              <w:t xml:space="preserve">28</w:t>
            </w:r>
          </w:p>
        </w:tc>
      </w:tr>
      <w:tr>
        <w:tc>
          <w:tcPr/>
          <w:p>
            <w:pPr>
              <w:pStyle w:val="Compact"/>
              <w:jc w:val="left"/>
            </w:pPr>
            <w:r>
              <w:t xml:space="preserve">District of Columbia (remainder)</w:t>
            </w:r>
          </w:p>
        </w:tc>
        <w:tc>
          <w:tcPr/>
          <w:p>
            <w:pPr>
              <w:pStyle w:val="Compact"/>
              <w:jc w:val="left"/>
            </w:pPr>
            <w:r>
              <w:t xml:space="preserve">state</w:t>
            </w:r>
          </w:p>
        </w:tc>
        <w:tc>
          <w:tcPr/>
          <w:p>
            <w:pPr>
              <w:pStyle w:val="Compact"/>
              <w:jc w:val="left"/>
            </w:pPr>
            <w:r>
              <w:t xml:space="preserve">2014-07</w:t>
            </w:r>
          </w:p>
        </w:tc>
        <w:tc>
          <w:tcPr/>
          <w:p>
            <w:pPr>
              <w:pStyle w:val="Compact"/>
              <w:jc w:val="right"/>
            </w:pPr>
            <w:r>
              <w:t xml:space="preserve">8.25</w:t>
            </w:r>
          </w:p>
        </w:tc>
        <w:tc>
          <w:tcPr/>
          <w:p>
            <w:pPr>
              <w:pStyle w:val="Compact"/>
              <w:jc w:val="right"/>
            </w:pPr>
            <w:r>
              <w:t xml:space="preserve">9.50</w:t>
            </w:r>
          </w:p>
        </w:tc>
        <w:tc>
          <w:tcPr/>
          <w:p>
            <w:pPr>
              <w:pStyle w:val="Compact"/>
              <w:jc w:val="right"/>
            </w:pPr>
            <w:r>
              <w:t xml:space="preserve">12.50</w:t>
            </w:r>
          </w:p>
        </w:tc>
        <w:tc>
          <w:tcPr/>
          <w:p>
            <w:pPr>
              <w:pStyle w:val="Compact"/>
              <w:jc w:val="right"/>
            </w:pPr>
            <w:r>
              <w:t xml:space="preserve">52</w:t>
            </w:r>
          </w:p>
        </w:tc>
        <w:tc>
          <w:tcPr/>
          <w:p>
            <w:pPr>
              <w:pStyle w:val="Compact"/>
              <w:jc w:val="right"/>
            </w:pPr>
            <w:r>
              <w:t xml:space="preserve">4</w:t>
            </w:r>
          </w:p>
        </w:tc>
        <w:tc>
          <w:tcPr/>
          <w:p>
            <w:pPr>
              <w:pStyle w:val="Compact"/>
              <w:jc w:val="right"/>
            </w:pPr>
            <w:r>
              <w:t xml:space="preserve">28</w:t>
            </w:r>
          </w:p>
        </w:tc>
      </w:tr>
      <w:tr>
        <w:tc>
          <w:tcPr/>
          <w:p>
            <w:pPr>
              <w:pStyle w:val="Compact"/>
              <w:jc w:val="left"/>
            </w:pPr>
            <w:r>
              <w:t xml:space="preserve">Minnesota (remainder)</w:t>
            </w:r>
          </w:p>
        </w:tc>
        <w:tc>
          <w:tcPr/>
          <w:p>
            <w:pPr>
              <w:pStyle w:val="Compact"/>
              <w:jc w:val="left"/>
            </w:pPr>
            <w:r>
              <w:t xml:space="preserve">state</w:t>
            </w:r>
          </w:p>
        </w:tc>
        <w:tc>
          <w:tcPr/>
          <w:p>
            <w:pPr>
              <w:pStyle w:val="Compact"/>
              <w:jc w:val="left"/>
            </w:pPr>
            <w:r>
              <w:t xml:space="preserve">2014-08</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9.65</w:t>
            </w:r>
          </w:p>
        </w:tc>
        <w:tc>
          <w:tcPr/>
          <w:p>
            <w:pPr>
              <w:pStyle w:val="Compact"/>
              <w:jc w:val="right"/>
            </w:pPr>
            <w:r>
              <w:t xml:space="preserve">33</w:t>
            </w:r>
          </w:p>
        </w:tc>
        <w:tc>
          <w:tcPr/>
          <w:p>
            <w:pPr>
              <w:pStyle w:val="Compact"/>
              <w:jc w:val="right"/>
            </w:pPr>
            <w:r>
              <w:t xml:space="preserve">3</w:t>
            </w:r>
          </w:p>
        </w:tc>
        <w:tc>
          <w:tcPr/>
          <w:p>
            <w:pPr>
              <w:pStyle w:val="Compact"/>
              <w:jc w:val="right"/>
            </w:pPr>
            <w:r>
              <w:t xml:space="preserve">28</w:t>
            </w:r>
          </w:p>
        </w:tc>
      </w:tr>
      <w:tr>
        <w:tc>
          <w:tcPr/>
          <w:p>
            <w:pPr>
              <w:pStyle w:val="Compact"/>
              <w:jc w:val="left"/>
            </w:pPr>
            <w:r>
              <w:t xml:space="preserve">Michigan (remainder)</w:t>
            </w:r>
          </w:p>
        </w:tc>
        <w:tc>
          <w:tcPr/>
          <w:p>
            <w:pPr>
              <w:pStyle w:val="Compact"/>
              <w:jc w:val="left"/>
            </w:pPr>
            <w:r>
              <w:t xml:space="preserve">state</w:t>
            </w:r>
          </w:p>
        </w:tc>
        <w:tc>
          <w:tcPr/>
          <w:p>
            <w:pPr>
              <w:pStyle w:val="Compact"/>
              <w:jc w:val="left"/>
            </w:pPr>
            <w:r>
              <w:t xml:space="preserve">2014-09</w:t>
            </w:r>
          </w:p>
        </w:tc>
        <w:tc>
          <w:tcPr/>
          <w:p>
            <w:pPr>
              <w:pStyle w:val="Compact"/>
              <w:jc w:val="right"/>
            </w:pPr>
            <w:r>
              <w:t xml:space="preserve">7.40</w:t>
            </w:r>
          </w:p>
        </w:tc>
        <w:tc>
          <w:tcPr/>
          <w:p>
            <w:pPr>
              <w:pStyle w:val="Compact"/>
              <w:jc w:val="right"/>
            </w:pPr>
            <w:r>
              <w:t xml:space="preserve">8.15</w:t>
            </w:r>
          </w:p>
        </w:tc>
        <w:tc>
          <w:tcPr/>
          <w:p>
            <w:pPr>
              <w:pStyle w:val="Compact"/>
              <w:jc w:val="right"/>
            </w:pPr>
            <w:r>
              <w:t xml:space="preserve">9.25</w:t>
            </w:r>
          </w:p>
        </w:tc>
        <w:tc>
          <w:tcPr/>
          <w:p>
            <w:pPr>
              <w:pStyle w:val="Compact"/>
              <w:jc w:val="right"/>
            </w:pPr>
            <w:r>
              <w:t xml:space="preserve">25</w:t>
            </w:r>
          </w:p>
        </w:tc>
        <w:tc>
          <w:tcPr/>
          <w:p>
            <w:pPr>
              <w:pStyle w:val="Compact"/>
              <w:jc w:val="right"/>
            </w:pPr>
            <w:r>
              <w:t xml:space="preserve">1</w:t>
            </w:r>
          </w:p>
        </w:tc>
        <w:tc>
          <w:tcPr/>
          <w:p>
            <w:pPr>
              <w:pStyle w:val="Compact"/>
              <w:jc w:val="right"/>
            </w:pPr>
            <w:r>
              <w:t xml:space="preserve">28</w:t>
            </w:r>
          </w:p>
        </w:tc>
      </w:tr>
      <w:tr>
        <w:tc>
          <w:tcPr/>
          <w:p>
            <w:pPr>
              <w:pStyle w:val="Compact"/>
              <w:jc w:val="left"/>
            </w:pPr>
            <w:r>
              <w:t xml:space="preserve">Alaska (remainder)</w:t>
            </w:r>
          </w:p>
        </w:tc>
        <w:tc>
          <w:tcPr/>
          <w:p>
            <w:pPr>
              <w:pStyle w:val="Compact"/>
              <w:jc w:val="left"/>
            </w:pPr>
            <w:r>
              <w:t xml:space="preserve">state</w:t>
            </w:r>
          </w:p>
        </w:tc>
        <w:tc>
          <w:tcPr/>
          <w:p>
            <w:pPr>
              <w:pStyle w:val="Compact"/>
              <w:jc w:val="left"/>
            </w:pPr>
            <w:r>
              <w:t xml:space="preserve">2015-01</w:t>
            </w:r>
          </w:p>
        </w:tc>
        <w:tc>
          <w:tcPr/>
          <w:p>
            <w:pPr>
              <w:pStyle w:val="Compact"/>
              <w:jc w:val="right"/>
            </w:pPr>
            <w:r>
              <w:t xml:space="preserve">7.75</w:t>
            </w:r>
          </w:p>
        </w:tc>
        <w:tc>
          <w:tcPr/>
          <w:p>
            <w:pPr>
              <w:pStyle w:val="Compact"/>
              <w:jc w:val="right"/>
            </w:pPr>
            <w:r>
              <w:t xml:space="preserve">8.75</w:t>
            </w:r>
          </w:p>
        </w:tc>
        <w:tc>
          <w:tcPr/>
          <w:p>
            <w:pPr>
              <w:pStyle w:val="Compact"/>
              <w:jc w:val="right"/>
            </w:pPr>
            <w:r>
              <w:t xml:space="preserve">9.84</w:t>
            </w:r>
          </w:p>
        </w:tc>
        <w:tc>
          <w:tcPr/>
          <w:p>
            <w:pPr>
              <w:pStyle w:val="Compact"/>
              <w:jc w:val="right"/>
            </w:pPr>
            <w:r>
              <w:t xml:space="preserve">27</w:t>
            </w:r>
          </w:p>
        </w:tc>
        <w:tc>
          <w:tcPr/>
          <w:p>
            <w:pPr>
              <w:pStyle w:val="Compact"/>
              <w:jc w:val="right"/>
            </w:pPr>
            <w:r>
              <w:t xml:space="preserve">2</w:t>
            </w:r>
          </w:p>
        </w:tc>
        <w:tc>
          <w:tcPr/>
          <w:p>
            <w:pPr>
              <w:pStyle w:val="Compact"/>
              <w:jc w:val="right"/>
            </w:pPr>
            <w:r>
              <w:t xml:space="preserve">28</w:t>
            </w:r>
          </w:p>
        </w:tc>
      </w:tr>
      <w:tr>
        <w:tc>
          <w:tcPr/>
          <w:p>
            <w:pPr>
              <w:pStyle w:val="Compact"/>
              <w:jc w:val="left"/>
            </w:pPr>
            <w:r>
              <w:t xml:space="preserve">Hawaii (remainder)</w:t>
            </w:r>
          </w:p>
        </w:tc>
        <w:tc>
          <w:tcPr/>
          <w:p>
            <w:pPr>
              <w:pStyle w:val="Compact"/>
              <w:jc w:val="left"/>
            </w:pPr>
            <w:r>
              <w:t xml:space="preserve">state</w:t>
            </w:r>
          </w:p>
        </w:tc>
        <w:tc>
          <w:tcPr/>
          <w:p>
            <w:pPr>
              <w:pStyle w:val="Compact"/>
              <w:jc w:val="left"/>
            </w:pPr>
            <w:r>
              <w:t xml:space="preserve">2015-01</w:t>
            </w:r>
          </w:p>
        </w:tc>
        <w:tc>
          <w:tcPr/>
          <w:p>
            <w:pPr>
              <w:pStyle w:val="Compact"/>
              <w:jc w:val="right"/>
            </w:pPr>
            <w:r>
              <w:t xml:space="preserve">7.25</w:t>
            </w:r>
          </w:p>
        </w:tc>
        <w:tc>
          <w:tcPr/>
          <w:p>
            <w:pPr>
              <w:pStyle w:val="Compact"/>
              <w:jc w:val="right"/>
            </w:pPr>
            <w:r>
              <w:t xml:space="preserve">7.75</w:t>
            </w:r>
          </w:p>
        </w:tc>
        <w:tc>
          <w:tcPr/>
          <w:p>
            <w:pPr>
              <w:pStyle w:val="Compact"/>
              <w:jc w:val="right"/>
            </w:pPr>
            <w:r>
              <w:t xml:space="preserve">10.10</w:t>
            </w:r>
          </w:p>
        </w:tc>
        <w:tc>
          <w:tcPr/>
          <w:p>
            <w:pPr>
              <w:pStyle w:val="Compact"/>
              <w:jc w:val="right"/>
            </w:pPr>
            <w:r>
              <w:t xml:space="preserve">39</w:t>
            </w:r>
          </w:p>
        </w:tc>
        <w:tc>
          <w:tcPr/>
          <w:p>
            <w:pPr>
              <w:pStyle w:val="Compact"/>
              <w:jc w:val="right"/>
            </w:pPr>
            <w:r>
              <w:t xml:space="preserve">4</w:t>
            </w:r>
          </w:p>
        </w:tc>
        <w:tc>
          <w:tcPr/>
          <w:p>
            <w:pPr>
              <w:pStyle w:val="Compact"/>
              <w:jc w:val="right"/>
            </w:pPr>
            <w:r>
              <w:t xml:space="preserve">28</w:t>
            </w:r>
          </w:p>
        </w:tc>
      </w:tr>
      <w:tr>
        <w:tc>
          <w:tcPr/>
          <w:p>
            <w:pPr>
              <w:pStyle w:val="Compact"/>
              <w:jc w:val="left"/>
            </w:pPr>
            <w:r>
              <w:t xml:space="preserve">Maryland (remainder)</w:t>
            </w:r>
          </w:p>
        </w:tc>
        <w:tc>
          <w:tcPr/>
          <w:p>
            <w:pPr>
              <w:pStyle w:val="Compact"/>
              <w:jc w:val="left"/>
            </w:pPr>
            <w:r>
              <w:t xml:space="preserve">state</w:t>
            </w:r>
          </w:p>
        </w:tc>
        <w:tc>
          <w:tcPr/>
          <w:p>
            <w:pPr>
              <w:pStyle w:val="Compact"/>
              <w:jc w:val="left"/>
            </w:pPr>
            <w:r>
              <w:t xml:space="preserve">2015-01</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10.10</w:t>
            </w:r>
          </w:p>
        </w:tc>
        <w:tc>
          <w:tcPr/>
          <w:p>
            <w:pPr>
              <w:pStyle w:val="Compact"/>
              <w:jc w:val="right"/>
            </w:pPr>
            <w:r>
              <w:t xml:space="preserve">39</w:t>
            </w:r>
          </w:p>
        </w:tc>
        <w:tc>
          <w:tcPr/>
          <w:p>
            <w:pPr>
              <w:pStyle w:val="Compact"/>
              <w:jc w:val="right"/>
            </w:pPr>
            <w:r>
              <w:t xml:space="preserve">4</w:t>
            </w:r>
          </w:p>
        </w:tc>
        <w:tc>
          <w:tcPr/>
          <w:p>
            <w:pPr>
              <w:pStyle w:val="Compact"/>
              <w:jc w:val="right"/>
            </w:pPr>
            <w:r>
              <w:t xml:space="preserve">28</w:t>
            </w:r>
          </w:p>
        </w:tc>
      </w:tr>
      <w:tr>
        <w:tc>
          <w:tcPr/>
          <w:p>
            <w:pPr>
              <w:pStyle w:val="Compact"/>
              <w:jc w:val="left"/>
            </w:pPr>
            <w:r>
              <w:t xml:space="preserve">Massachusetts (remainder)</w:t>
            </w:r>
          </w:p>
        </w:tc>
        <w:tc>
          <w:tcPr/>
          <w:p>
            <w:pPr>
              <w:pStyle w:val="Compact"/>
              <w:jc w:val="left"/>
            </w:pPr>
            <w:r>
              <w:t xml:space="preserve">state</w:t>
            </w:r>
          </w:p>
        </w:tc>
        <w:tc>
          <w:tcPr/>
          <w:p>
            <w:pPr>
              <w:pStyle w:val="Compact"/>
              <w:jc w:val="left"/>
            </w:pPr>
            <w:r>
              <w:t xml:space="preserve">2015-01</w:t>
            </w:r>
          </w:p>
        </w:tc>
        <w:tc>
          <w:tcPr/>
          <w:p>
            <w:pPr>
              <w:pStyle w:val="Compact"/>
              <w:jc w:val="right"/>
            </w:pPr>
            <w:r>
              <w:t xml:space="preserve">8.00</w:t>
            </w:r>
          </w:p>
        </w:tc>
        <w:tc>
          <w:tcPr/>
          <w:p>
            <w:pPr>
              <w:pStyle w:val="Compact"/>
              <w:jc w:val="right"/>
            </w:pPr>
            <w:r>
              <w:t xml:space="preserve">9.00</w:t>
            </w:r>
          </w:p>
        </w:tc>
        <w:tc>
          <w:tcPr/>
          <w:p>
            <w:pPr>
              <w:pStyle w:val="Compact"/>
              <w:jc w:val="right"/>
            </w:pPr>
            <w:r>
              <w:t xml:space="preserve">11.00</w:t>
            </w:r>
          </w:p>
        </w:tc>
        <w:tc>
          <w:tcPr/>
          <w:p>
            <w:pPr>
              <w:pStyle w:val="Compact"/>
              <w:jc w:val="right"/>
            </w:pPr>
            <w:r>
              <w:t xml:space="preserve">38</w:t>
            </w:r>
          </w:p>
        </w:tc>
        <w:tc>
          <w:tcPr/>
          <w:p>
            <w:pPr>
              <w:pStyle w:val="Compact"/>
              <w:jc w:val="right"/>
            </w:pPr>
            <w:r>
              <w:t xml:space="preserve">3</w:t>
            </w:r>
          </w:p>
        </w:tc>
        <w:tc>
          <w:tcPr/>
          <w:p>
            <w:pPr>
              <w:pStyle w:val="Compact"/>
              <w:jc w:val="right"/>
            </w:pPr>
            <w:r>
              <w:t xml:space="preserve">28</w:t>
            </w:r>
          </w:p>
        </w:tc>
      </w:tr>
      <w:tr>
        <w:tc>
          <w:tcPr/>
          <w:p>
            <w:pPr>
              <w:pStyle w:val="Compact"/>
              <w:jc w:val="left"/>
            </w:pPr>
            <w:r>
              <w:t xml:space="preserve">Nebraska (remainder)</w:t>
            </w:r>
          </w:p>
        </w:tc>
        <w:tc>
          <w:tcPr/>
          <w:p>
            <w:pPr>
              <w:pStyle w:val="Compact"/>
              <w:jc w:val="left"/>
            </w:pPr>
            <w:r>
              <w:t xml:space="preserve">state</w:t>
            </w:r>
          </w:p>
        </w:tc>
        <w:tc>
          <w:tcPr/>
          <w:p>
            <w:pPr>
              <w:pStyle w:val="Compact"/>
              <w:jc w:val="left"/>
            </w:pPr>
            <w:r>
              <w:t xml:space="preserve">2015-01</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9.00</w:t>
            </w:r>
          </w:p>
        </w:tc>
        <w:tc>
          <w:tcPr/>
          <w:p>
            <w:pPr>
              <w:pStyle w:val="Compact"/>
              <w:jc w:val="right"/>
            </w:pPr>
            <w:r>
              <w:t xml:space="preserve">24</w:t>
            </w:r>
          </w:p>
        </w:tc>
        <w:tc>
          <w:tcPr/>
          <w:p>
            <w:pPr>
              <w:pStyle w:val="Compact"/>
              <w:jc w:val="right"/>
            </w:pPr>
            <w:r>
              <w:t xml:space="preserve">2</w:t>
            </w:r>
          </w:p>
        </w:tc>
        <w:tc>
          <w:tcPr/>
          <w:p>
            <w:pPr>
              <w:pStyle w:val="Compact"/>
              <w:jc w:val="right"/>
            </w:pPr>
            <w:r>
              <w:t xml:space="preserve">28</w:t>
            </w:r>
          </w:p>
        </w:tc>
      </w:tr>
      <w:tr>
        <w:tc>
          <w:tcPr/>
          <w:p>
            <w:pPr>
              <w:pStyle w:val="Compact"/>
              <w:jc w:val="left"/>
            </w:pPr>
            <w:r>
              <w:t xml:space="preserve">Rhode Island (remainder)</w:t>
            </w:r>
          </w:p>
        </w:tc>
        <w:tc>
          <w:tcPr/>
          <w:p>
            <w:pPr>
              <w:pStyle w:val="Compact"/>
              <w:jc w:val="left"/>
            </w:pPr>
            <w:r>
              <w:t xml:space="preserve">state</w:t>
            </w:r>
          </w:p>
        </w:tc>
        <w:tc>
          <w:tcPr/>
          <w:p>
            <w:pPr>
              <w:pStyle w:val="Compact"/>
              <w:jc w:val="left"/>
            </w:pPr>
            <w:r>
              <w:t xml:space="preserve">2015-01</w:t>
            </w:r>
          </w:p>
        </w:tc>
        <w:tc>
          <w:tcPr/>
          <w:p>
            <w:pPr>
              <w:pStyle w:val="Compact"/>
              <w:jc w:val="right"/>
            </w:pPr>
            <w:r>
              <w:t xml:space="preserve">8.00</w:t>
            </w:r>
          </w:p>
        </w:tc>
        <w:tc>
          <w:tcPr/>
          <w:p>
            <w:pPr>
              <w:pStyle w:val="Compact"/>
              <w:jc w:val="right"/>
            </w:pPr>
            <w:r>
              <w:t xml:space="preserve">9.00</w:t>
            </w:r>
          </w:p>
        </w:tc>
        <w:tc>
          <w:tcPr/>
          <w:p>
            <w:pPr>
              <w:pStyle w:val="Compact"/>
              <w:jc w:val="right"/>
            </w:pPr>
            <w:r>
              <w:t xml:space="preserve">10.10</w:t>
            </w:r>
          </w:p>
        </w:tc>
        <w:tc>
          <w:tcPr/>
          <w:p>
            <w:pPr>
              <w:pStyle w:val="Compact"/>
              <w:jc w:val="right"/>
            </w:pPr>
            <w:r>
              <w:t xml:space="preserve">26</w:t>
            </w:r>
          </w:p>
        </w:tc>
        <w:tc>
          <w:tcPr/>
          <w:p>
            <w:pPr>
              <w:pStyle w:val="Compact"/>
              <w:jc w:val="right"/>
            </w:pPr>
            <w:r>
              <w:t xml:space="preserve">3</w:t>
            </w:r>
          </w:p>
        </w:tc>
        <w:tc>
          <w:tcPr/>
          <w:p>
            <w:pPr>
              <w:pStyle w:val="Compact"/>
              <w:jc w:val="right"/>
            </w:pPr>
            <w:r>
              <w:t xml:space="preserve">28</w:t>
            </w:r>
          </w:p>
        </w:tc>
      </w:tr>
      <w:tr>
        <w:tc>
          <w:tcPr/>
          <w:p>
            <w:pPr>
              <w:pStyle w:val="Compact"/>
              <w:jc w:val="left"/>
            </w:pPr>
            <w:r>
              <w:t xml:space="preserve">South Dakota (remainder)</w:t>
            </w:r>
          </w:p>
        </w:tc>
        <w:tc>
          <w:tcPr/>
          <w:p>
            <w:pPr>
              <w:pStyle w:val="Compact"/>
              <w:jc w:val="left"/>
            </w:pPr>
            <w:r>
              <w:t xml:space="preserve">state</w:t>
            </w:r>
          </w:p>
        </w:tc>
        <w:tc>
          <w:tcPr/>
          <w:p>
            <w:pPr>
              <w:pStyle w:val="Compact"/>
              <w:jc w:val="left"/>
            </w:pPr>
            <w:r>
              <w:t xml:space="preserve">2015-01</w:t>
            </w:r>
          </w:p>
        </w:tc>
        <w:tc>
          <w:tcPr/>
          <w:p>
            <w:pPr>
              <w:pStyle w:val="Compact"/>
              <w:jc w:val="right"/>
            </w:pPr>
            <w:r>
              <w:t xml:space="preserve">7.25</w:t>
            </w:r>
          </w:p>
        </w:tc>
        <w:tc>
          <w:tcPr/>
          <w:p>
            <w:pPr>
              <w:pStyle w:val="Compact"/>
              <w:jc w:val="right"/>
            </w:pPr>
            <w:r>
              <w:t xml:space="preserve">8.50</w:t>
            </w:r>
          </w:p>
        </w:tc>
        <w:tc>
          <w:tcPr/>
          <w:p>
            <w:pPr>
              <w:pStyle w:val="Compact"/>
              <w:jc w:val="right"/>
            </w:pPr>
            <w:r>
              <w:t xml:space="preserve">8.85</w:t>
            </w:r>
          </w:p>
        </w:tc>
        <w:tc>
          <w:tcPr/>
          <w:p>
            <w:pPr>
              <w:pStyle w:val="Compact"/>
              <w:jc w:val="right"/>
            </w:pPr>
            <w:r>
              <w:t xml:space="preserve">22</w:t>
            </w:r>
          </w:p>
        </w:tc>
        <w:tc>
          <w:tcPr/>
          <w:p>
            <w:pPr>
              <w:pStyle w:val="Compact"/>
              <w:jc w:val="right"/>
            </w:pPr>
            <w:r>
              <w:t xml:space="preserve">1</w:t>
            </w:r>
          </w:p>
        </w:tc>
        <w:tc>
          <w:tcPr/>
          <w:p>
            <w:pPr>
              <w:pStyle w:val="Compact"/>
              <w:jc w:val="right"/>
            </w:pPr>
            <w:r>
              <w:t xml:space="preserve">28</w:t>
            </w:r>
          </w:p>
        </w:tc>
      </w:tr>
      <w:tr>
        <w:tc>
          <w:tcPr/>
          <w:p>
            <w:pPr>
              <w:pStyle w:val="Compact"/>
              <w:jc w:val="left"/>
            </w:pPr>
            <w:r>
              <w:t xml:space="preserve">West Virginia (remainder)</w:t>
            </w:r>
          </w:p>
        </w:tc>
        <w:tc>
          <w:tcPr/>
          <w:p>
            <w:pPr>
              <w:pStyle w:val="Compact"/>
              <w:jc w:val="left"/>
            </w:pPr>
            <w:r>
              <w:t xml:space="preserve">state</w:t>
            </w:r>
          </w:p>
        </w:tc>
        <w:tc>
          <w:tcPr/>
          <w:p>
            <w:pPr>
              <w:pStyle w:val="Compact"/>
              <w:jc w:val="left"/>
            </w:pPr>
            <w:r>
              <w:t xml:space="preserve">2015-01</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8.75</w:t>
            </w:r>
          </w:p>
        </w:tc>
        <w:tc>
          <w:tcPr/>
          <w:p>
            <w:pPr>
              <w:pStyle w:val="Compact"/>
              <w:jc w:val="right"/>
            </w:pPr>
            <w:r>
              <w:t xml:space="preserve">21</w:t>
            </w:r>
          </w:p>
        </w:tc>
        <w:tc>
          <w:tcPr/>
          <w:p>
            <w:pPr>
              <w:pStyle w:val="Compact"/>
              <w:jc w:val="right"/>
            </w:pPr>
            <w:r>
              <w:t xml:space="preserve">2</w:t>
            </w:r>
          </w:p>
        </w:tc>
        <w:tc>
          <w:tcPr/>
          <w:p>
            <w:pPr>
              <w:pStyle w:val="Compact"/>
              <w:jc w:val="right"/>
            </w:pPr>
            <w:r>
              <w:t xml:space="preserve">28</w:t>
            </w:r>
          </w:p>
        </w:tc>
      </w:tr>
      <w:tr>
        <w:tc>
          <w:tcPr/>
          <w:p>
            <w:pPr>
              <w:pStyle w:val="Compact"/>
              <w:jc w:val="left"/>
            </w:pPr>
            <w:r>
              <w:t xml:space="preserve">Arkansas (remainder)</w:t>
            </w:r>
          </w:p>
        </w:tc>
        <w:tc>
          <w:tcPr/>
          <w:p>
            <w:pPr>
              <w:pStyle w:val="Compact"/>
              <w:jc w:val="left"/>
            </w:pPr>
            <w:r>
              <w:t xml:space="preserve">state</w:t>
            </w:r>
          </w:p>
        </w:tc>
        <w:tc>
          <w:tcPr/>
          <w:p>
            <w:pPr>
              <w:pStyle w:val="Compact"/>
              <w:jc w:val="left"/>
            </w:pPr>
            <w:r>
              <w:t xml:space="preserve">2016-01</w:t>
            </w:r>
          </w:p>
        </w:tc>
        <w:tc>
          <w:tcPr/>
          <w:p>
            <w:pPr>
              <w:pStyle w:val="Compact"/>
              <w:jc w:val="right"/>
            </w:pPr>
            <w:r>
              <w:t xml:space="preserve">7.50</w:t>
            </w:r>
          </w:p>
        </w:tc>
        <w:tc>
          <w:tcPr/>
          <w:p>
            <w:pPr>
              <w:pStyle w:val="Compact"/>
              <w:jc w:val="right"/>
            </w:pPr>
            <w:r>
              <w:t xml:space="preserve">8.00</w:t>
            </w:r>
          </w:p>
        </w:tc>
        <w:tc>
          <w:tcPr/>
          <w:p>
            <w:pPr>
              <w:pStyle w:val="Compact"/>
              <w:jc w:val="right"/>
            </w:pPr>
            <w:r>
              <w:t xml:space="preserve">9.25</w:t>
            </w:r>
          </w:p>
        </w:tc>
        <w:tc>
          <w:tcPr/>
          <w:p>
            <w:pPr>
              <w:pStyle w:val="Compact"/>
              <w:jc w:val="right"/>
            </w:pPr>
            <w:r>
              <w:t xml:space="preserve">23</w:t>
            </w:r>
          </w:p>
        </w:tc>
        <w:tc>
          <w:tcPr/>
          <w:p>
            <w:pPr>
              <w:pStyle w:val="Compact"/>
              <w:jc w:val="right"/>
            </w:pPr>
            <w:r>
              <w:t xml:space="preserve">3</w:t>
            </w:r>
          </w:p>
        </w:tc>
        <w:tc>
          <w:tcPr/>
          <w:p>
            <w:pPr>
              <w:pStyle w:val="Compact"/>
              <w:jc w:val="right"/>
            </w:pPr>
            <w:r>
              <w:t xml:space="preserve">28</w:t>
            </w:r>
          </w:p>
        </w:tc>
      </w:tr>
      <w:tr>
        <w:tc>
          <w:tcPr/>
          <w:p>
            <w:pPr>
              <w:pStyle w:val="Compact"/>
              <w:jc w:val="left"/>
            </w:pPr>
            <w:r>
              <w:t xml:space="preserve">Oregon (remainder)</w:t>
            </w:r>
          </w:p>
        </w:tc>
        <w:tc>
          <w:tcPr/>
          <w:p>
            <w:pPr>
              <w:pStyle w:val="Compact"/>
              <w:jc w:val="left"/>
            </w:pPr>
            <w:r>
              <w:t xml:space="preserve">state</w:t>
            </w:r>
          </w:p>
        </w:tc>
        <w:tc>
          <w:tcPr/>
          <w:p>
            <w:pPr>
              <w:pStyle w:val="Compact"/>
              <w:jc w:val="left"/>
            </w:pPr>
            <w:r>
              <w:t xml:space="preserve">2016-07</w:t>
            </w:r>
          </w:p>
        </w:tc>
        <w:tc>
          <w:tcPr/>
          <w:p>
            <w:pPr>
              <w:pStyle w:val="Compact"/>
              <w:jc w:val="right"/>
            </w:pPr>
            <w:r>
              <w:t xml:space="preserve">9.25</w:t>
            </w:r>
          </w:p>
        </w:tc>
        <w:tc>
          <w:tcPr/>
          <w:p>
            <w:pPr>
              <w:pStyle w:val="Compact"/>
              <w:jc w:val="right"/>
            </w:pPr>
            <w:r>
              <w:t xml:space="preserve">9.75</w:t>
            </w:r>
          </w:p>
        </w:tc>
        <w:tc>
          <w:tcPr/>
          <w:p>
            <w:pPr>
              <w:pStyle w:val="Compact"/>
              <w:jc w:val="right"/>
            </w:pPr>
            <w:r>
              <w:t xml:space="preserve">11.25</w:t>
            </w:r>
          </w:p>
        </w:tc>
        <w:tc>
          <w:tcPr/>
          <w:p>
            <w:pPr>
              <w:pStyle w:val="Compact"/>
              <w:jc w:val="right"/>
            </w:pPr>
            <w:r>
              <w:t xml:space="preserve">22</w:t>
            </w:r>
          </w:p>
        </w:tc>
        <w:tc>
          <w:tcPr/>
          <w:p>
            <w:pPr>
              <w:pStyle w:val="Compact"/>
              <w:jc w:val="right"/>
            </w:pPr>
            <w:r>
              <w:t xml:space="preserve">2</w:t>
            </w:r>
          </w:p>
        </w:tc>
        <w:tc>
          <w:tcPr/>
          <w:p>
            <w:pPr>
              <w:pStyle w:val="Compact"/>
              <w:jc w:val="right"/>
            </w:pPr>
            <w:r>
              <w:t xml:space="preserve">27</w:t>
            </w:r>
          </w:p>
        </w:tc>
      </w:tr>
      <w:tr>
        <w:tc>
          <w:tcPr/>
          <w:p>
            <w:pPr>
              <w:pStyle w:val="Compact"/>
              <w:jc w:val="left"/>
            </w:pPr>
            <w:r>
              <w:t xml:space="preserve">Arizona (remainder)</w:t>
            </w:r>
          </w:p>
        </w:tc>
        <w:tc>
          <w:tcPr/>
          <w:p>
            <w:pPr>
              <w:pStyle w:val="Compact"/>
              <w:jc w:val="left"/>
            </w:pPr>
            <w:r>
              <w:t xml:space="preserve">state</w:t>
            </w:r>
          </w:p>
        </w:tc>
        <w:tc>
          <w:tcPr/>
          <w:p>
            <w:pPr>
              <w:pStyle w:val="Compact"/>
              <w:jc w:val="left"/>
            </w:pPr>
            <w:r>
              <w:t xml:space="preserve">2017-01</w:t>
            </w:r>
          </w:p>
        </w:tc>
        <w:tc>
          <w:tcPr/>
          <w:p>
            <w:pPr>
              <w:pStyle w:val="Compact"/>
              <w:jc w:val="right"/>
            </w:pPr>
            <w:r>
              <w:t xml:space="preserve">8.05</w:t>
            </w:r>
          </w:p>
        </w:tc>
        <w:tc>
          <w:tcPr/>
          <w:p>
            <w:pPr>
              <w:pStyle w:val="Compact"/>
              <w:jc w:val="right"/>
            </w:pPr>
            <w:r>
              <w:t xml:space="preserve">10.00</w:t>
            </w:r>
          </w:p>
        </w:tc>
        <w:tc>
          <w:tcPr/>
          <w:p>
            <w:pPr>
              <w:pStyle w:val="Compact"/>
              <w:jc w:val="right"/>
            </w:pPr>
            <w:r>
              <w:t xml:space="preserve">12.00</w:t>
            </w:r>
          </w:p>
        </w:tc>
        <w:tc>
          <w:tcPr/>
          <w:p>
            <w:pPr>
              <w:pStyle w:val="Compact"/>
              <w:jc w:val="right"/>
            </w:pPr>
            <w:r>
              <w:t xml:space="preserve">49</w:t>
            </w:r>
          </w:p>
        </w:tc>
        <w:tc>
          <w:tcPr/>
          <w:p>
            <w:pPr>
              <w:pStyle w:val="Compact"/>
              <w:jc w:val="right"/>
            </w:pPr>
            <w:r>
              <w:t xml:space="preserve">3</w:t>
            </w:r>
          </w:p>
        </w:tc>
        <w:tc>
          <w:tcPr/>
          <w:p>
            <w:pPr>
              <w:pStyle w:val="Compact"/>
              <w:jc w:val="right"/>
            </w:pPr>
            <w:r>
              <w:t xml:space="preserve">26</w:t>
            </w:r>
          </w:p>
        </w:tc>
      </w:tr>
      <w:tr>
        <w:tc>
          <w:tcPr/>
          <w:p>
            <w:pPr>
              <w:pStyle w:val="Compact"/>
              <w:jc w:val="left"/>
            </w:pPr>
            <w:r>
              <w:t xml:space="preserve">Colorado (remainder)</w:t>
            </w:r>
          </w:p>
        </w:tc>
        <w:tc>
          <w:tcPr/>
          <w:p>
            <w:pPr>
              <w:pStyle w:val="Compact"/>
              <w:jc w:val="left"/>
            </w:pPr>
            <w:r>
              <w:t xml:space="preserve">state</w:t>
            </w:r>
          </w:p>
        </w:tc>
        <w:tc>
          <w:tcPr/>
          <w:p>
            <w:pPr>
              <w:pStyle w:val="Compact"/>
              <w:jc w:val="left"/>
            </w:pPr>
            <w:r>
              <w:t xml:space="preserve">2017-01</w:t>
            </w:r>
          </w:p>
        </w:tc>
        <w:tc>
          <w:tcPr/>
          <w:p>
            <w:pPr>
              <w:pStyle w:val="Compact"/>
              <w:jc w:val="right"/>
            </w:pPr>
            <w:r>
              <w:t xml:space="preserve">8.31</w:t>
            </w:r>
          </w:p>
        </w:tc>
        <w:tc>
          <w:tcPr/>
          <w:p>
            <w:pPr>
              <w:pStyle w:val="Compact"/>
              <w:jc w:val="right"/>
            </w:pPr>
            <w:r>
              <w:t xml:space="preserve">9.30</w:t>
            </w:r>
          </w:p>
        </w:tc>
        <w:tc>
          <w:tcPr/>
          <w:p>
            <w:pPr>
              <w:pStyle w:val="Compact"/>
              <w:jc w:val="right"/>
            </w:pPr>
            <w:r>
              <w:t xml:space="preserve">12.00</w:t>
            </w:r>
          </w:p>
        </w:tc>
        <w:tc>
          <w:tcPr/>
          <w:p>
            <w:pPr>
              <w:pStyle w:val="Compact"/>
              <w:jc w:val="right"/>
            </w:pPr>
            <w:r>
              <w:t xml:space="preserve">44</w:t>
            </w:r>
          </w:p>
        </w:tc>
        <w:tc>
          <w:tcPr/>
          <w:p>
            <w:pPr>
              <w:pStyle w:val="Compact"/>
              <w:jc w:val="right"/>
            </w:pPr>
            <w:r>
              <w:t xml:space="preserve">4</w:t>
            </w:r>
          </w:p>
        </w:tc>
        <w:tc>
          <w:tcPr/>
          <w:p>
            <w:pPr>
              <w:pStyle w:val="Compact"/>
              <w:jc w:val="right"/>
            </w:pPr>
            <w:r>
              <w:t xml:space="preserve">26</w:t>
            </w:r>
          </w:p>
        </w:tc>
      </w:tr>
      <w:tr>
        <w:tc>
          <w:tcPr/>
          <w:p>
            <w:pPr>
              <w:pStyle w:val="Compact"/>
              <w:jc w:val="left"/>
            </w:pPr>
            <w:r>
              <w:t xml:space="preserve">Maine (remainder)</w:t>
            </w:r>
          </w:p>
        </w:tc>
        <w:tc>
          <w:tcPr/>
          <w:p>
            <w:pPr>
              <w:pStyle w:val="Compact"/>
              <w:jc w:val="left"/>
            </w:pPr>
            <w:r>
              <w:t xml:space="preserve">state</w:t>
            </w:r>
          </w:p>
        </w:tc>
        <w:tc>
          <w:tcPr/>
          <w:p>
            <w:pPr>
              <w:pStyle w:val="Compact"/>
              <w:jc w:val="left"/>
            </w:pPr>
            <w:r>
              <w:t xml:space="preserve">2017-01</w:t>
            </w:r>
          </w:p>
        </w:tc>
        <w:tc>
          <w:tcPr/>
          <w:p>
            <w:pPr>
              <w:pStyle w:val="Compact"/>
              <w:jc w:val="right"/>
            </w:pPr>
            <w:r>
              <w:t xml:space="preserve">7.50</w:t>
            </w:r>
          </w:p>
        </w:tc>
        <w:tc>
          <w:tcPr/>
          <w:p>
            <w:pPr>
              <w:pStyle w:val="Compact"/>
              <w:jc w:val="right"/>
            </w:pPr>
            <w:r>
              <w:t xml:space="preserve">9.00</w:t>
            </w:r>
          </w:p>
        </w:tc>
        <w:tc>
          <w:tcPr/>
          <w:p>
            <w:pPr>
              <w:pStyle w:val="Compact"/>
              <w:jc w:val="right"/>
            </w:pPr>
            <w:r>
              <w:t xml:space="preserve">12.00</w:t>
            </w:r>
          </w:p>
        </w:tc>
        <w:tc>
          <w:tcPr/>
          <w:p>
            <w:pPr>
              <w:pStyle w:val="Compact"/>
              <w:jc w:val="right"/>
            </w:pPr>
            <w:r>
              <w:t xml:space="preserve">60</w:t>
            </w:r>
          </w:p>
        </w:tc>
        <w:tc>
          <w:tcPr/>
          <w:p>
            <w:pPr>
              <w:pStyle w:val="Compact"/>
              <w:jc w:val="right"/>
            </w:pPr>
            <w:r>
              <w:t xml:space="preserve">4</w:t>
            </w:r>
          </w:p>
        </w:tc>
        <w:tc>
          <w:tcPr/>
          <w:p>
            <w:pPr>
              <w:pStyle w:val="Compact"/>
              <w:jc w:val="right"/>
            </w:pPr>
            <w:r>
              <w:t xml:space="preserve">26</w:t>
            </w:r>
          </w:p>
        </w:tc>
      </w:tr>
      <w:tr>
        <w:tc>
          <w:tcPr/>
          <w:p>
            <w:pPr>
              <w:pStyle w:val="Compact"/>
              <w:jc w:val="left"/>
            </w:pPr>
            <w:r>
              <w:t xml:space="preserve">Washington (remainder)</w:t>
            </w:r>
          </w:p>
        </w:tc>
        <w:tc>
          <w:tcPr/>
          <w:p>
            <w:pPr>
              <w:pStyle w:val="Compact"/>
              <w:jc w:val="left"/>
            </w:pPr>
            <w:r>
              <w:t xml:space="preserve">state</w:t>
            </w:r>
          </w:p>
        </w:tc>
        <w:tc>
          <w:tcPr/>
          <w:p>
            <w:pPr>
              <w:pStyle w:val="Compact"/>
              <w:jc w:val="left"/>
            </w:pPr>
            <w:r>
              <w:t xml:space="preserve">2017-01</w:t>
            </w:r>
          </w:p>
        </w:tc>
        <w:tc>
          <w:tcPr/>
          <w:p>
            <w:pPr>
              <w:pStyle w:val="Compact"/>
              <w:jc w:val="right"/>
            </w:pPr>
            <w:r>
              <w:t xml:space="preserve">9.47</w:t>
            </w:r>
          </w:p>
        </w:tc>
        <w:tc>
          <w:tcPr/>
          <w:p>
            <w:pPr>
              <w:pStyle w:val="Compact"/>
              <w:jc w:val="right"/>
            </w:pPr>
            <w:r>
              <w:t xml:space="preserve">11.00</w:t>
            </w:r>
          </w:p>
        </w:tc>
        <w:tc>
          <w:tcPr/>
          <w:p>
            <w:pPr>
              <w:pStyle w:val="Compact"/>
              <w:jc w:val="right"/>
            </w:pPr>
            <w:r>
              <w:t xml:space="preserve">13.50</w:t>
            </w:r>
          </w:p>
        </w:tc>
        <w:tc>
          <w:tcPr/>
          <w:p>
            <w:pPr>
              <w:pStyle w:val="Compact"/>
              <w:jc w:val="right"/>
            </w:pPr>
            <w:r>
              <w:t xml:space="preserve">43</w:t>
            </w:r>
          </w:p>
        </w:tc>
        <w:tc>
          <w:tcPr/>
          <w:p>
            <w:pPr>
              <w:pStyle w:val="Compact"/>
              <w:jc w:val="right"/>
            </w:pPr>
            <w:r>
              <w:t xml:space="preserve">2</w:t>
            </w:r>
          </w:p>
        </w:tc>
        <w:tc>
          <w:tcPr/>
          <w:p>
            <w:pPr>
              <w:pStyle w:val="Compact"/>
              <w:jc w:val="right"/>
            </w:pPr>
            <w:r>
              <w:t xml:space="preserve">26</w:t>
            </w:r>
          </w:p>
        </w:tc>
      </w:tr>
      <w:tr>
        <w:tc>
          <w:tcPr/>
          <w:p>
            <w:pPr>
              <w:pStyle w:val="Compact"/>
              <w:jc w:val="left"/>
            </w:pPr>
            <w:r>
              <w:t xml:space="preserve">Vermont (remainder)</w:t>
            </w:r>
          </w:p>
        </w:tc>
        <w:tc>
          <w:tcPr/>
          <w:p>
            <w:pPr>
              <w:pStyle w:val="Compact"/>
              <w:jc w:val="left"/>
            </w:pPr>
            <w:r>
              <w:t xml:space="preserve">state</w:t>
            </w:r>
          </w:p>
        </w:tc>
        <w:tc>
          <w:tcPr/>
          <w:p>
            <w:pPr>
              <w:pStyle w:val="Compact"/>
              <w:jc w:val="left"/>
            </w:pPr>
            <w:r>
              <w:t xml:space="preserve">2018-01</w:t>
            </w:r>
          </w:p>
        </w:tc>
        <w:tc>
          <w:tcPr/>
          <w:p>
            <w:pPr>
              <w:pStyle w:val="Compact"/>
              <w:jc w:val="right"/>
            </w:pPr>
            <w:r>
              <w:t xml:space="preserve">10.00</w:t>
            </w:r>
          </w:p>
        </w:tc>
        <w:tc>
          <w:tcPr/>
          <w:p>
            <w:pPr>
              <w:pStyle w:val="Compact"/>
              <w:jc w:val="right"/>
            </w:pPr>
            <w:r>
              <w:t xml:space="preserve">10.50</w:t>
            </w:r>
          </w:p>
        </w:tc>
        <w:tc>
          <w:tcPr/>
          <w:p>
            <w:pPr>
              <w:pStyle w:val="Compact"/>
              <w:jc w:val="right"/>
            </w:pPr>
            <w:r>
              <w:t xml:space="preserve">11.75</w:t>
            </w:r>
          </w:p>
        </w:tc>
        <w:tc>
          <w:tcPr/>
          <w:p>
            <w:pPr>
              <w:pStyle w:val="Compact"/>
              <w:jc w:val="right"/>
            </w:pPr>
            <w:r>
              <w:t xml:space="preserve">18</w:t>
            </w:r>
          </w:p>
        </w:tc>
        <w:tc>
          <w:tcPr/>
          <w:p>
            <w:pPr>
              <w:pStyle w:val="Compact"/>
              <w:jc w:val="right"/>
            </w:pPr>
            <w:r>
              <w:t xml:space="preserve">2</w:t>
            </w:r>
          </w:p>
        </w:tc>
        <w:tc>
          <w:tcPr/>
          <w:p>
            <w:pPr>
              <w:pStyle w:val="Compact"/>
              <w:jc w:val="right"/>
            </w:pPr>
            <w:r>
              <w:t xml:space="preserve">24</w:t>
            </w:r>
          </w:p>
        </w:tc>
      </w:tr>
      <w:tr>
        <w:tc>
          <w:tcPr/>
          <w:p>
            <w:pPr>
              <w:pStyle w:val="Compact"/>
              <w:jc w:val="left"/>
            </w:pPr>
            <w:r>
              <w:t xml:space="preserve">Delaware (remainder)</w:t>
            </w:r>
          </w:p>
        </w:tc>
        <w:tc>
          <w:tcPr/>
          <w:p>
            <w:pPr>
              <w:pStyle w:val="Compact"/>
              <w:jc w:val="left"/>
            </w:pPr>
            <w:r>
              <w:t xml:space="preserve">state</w:t>
            </w:r>
          </w:p>
        </w:tc>
        <w:tc>
          <w:tcPr/>
          <w:p>
            <w:pPr>
              <w:pStyle w:val="Compact"/>
              <w:jc w:val="left"/>
            </w:pPr>
            <w:r>
              <w:t xml:space="preserve">2019-01</w:t>
            </w:r>
          </w:p>
        </w:tc>
        <w:tc>
          <w:tcPr/>
          <w:p>
            <w:pPr>
              <w:pStyle w:val="Compact"/>
              <w:jc w:val="right"/>
            </w:pPr>
            <w:r>
              <w:t xml:space="preserve">8.25</w:t>
            </w:r>
          </w:p>
        </w:tc>
        <w:tc>
          <w:tcPr/>
          <w:p>
            <w:pPr>
              <w:pStyle w:val="Compact"/>
              <w:jc w:val="right"/>
            </w:pPr>
            <w:r>
              <w:t xml:space="preserve">8.75</w:t>
            </w:r>
          </w:p>
        </w:tc>
        <w:tc>
          <w:tcPr/>
          <w:p>
            <w:pPr>
              <w:pStyle w:val="Compact"/>
              <w:jc w:val="right"/>
            </w:pPr>
            <w:r>
              <w:t xml:space="preserve">10.50</w:t>
            </w:r>
          </w:p>
        </w:tc>
        <w:tc>
          <w:tcPr/>
          <w:p>
            <w:pPr>
              <w:pStyle w:val="Compact"/>
              <w:jc w:val="right"/>
            </w:pPr>
            <w:r>
              <w:t xml:space="preserve">27</w:t>
            </w:r>
          </w:p>
        </w:tc>
        <w:tc>
          <w:tcPr/>
          <w:p>
            <w:pPr>
              <w:pStyle w:val="Compact"/>
              <w:jc w:val="right"/>
            </w:pPr>
            <w:r>
              <w:t xml:space="preserve">3</w:t>
            </w:r>
          </w:p>
        </w:tc>
        <w:tc>
          <w:tcPr/>
          <w:p>
            <w:pPr>
              <w:pStyle w:val="Compact"/>
              <w:jc w:val="right"/>
            </w:pPr>
            <w:r>
              <w:t xml:space="preserve">22</w:t>
            </w:r>
          </w:p>
        </w:tc>
      </w:tr>
      <w:tr>
        <w:tc>
          <w:tcPr/>
          <w:p>
            <w:pPr>
              <w:pStyle w:val="Compact"/>
              <w:jc w:val="left"/>
            </w:pPr>
            <w:r>
              <w:t xml:space="preserve">Missouri (remainder)</w:t>
            </w:r>
          </w:p>
        </w:tc>
        <w:tc>
          <w:tcPr/>
          <w:p>
            <w:pPr>
              <w:pStyle w:val="Compact"/>
              <w:jc w:val="left"/>
            </w:pPr>
            <w:r>
              <w:t xml:space="preserve">state</w:t>
            </w:r>
          </w:p>
        </w:tc>
        <w:tc>
          <w:tcPr/>
          <w:p>
            <w:pPr>
              <w:pStyle w:val="Compact"/>
              <w:jc w:val="left"/>
            </w:pPr>
            <w:r>
              <w:t xml:space="preserve">2019-01</w:t>
            </w:r>
          </w:p>
        </w:tc>
        <w:tc>
          <w:tcPr/>
          <w:p>
            <w:pPr>
              <w:pStyle w:val="Compact"/>
              <w:jc w:val="right"/>
            </w:pPr>
            <w:r>
              <w:t xml:space="preserve">7.85</w:t>
            </w:r>
          </w:p>
        </w:tc>
        <w:tc>
          <w:tcPr/>
          <w:p>
            <w:pPr>
              <w:pStyle w:val="Compact"/>
              <w:jc w:val="right"/>
            </w:pPr>
            <w:r>
              <w:t xml:space="preserve">8.60</w:t>
            </w:r>
          </w:p>
        </w:tc>
        <w:tc>
          <w:tcPr/>
          <w:p>
            <w:pPr>
              <w:pStyle w:val="Compact"/>
              <w:jc w:val="right"/>
            </w:pPr>
            <w:r>
              <w:t xml:space="preserve">11.15</w:t>
            </w:r>
          </w:p>
        </w:tc>
        <w:tc>
          <w:tcPr/>
          <w:p>
            <w:pPr>
              <w:pStyle w:val="Compact"/>
              <w:jc w:val="right"/>
            </w:pPr>
            <w:r>
              <w:t xml:space="preserve">42</w:t>
            </w:r>
          </w:p>
        </w:tc>
        <w:tc>
          <w:tcPr/>
          <w:p>
            <w:pPr>
              <w:pStyle w:val="Compact"/>
              <w:jc w:val="right"/>
            </w:pPr>
            <w:r>
              <w:t xml:space="preserve">4</w:t>
            </w:r>
          </w:p>
        </w:tc>
        <w:tc>
          <w:tcPr/>
          <w:p>
            <w:pPr>
              <w:pStyle w:val="Compact"/>
              <w:jc w:val="right"/>
            </w:pPr>
            <w:r>
              <w:t xml:space="preserve">22</w:t>
            </w:r>
          </w:p>
        </w:tc>
      </w:tr>
      <w:tr>
        <w:tc>
          <w:tcPr/>
          <w:p>
            <w:pPr>
              <w:pStyle w:val="Compact"/>
              <w:jc w:val="left"/>
            </w:pPr>
            <w:r>
              <w:t xml:space="preserve">New Jersey (remainder)</w:t>
            </w:r>
          </w:p>
        </w:tc>
        <w:tc>
          <w:tcPr/>
          <w:p>
            <w:pPr>
              <w:pStyle w:val="Compact"/>
              <w:jc w:val="left"/>
            </w:pPr>
            <w:r>
              <w:t xml:space="preserve">state</w:t>
            </w:r>
          </w:p>
        </w:tc>
        <w:tc>
          <w:tcPr/>
          <w:p>
            <w:pPr>
              <w:pStyle w:val="Compact"/>
              <w:jc w:val="left"/>
            </w:pPr>
            <w:r>
              <w:t xml:space="preserve">2019-07</w:t>
            </w:r>
          </w:p>
        </w:tc>
        <w:tc>
          <w:tcPr/>
          <w:p>
            <w:pPr>
              <w:pStyle w:val="Compact"/>
              <w:jc w:val="right"/>
            </w:pPr>
            <w:r>
              <w:t xml:space="preserve">8.85</w:t>
            </w:r>
          </w:p>
        </w:tc>
        <w:tc>
          <w:tcPr/>
          <w:p>
            <w:pPr>
              <w:pStyle w:val="Compact"/>
              <w:jc w:val="right"/>
            </w:pPr>
            <w:r>
              <w:t xml:space="preserve">10.00</w:t>
            </w:r>
          </w:p>
        </w:tc>
        <w:tc>
          <w:tcPr/>
          <w:p>
            <w:pPr>
              <w:pStyle w:val="Compact"/>
              <w:jc w:val="right"/>
            </w:pPr>
            <w:r>
              <w:t xml:space="preserve">14.00</w:t>
            </w:r>
          </w:p>
        </w:tc>
        <w:tc>
          <w:tcPr/>
          <w:p>
            <w:pPr>
              <w:pStyle w:val="Compact"/>
              <w:jc w:val="right"/>
            </w:pPr>
            <w:r>
              <w:t xml:space="preserve">58</w:t>
            </w:r>
          </w:p>
        </w:tc>
        <w:tc>
          <w:tcPr/>
          <w:p>
            <w:pPr>
              <w:pStyle w:val="Compact"/>
              <w:jc w:val="right"/>
            </w:pPr>
            <w:r>
              <w:t xml:space="preserve">5</w:t>
            </w:r>
          </w:p>
        </w:tc>
        <w:tc>
          <w:tcPr/>
          <w:p>
            <w:pPr>
              <w:pStyle w:val="Compact"/>
              <w:jc w:val="right"/>
            </w:pPr>
            <w:r>
              <w:t xml:space="preserve">24</w:t>
            </w:r>
          </w:p>
        </w:tc>
      </w:tr>
      <w:tr>
        <w:tc>
          <w:tcPr/>
          <w:p>
            <w:pPr>
              <w:pStyle w:val="Compact"/>
              <w:jc w:val="left"/>
            </w:pPr>
            <w:r>
              <w:t xml:space="preserve">Illinois (remainder)</w:t>
            </w:r>
          </w:p>
        </w:tc>
        <w:tc>
          <w:tcPr/>
          <w:p>
            <w:pPr>
              <w:pStyle w:val="Compact"/>
              <w:jc w:val="left"/>
            </w:pPr>
            <w:r>
              <w:t xml:space="preserve">state</w:t>
            </w:r>
          </w:p>
        </w:tc>
        <w:tc>
          <w:tcPr/>
          <w:p>
            <w:pPr>
              <w:pStyle w:val="Compact"/>
              <w:jc w:val="left"/>
            </w:pPr>
            <w:r>
              <w:t xml:space="preserve">2020-01</w:t>
            </w:r>
          </w:p>
        </w:tc>
        <w:tc>
          <w:tcPr/>
          <w:p>
            <w:pPr>
              <w:pStyle w:val="Compact"/>
              <w:jc w:val="right"/>
            </w:pPr>
            <w:r>
              <w:t xml:space="preserve">8.25</w:t>
            </w:r>
          </w:p>
        </w:tc>
        <w:tc>
          <w:tcPr/>
          <w:p>
            <w:pPr>
              <w:pStyle w:val="Compact"/>
              <w:jc w:val="right"/>
            </w:pPr>
            <w:r>
              <w:t xml:space="preserve">9.25</w:t>
            </w:r>
          </w:p>
        </w:tc>
        <w:tc>
          <w:tcPr/>
          <w:p>
            <w:pPr>
              <w:pStyle w:val="Compact"/>
              <w:jc w:val="right"/>
            </w:pPr>
            <w:r>
              <w:t xml:space="preserve">13.00</w:t>
            </w:r>
          </w:p>
        </w:tc>
        <w:tc>
          <w:tcPr/>
          <w:p>
            <w:pPr>
              <w:pStyle w:val="Compact"/>
              <w:jc w:val="right"/>
            </w:pPr>
            <w:r>
              <w:t xml:space="preserve">58</w:t>
            </w:r>
          </w:p>
        </w:tc>
        <w:tc>
          <w:tcPr/>
          <w:p>
            <w:pPr>
              <w:pStyle w:val="Compact"/>
              <w:jc w:val="right"/>
            </w:pPr>
            <w:r>
              <w:t xml:space="preserve">5</w:t>
            </w:r>
          </w:p>
        </w:tc>
        <w:tc>
          <w:tcPr/>
          <w:p>
            <w:pPr>
              <w:pStyle w:val="Compact"/>
              <w:jc w:val="right"/>
            </w:pPr>
            <w:r>
              <w:t xml:space="preserve">27</w:t>
            </w:r>
          </w:p>
        </w:tc>
      </w:tr>
      <w:tr>
        <w:tc>
          <w:tcPr/>
          <w:p>
            <w:pPr>
              <w:pStyle w:val="Compact"/>
              <w:jc w:val="left"/>
            </w:pPr>
            <w:r>
              <w:t xml:space="preserve">New Mexico (remainder)</w:t>
            </w:r>
          </w:p>
        </w:tc>
        <w:tc>
          <w:tcPr/>
          <w:p>
            <w:pPr>
              <w:pStyle w:val="Compact"/>
              <w:jc w:val="left"/>
            </w:pPr>
            <w:r>
              <w:t xml:space="preserve">state</w:t>
            </w:r>
          </w:p>
        </w:tc>
        <w:tc>
          <w:tcPr/>
          <w:p>
            <w:pPr>
              <w:pStyle w:val="Compact"/>
              <w:jc w:val="left"/>
            </w:pPr>
            <w:r>
              <w:t xml:space="preserve">2020-01</w:t>
            </w:r>
          </w:p>
        </w:tc>
        <w:tc>
          <w:tcPr/>
          <w:p>
            <w:pPr>
              <w:pStyle w:val="Compact"/>
              <w:jc w:val="right"/>
            </w:pPr>
            <w:r>
              <w:t xml:space="preserve">7.50</w:t>
            </w:r>
          </w:p>
        </w:tc>
        <w:tc>
          <w:tcPr/>
          <w:p>
            <w:pPr>
              <w:pStyle w:val="Compact"/>
              <w:jc w:val="right"/>
            </w:pPr>
            <w:r>
              <w:t xml:space="preserve">9.00</w:t>
            </w:r>
          </w:p>
        </w:tc>
        <w:tc>
          <w:tcPr/>
          <w:p>
            <w:pPr>
              <w:pStyle w:val="Compact"/>
              <w:jc w:val="right"/>
            </w:pPr>
            <w:r>
              <w:t xml:space="preserve">12.00</w:t>
            </w:r>
          </w:p>
        </w:tc>
        <w:tc>
          <w:tcPr/>
          <w:p>
            <w:pPr>
              <w:pStyle w:val="Compact"/>
              <w:jc w:val="right"/>
            </w:pPr>
            <w:r>
              <w:t xml:space="preserve">60</w:t>
            </w:r>
          </w:p>
        </w:tc>
        <w:tc>
          <w:tcPr/>
          <w:p>
            <w:pPr>
              <w:pStyle w:val="Compact"/>
              <w:jc w:val="right"/>
            </w:pPr>
            <w:r>
              <w:t xml:space="preserve">3</w:t>
            </w:r>
          </w:p>
        </w:tc>
        <w:tc>
          <w:tcPr/>
          <w:p>
            <w:pPr>
              <w:pStyle w:val="Compact"/>
              <w:jc w:val="right"/>
            </w:pPr>
            <w:r>
              <w:t xml:space="preserve">27</w:t>
            </w:r>
          </w:p>
        </w:tc>
      </w:tr>
      <w:tr>
        <w:tc>
          <w:tcPr/>
          <w:p>
            <w:pPr>
              <w:pStyle w:val="Compact"/>
              <w:jc w:val="left"/>
            </w:pPr>
            <w:r>
              <w:t xml:space="preserve">Nevada (remainder)</w:t>
            </w:r>
          </w:p>
        </w:tc>
        <w:tc>
          <w:tcPr/>
          <w:p>
            <w:pPr>
              <w:pStyle w:val="Compact"/>
              <w:jc w:val="left"/>
            </w:pPr>
            <w:r>
              <w:t xml:space="preserve">state</w:t>
            </w:r>
          </w:p>
        </w:tc>
        <w:tc>
          <w:tcPr/>
          <w:p>
            <w:pPr>
              <w:pStyle w:val="Compact"/>
              <w:jc w:val="left"/>
            </w:pPr>
            <w:r>
              <w:t xml:space="preserve">2020-07</w:t>
            </w:r>
          </w:p>
        </w:tc>
        <w:tc>
          <w:tcPr/>
          <w:p>
            <w:pPr>
              <w:pStyle w:val="Compact"/>
              <w:jc w:val="right"/>
            </w:pPr>
            <w:r>
              <w:t xml:space="preserve">8.25</w:t>
            </w:r>
          </w:p>
        </w:tc>
        <w:tc>
          <w:tcPr/>
          <w:p>
            <w:pPr>
              <w:pStyle w:val="Compact"/>
              <w:jc w:val="right"/>
            </w:pPr>
            <w:r>
              <w:t xml:space="preserve">9.00</w:t>
            </w:r>
          </w:p>
        </w:tc>
        <w:tc>
          <w:tcPr/>
          <w:p>
            <w:pPr>
              <w:pStyle w:val="Compact"/>
              <w:jc w:val="right"/>
            </w:pPr>
            <w:r>
              <w:t xml:space="preserve">11.25</w:t>
            </w:r>
          </w:p>
        </w:tc>
        <w:tc>
          <w:tcPr/>
          <w:p>
            <w:pPr>
              <w:pStyle w:val="Compact"/>
              <w:jc w:val="right"/>
            </w:pPr>
            <w:r>
              <w:t xml:space="preserve">36</w:t>
            </w:r>
          </w:p>
        </w:tc>
        <w:tc>
          <w:tcPr/>
          <w:p>
            <w:pPr>
              <w:pStyle w:val="Compact"/>
              <w:jc w:val="right"/>
            </w:pPr>
            <w:r>
              <w:t xml:space="preserve">4</w:t>
            </w:r>
          </w:p>
        </w:tc>
        <w:tc>
          <w:tcPr/>
          <w:p>
            <w:pPr>
              <w:pStyle w:val="Compact"/>
              <w:jc w:val="right"/>
            </w:pPr>
            <w:r>
              <w:t xml:space="preserve">29</w:t>
            </w:r>
          </w:p>
        </w:tc>
      </w:tr>
      <w:tr>
        <w:tc>
          <w:tcPr/>
          <w:p>
            <w:pPr>
              <w:pStyle w:val="Compact"/>
              <w:jc w:val="left"/>
            </w:pPr>
            <w:r>
              <w:t xml:space="preserve">Virginia (remainder)</w:t>
            </w:r>
          </w:p>
        </w:tc>
        <w:tc>
          <w:tcPr/>
          <w:p>
            <w:pPr>
              <w:pStyle w:val="Compact"/>
              <w:jc w:val="left"/>
            </w:pPr>
            <w:r>
              <w:t xml:space="preserve">state</w:t>
            </w:r>
          </w:p>
        </w:tc>
        <w:tc>
          <w:tcPr/>
          <w:p>
            <w:pPr>
              <w:pStyle w:val="Compact"/>
              <w:jc w:val="left"/>
            </w:pPr>
            <w:r>
              <w:t xml:space="preserve">2021-05</w:t>
            </w:r>
          </w:p>
        </w:tc>
        <w:tc>
          <w:tcPr/>
          <w:p>
            <w:pPr>
              <w:pStyle w:val="Compact"/>
              <w:jc w:val="right"/>
            </w:pPr>
            <w:r>
              <w:t xml:space="preserve">7.25</w:t>
            </w:r>
          </w:p>
        </w:tc>
        <w:tc>
          <w:tcPr/>
          <w:p>
            <w:pPr>
              <w:pStyle w:val="Compact"/>
              <w:jc w:val="right"/>
            </w:pPr>
            <w:r>
              <w:t xml:space="preserve">9.50</w:t>
            </w:r>
          </w:p>
        </w:tc>
        <w:tc>
          <w:tcPr/>
          <w:p>
            <w:pPr>
              <w:pStyle w:val="Compact"/>
              <w:jc w:val="right"/>
            </w:pPr>
            <w:r>
              <w:t xml:space="preserve">13.50</w:t>
            </w:r>
          </w:p>
        </w:tc>
        <w:tc>
          <w:tcPr/>
          <w:p>
            <w:pPr>
              <w:pStyle w:val="Compact"/>
              <w:jc w:val="right"/>
            </w:pPr>
            <w:r>
              <w:t xml:space="preserve">86</w:t>
            </w:r>
          </w:p>
        </w:tc>
        <w:tc>
          <w:tcPr/>
          <w:p>
            <w:pPr>
              <w:pStyle w:val="Compact"/>
              <w:jc w:val="right"/>
            </w:pPr>
            <w:r>
              <w:t xml:space="preserve">4</w:t>
            </w:r>
          </w:p>
        </w:tc>
        <w:tc>
          <w:tcPr/>
          <w:p>
            <w:pPr>
              <w:pStyle w:val="Compact"/>
              <w:jc w:val="right"/>
            </w:pPr>
            <w:r>
              <w:t xml:space="preserve">30</w:t>
            </w:r>
          </w:p>
        </w:tc>
      </w:tr>
      <w:tr>
        <w:tc>
          <w:tcPr/>
          <w:p>
            <w:pPr>
              <w:pStyle w:val="Compact"/>
              <w:jc w:val="left"/>
            </w:pPr>
            <w:r>
              <w:t xml:space="preserve">Florida (remainder)</w:t>
            </w:r>
          </w:p>
        </w:tc>
        <w:tc>
          <w:tcPr/>
          <w:p>
            <w:pPr>
              <w:pStyle w:val="Compact"/>
              <w:jc w:val="left"/>
            </w:pPr>
            <w:r>
              <w:t xml:space="preserve">state</w:t>
            </w:r>
          </w:p>
        </w:tc>
        <w:tc>
          <w:tcPr/>
          <w:p>
            <w:pPr>
              <w:pStyle w:val="Compact"/>
              <w:jc w:val="left"/>
            </w:pPr>
            <w:r>
              <w:t xml:space="preserve">2021-10</w:t>
            </w:r>
          </w:p>
        </w:tc>
        <w:tc>
          <w:tcPr/>
          <w:p>
            <w:pPr>
              <w:pStyle w:val="Compact"/>
              <w:jc w:val="right"/>
            </w:pPr>
            <w:r>
              <w:t xml:space="preserve">8.56</w:t>
            </w:r>
          </w:p>
        </w:tc>
        <w:tc>
          <w:tcPr/>
          <w:p>
            <w:pPr>
              <w:pStyle w:val="Compact"/>
              <w:jc w:val="right"/>
            </w:pPr>
            <w:r>
              <w:t xml:space="preserve">10.00</w:t>
            </w:r>
          </w:p>
        </w:tc>
        <w:tc>
          <w:tcPr/>
          <w:p>
            <w:pPr>
              <w:pStyle w:val="Compact"/>
              <w:jc w:val="right"/>
            </w:pPr>
            <w:r>
              <w:t xml:space="preserve">13.00</w:t>
            </w:r>
          </w:p>
        </w:tc>
        <w:tc>
          <w:tcPr/>
          <w:p>
            <w:pPr>
              <w:pStyle w:val="Compact"/>
              <w:jc w:val="right"/>
            </w:pPr>
            <w:r>
              <w:t xml:space="preserve">52</w:t>
            </w:r>
          </w:p>
        </w:tc>
        <w:tc>
          <w:tcPr/>
          <w:p>
            <w:pPr>
              <w:pStyle w:val="Compact"/>
              <w:jc w:val="right"/>
            </w:pPr>
            <w:r>
              <w:t xml:space="preserve">4</w:t>
            </w:r>
          </w:p>
        </w:tc>
        <w:tc>
          <w:tcPr/>
          <w:p>
            <w:pPr>
              <w:pStyle w:val="Compact"/>
              <w:jc w:val="right"/>
            </w:pPr>
            <w:r>
              <w:t xml:space="preserve">49</w:t>
            </w:r>
          </w:p>
        </w:tc>
      </w:tr>
      <w:tr>
        <w:tc>
          <w:tcPr/>
          <w:p>
            <w:pPr>
              <w:pStyle w:val="Compact"/>
              <w:jc w:val="left"/>
            </w:pPr>
            <w:r>
              <w:t xml:space="preserve">Montana (remainder)</w:t>
            </w:r>
          </w:p>
        </w:tc>
        <w:tc>
          <w:tcPr/>
          <w:p>
            <w:pPr>
              <w:pStyle w:val="Compact"/>
              <w:jc w:val="left"/>
            </w:pPr>
            <w:r>
              <w:t xml:space="preserve">state</w:t>
            </w:r>
          </w:p>
        </w:tc>
        <w:tc>
          <w:tcPr/>
          <w:p>
            <w:pPr>
              <w:pStyle w:val="Compact"/>
              <w:jc w:val="left"/>
            </w:pPr>
            <w:r>
              <w:t xml:space="preserve">2022-01</w:t>
            </w:r>
          </w:p>
        </w:tc>
        <w:tc>
          <w:tcPr/>
          <w:p>
            <w:pPr>
              <w:pStyle w:val="Compact"/>
              <w:jc w:val="right"/>
            </w:pPr>
            <w:r>
              <w:t xml:space="preserve">8.75</w:t>
            </w:r>
          </w:p>
        </w:tc>
        <w:tc>
          <w:tcPr/>
          <w:p>
            <w:pPr>
              <w:pStyle w:val="Compact"/>
              <w:jc w:val="right"/>
            </w:pPr>
            <w:r>
              <w:t xml:space="preserve">9.20</w:t>
            </w:r>
          </w:p>
        </w:tc>
        <w:tc>
          <w:tcPr/>
          <w:p>
            <w:pPr>
              <w:pStyle w:val="Compact"/>
              <w:jc w:val="right"/>
            </w:pPr>
            <w:r>
              <w:t xml:space="preserve">10.55</w:t>
            </w:r>
          </w:p>
        </w:tc>
        <w:tc>
          <w:tcPr/>
          <w:p>
            <w:pPr>
              <w:pStyle w:val="Compact"/>
              <w:jc w:val="right"/>
            </w:pPr>
            <w:r>
              <w:t xml:space="preserve">21</w:t>
            </w:r>
          </w:p>
        </w:tc>
        <w:tc>
          <w:tcPr/>
          <w:p>
            <w:pPr>
              <w:pStyle w:val="Compact"/>
              <w:jc w:val="right"/>
            </w:pPr>
            <w:r>
              <w:t xml:space="preserve">2</w:t>
            </w:r>
          </w:p>
        </w:tc>
        <w:tc>
          <w:tcPr/>
          <w:p>
            <w:pPr>
              <w:pStyle w:val="Compact"/>
              <w:jc w:val="right"/>
            </w:pPr>
            <w:r>
              <w:t xml:space="preserve">49</w:t>
            </w:r>
          </w:p>
        </w:tc>
      </w:tr>
      <w:tr>
        <w:tc>
          <w:tcPr/>
          <w:p>
            <w:pPr>
              <w:pStyle w:val="Compact"/>
              <w:jc w:val="left"/>
            </w:pPr>
            <w:r>
              <w:t xml:space="preserve">Ohio (remainder)</w:t>
            </w:r>
          </w:p>
        </w:tc>
        <w:tc>
          <w:tcPr/>
          <w:p>
            <w:pPr>
              <w:pStyle w:val="Compact"/>
              <w:jc w:val="left"/>
            </w:pPr>
            <w:r>
              <w:t xml:space="preserve">state</w:t>
            </w:r>
          </w:p>
        </w:tc>
        <w:tc>
          <w:tcPr/>
          <w:p>
            <w:pPr>
              <w:pStyle w:val="Compact"/>
              <w:jc w:val="left"/>
            </w:pPr>
            <w:r>
              <w:t xml:space="preserve">2022-01</w:t>
            </w:r>
          </w:p>
        </w:tc>
        <w:tc>
          <w:tcPr/>
          <w:p>
            <w:pPr>
              <w:pStyle w:val="Compact"/>
              <w:jc w:val="right"/>
            </w:pPr>
            <w:r>
              <w:t xml:space="preserve">8.80</w:t>
            </w:r>
          </w:p>
        </w:tc>
        <w:tc>
          <w:tcPr/>
          <w:p>
            <w:pPr>
              <w:pStyle w:val="Compact"/>
              <w:jc w:val="right"/>
            </w:pPr>
            <w:r>
              <w:t xml:space="preserve">9.30</w:t>
            </w:r>
          </w:p>
        </w:tc>
        <w:tc>
          <w:tcPr/>
          <w:p>
            <w:pPr>
              <w:pStyle w:val="Compact"/>
              <w:jc w:val="right"/>
            </w:pPr>
            <w:r>
              <w:t xml:space="preserve">10.70</w:t>
            </w:r>
          </w:p>
        </w:tc>
        <w:tc>
          <w:tcPr/>
          <w:p>
            <w:pPr>
              <w:pStyle w:val="Compact"/>
              <w:jc w:val="right"/>
            </w:pPr>
            <w:r>
              <w:t xml:space="preserve">22</w:t>
            </w:r>
          </w:p>
        </w:tc>
        <w:tc>
          <w:tcPr/>
          <w:p>
            <w:pPr>
              <w:pStyle w:val="Compact"/>
              <w:jc w:val="right"/>
            </w:pPr>
            <w:r>
              <w:t xml:space="preserve">2</w:t>
            </w:r>
          </w:p>
        </w:tc>
        <w:tc>
          <w:tcPr/>
          <w:p>
            <w:pPr>
              <w:pStyle w:val="Compact"/>
              <w:jc w:val="right"/>
            </w:pPr>
            <w:r>
              <w:t xml:space="preserve">49</w:t>
            </w:r>
          </w:p>
        </w:tc>
      </w:tr>
      <w:tr>
        <w:tc>
          <w:tcPr/>
          <w:p>
            <w:pPr>
              <w:pStyle w:val="Compact"/>
              <w:jc w:val="left"/>
            </w:pPr>
            <w:r>
              <w:t xml:space="preserve">South Dakota (remainder)</w:t>
            </w:r>
          </w:p>
        </w:tc>
        <w:tc>
          <w:tcPr/>
          <w:p>
            <w:pPr>
              <w:pStyle w:val="Compact"/>
              <w:jc w:val="left"/>
            </w:pPr>
            <w:r>
              <w:t xml:space="preserve">state</w:t>
            </w:r>
          </w:p>
        </w:tc>
        <w:tc>
          <w:tcPr/>
          <w:p>
            <w:pPr>
              <w:pStyle w:val="Compact"/>
              <w:jc w:val="left"/>
            </w:pPr>
            <w:r>
              <w:t xml:space="preserve">2022-01</w:t>
            </w:r>
          </w:p>
        </w:tc>
        <w:tc>
          <w:tcPr/>
          <w:p>
            <w:pPr>
              <w:pStyle w:val="Compact"/>
              <w:jc w:val="right"/>
            </w:pPr>
            <w:r>
              <w:t xml:space="preserve">9.45</w:t>
            </w:r>
          </w:p>
        </w:tc>
        <w:tc>
          <w:tcPr/>
          <w:p>
            <w:pPr>
              <w:pStyle w:val="Compact"/>
              <w:jc w:val="right"/>
            </w:pPr>
            <w:r>
              <w:t xml:space="preserve">9.95</w:t>
            </w:r>
          </w:p>
        </w:tc>
        <w:tc>
          <w:tcPr/>
          <w:p>
            <w:pPr>
              <w:pStyle w:val="Compact"/>
              <w:jc w:val="right"/>
            </w:pPr>
            <w:r>
              <w:t xml:space="preserve">11.50</w:t>
            </w:r>
          </w:p>
        </w:tc>
        <w:tc>
          <w:tcPr/>
          <w:p>
            <w:pPr>
              <w:pStyle w:val="Compact"/>
              <w:jc w:val="right"/>
            </w:pPr>
            <w:r>
              <w:t xml:space="preserve">22</w:t>
            </w:r>
          </w:p>
        </w:tc>
        <w:tc>
          <w:tcPr/>
          <w:p>
            <w:pPr>
              <w:pStyle w:val="Compact"/>
              <w:jc w:val="right"/>
            </w:pPr>
            <w:r>
              <w:t xml:space="preserve">2</w:t>
            </w:r>
          </w:p>
        </w:tc>
        <w:tc>
          <w:tcPr/>
          <w:p>
            <w:pPr>
              <w:pStyle w:val="Compact"/>
              <w:jc w:val="right"/>
            </w:pPr>
            <w:r>
              <w:t xml:space="preserve">49</w:t>
            </w:r>
          </w:p>
        </w:tc>
      </w:tr>
      <w:tr>
        <w:tc>
          <w:tcPr/>
          <w:p>
            <w:pPr>
              <w:pStyle w:val="Compact"/>
              <w:jc w:val="left"/>
            </w:pPr>
            <w:r>
              <w:t xml:space="preserve">Hawaii (remainder)</w:t>
            </w:r>
          </w:p>
        </w:tc>
        <w:tc>
          <w:tcPr/>
          <w:p>
            <w:pPr>
              <w:pStyle w:val="Compact"/>
              <w:jc w:val="left"/>
            </w:pPr>
            <w:r>
              <w:t xml:space="preserve">state</w:t>
            </w:r>
          </w:p>
        </w:tc>
        <w:tc>
          <w:tcPr/>
          <w:p>
            <w:pPr>
              <w:pStyle w:val="Compact"/>
              <w:jc w:val="left"/>
            </w:pPr>
            <w:r>
              <w:t xml:space="preserve">2022-10</w:t>
            </w:r>
          </w:p>
        </w:tc>
        <w:tc>
          <w:tcPr/>
          <w:p>
            <w:pPr>
              <w:pStyle w:val="Compact"/>
              <w:jc w:val="right"/>
            </w:pPr>
            <w:r>
              <w:t xml:space="preserve">10.10</w:t>
            </w:r>
          </w:p>
        </w:tc>
        <w:tc>
          <w:tcPr/>
          <w:p>
            <w:pPr>
              <w:pStyle w:val="Compact"/>
              <w:jc w:val="right"/>
            </w:pPr>
            <w:r>
              <w:t xml:space="preserve">12.00</w:t>
            </w:r>
          </w:p>
        </w:tc>
        <w:tc>
          <w:tcPr/>
          <w:p>
            <w:pPr>
              <w:pStyle w:val="Compact"/>
              <w:jc w:val="right"/>
            </w:pPr>
            <w:r>
              <w:t xml:space="preserve">14.00</w:t>
            </w:r>
          </w:p>
        </w:tc>
        <w:tc>
          <w:tcPr/>
          <w:p>
            <w:pPr>
              <w:pStyle w:val="Compact"/>
              <w:jc w:val="right"/>
            </w:pPr>
            <w:r>
              <w:t xml:space="preserve">39</w:t>
            </w:r>
          </w:p>
        </w:tc>
        <w:tc>
          <w:tcPr/>
          <w:p>
            <w:pPr>
              <w:pStyle w:val="Compact"/>
              <w:jc w:val="right"/>
            </w:pPr>
            <w:r>
              <w:t xml:space="preserve">2</w:t>
            </w:r>
          </w:p>
        </w:tc>
        <w:tc>
          <w:tcPr/>
          <w:p>
            <w:pPr>
              <w:pStyle w:val="Compact"/>
              <w:jc w:val="right"/>
            </w:pPr>
            <w:r>
              <w:t xml:space="preserve">57</w:t>
            </w:r>
          </w:p>
        </w:tc>
      </w:tr>
      <w:tr>
        <w:tc>
          <w:tcPr/>
          <w:p>
            <w:pPr>
              <w:pStyle w:val="Compact"/>
              <w:jc w:val="left"/>
            </w:pPr>
            <w:r>
              <w:t xml:space="preserve">Nebraska (remainder)</w:t>
            </w:r>
          </w:p>
        </w:tc>
        <w:tc>
          <w:tcPr/>
          <w:p>
            <w:pPr>
              <w:pStyle w:val="Compact"/>
              <w:jc w:val="left"/>
            </w:pPr>
            <w:r>
              <w:t xml:space="preserve">state</w:t>
            </w:r>
          </w:p>
        </w:tc>
        <w:tc>
          <w:tcPr/>
          <w:p>
            <w:pPr>
              <w:pStyle w:val="Compact"/>
              <w:jc w:val="left"/>
            </w:pPr>
            <w:r>
              <w:t xml:space="preserve">2023-01</w:t>
            </w:r>
          </w:p>
        </w:tc>
        <w:tc>
          <w:tcPr/>
          <w:p>
            <w:pPr>
              <w:pStyle w:val="Compact"/>
              <w:jc w:val="right"/>
            </w:pPr>
            <w:r>
              <w:t xml:space="preserve">9.00</w:t>
            </w:r>
          </w:p>
        </w:tc>
        <w:tc>
          <w:tcPr/>
          <w:p>
            <w:pPr>
              <w:pStyle w:val="Compact"/>
              <w:jc w:val="right"/>
            </w:pPr>
            <w:r>
              <w:t xml:space="preserve">10.50</w:t>
            </w:r>
          </w:p>
        </w:tc>
        <w:tc>
          <w:tcPr/>
          <w:p>
            <w:pPr>
              <w:pStyle w:val="Compact"/>
              <w:jc w:val="right"/>
            </w:pPr>
            <w:r>
              <w:t xml:space="preserve">13.50</w:t>
            </w:r>
          </w:p>
        </w:tc>
        <w:tc>
          <w:tcPr/>
          <w:p>
            <w:pPr>
              <w:pStyle w:val="Compact"/>
              <w:jc w:val="right"/>
            </w:pPr>
            <w:r>
              <w:t xml:space="preserve">50</w:t>
            </w:r>
          </w:p>
        </w:tc>
        <w:tc>
          <w:tcPr/>
          <w:p>
            <w:pPr>
              <w:pStyle w:val="Compact"/>
              <w:jc w:val="right"/>
            </w:pPr>
            <w:r>
              <w:t xml:space="preserve">3</w:t>
            </w:r>
          </w:p>
        </w:tc>
        <w:tc>
          <w:tcPr/>
          <w:p>
            <w:pPr>
              <w:pStyle w:val="Compact"/>
              <w:jc w:val="right"/>
            </w:pPr>
            <w:r>
              <w:t xml:space="preserve">57</w:t>
            </w:r>
          </w:p>
        </w:tc>
      </w:tr>
      <w:tr>
        <w:tc>
          <w:tcPr/>
          <w:p>
            <w:pPr>
              <w:pStyle w:val="Compact"/>
              <w:jc w:val="left"/>
            </w:pPr>
            <w:r>
              <w:t xml:space="preserve">Alaska (remainder)</w:t>
            </w:r>
          </w:p>
        </w:tc>
        <w:tc>
          <w:tcPr/>
          <w:p>
            <w:pPr>
              <w:pStyle w:val="Compact"/>
              <w:jc w:val="left"/>
            </w:pPr>
            <w:r>
              <w:t xml:space="preserve">state</w:t>
            </w:r>
          </w:p>
        </w:tc>
        <w:tc>
          <w:tcPr/>
          <w:p>
            <w:pPr>
              <w:pStyle w:val="Compact"/>
              <w:jc w:val="left"/>
            </w:pPr>
            <w:r>
              <w:t xml:space="preserve">2024-01</w:t>
            </w:r>
          </w:p>
        </w:tc>
        <w:tc>
          <w:tcPr/>
          <w:p>
            <w:pPr>
              <w:pStyle w:val="Compact"/>
              <w:jc w:val="right"/>
            </w:pPr>
            <w:r>
              <w:t xml:space="preserve">10.85</w:t>
            </w:r>
          </w:p>
        </w:tc>
        <w:tc>
          <w:tcPr/>
          <w:p>
            <w:pPr>
              <w:pStyle w:val="Compact"/>
              <w:jc w:val="right"/>
            </w:pPr>
            <w:r>
              <w:t xml:space="preserve">11.73</w:t>
            </w:r>
          </w:p>
        </w:tc>
        <w:tc>
          <w:tcPr/>
          <w:p>
            <w:pPr>
              <w:pStyle w:val="Compact"/>
              <w:jc w:val="right"/>
            </w:pPr>
            <w:r>
              <w:t xml:space="preserve">13.00</w:t>
            </w:r>
          </w:p>
        </w:tc>
        <w:tc>
          <w:tcPr/>
          <w:p>
            <w:pPr>
              <w:pStyle w:val="Compact"/>
              <w:jc w:val="right"/>
            </w:pPr>
            <w:r>
              <w:t xml:space="preserve">20</w:t>
            </w:r>
          </w:p>
        </w:tc>
        <w:tc>
          <w:tcPr/>
          <w:p>
            <w:pPr>
              <w:pStyle w:val="Compact"/>
              <w:jc w:val="right"/>
            </w:pPr>
            <w:r>
              <w:t xml:space="preserve">2</w:t>
            </w:r>
          </w:p>
        </w:tc>
        <w:tc>
          <w:tcPr/>
          <w:p>
            <w:pPr>
              <w:pStyle w:val="Compact"/>
              <w:jc w:val="right"/>
            </w:pPr>
            <w:r>
              <w:t xml:space="preserve">59</w:t>
            </w:r>
          </w:p>
        </w:tc>
      </w:tr>
      <w:tr>
        <w:tc>
          <w:tcPr/>
          <w:p>
            <w:pPr>
              <w:pStyle w:val="Compact"/>
              <w:jc w:val="left"/>
            </w:pPr>
            <w:r>
              <w:t xml:space="preserve">Michigan (remainder)</w:t>
            </w:r>
          </w:p>
        </w:tc>
        <w:tc>
          <w:tcPr/>
          <w:p>
            <w:pPr>
              <w:pStyle w:val="Compact"/>
              <w:jc w:val="left"/>
            </w:pPr>
            <w:r>
              <w:t xml:space="preserve">state</w:t>
            </w:r>
          </w:p>
        </w:tc>
        <w:tc>
          <w:tcPr/>
          <w:p>
            <w:pPr>
              <w:pStyle w:val="Compact"/>
              <w:jc w:val="left"/>
            </w:pPr>
            <w:r>
              <w:t xml:space="preserve">2025-03</w:t>
            </w:r>
          </w:p>
        </w:tc>
        <w:tc>
          <w:tcPr/>
          <w:p>
            <w:pPr>
              <w:pStyle w:val="Compact"/>
              <w:jc w:val="right"/>
            </w:pPr>
            <w:r>
              <w:t xml:space="preserve">10.56</w:t>
            </w:r>
          </w:p>
        </w:tc>
        <w:tc>
          <w:tcPr/>
          <w:p>
            <w:pPr>
              <w:pStyle w:val="Compact"/>
              <w:jc w:val="right"/>
            </w:pPr>
            <w:r>
              <w:t xml:space="preserve">12.48</w:t>
            </w:r>
          </w:p>
        </w:tc>
        <w:tc>
          <w:tcPr/>
          <w:p>
            <w:pPr>
              <w:pStyle w:val="Compact"/>
              <w:jc w:val="right"/>
            </w:pPr>
            <w:r>
              <w:t xml:space="preserve">12.48</w:t>
            </w:r>
          </w:p>
        </w:tc>
        <w:tc>
          <w:tcPr/>
          <w:p>
            <w:pPr>
              <w:pStyle w:val="Compact"/>
              <w:jc w:val="right"/>
            </w:pPr>
            <w:r>
              <w:t xml:space="preserve">18</w:t>
            </w:r>
          </w:p>
        </w:tc>
        <w:tc>
          <w:tcPr/>
          <w:p>
            <w:pPr>
              <w:pStyle w:val="Compact"/>
              <w:jc w:val="right"/>
            </w:pPr>
            <w:r>
              <w:t xml:space="preserve">1</w:t>
            </w:r>
          </w:p>
        </w:tc>
        <w:tc>
          <w:tcPr/>
          <w:p>
            <w:pPr>
              <w:pStyle w:val="Compact"/>
              <w:jc w:val="right"/>
            </w:pPr>
            <w:r>
              <w:t xml:space="preserve">73</w:t>
            </w:r>
          </w:p>
        </w:tc>
      </w:tr>
      <w:tr>
        <w:tc>
          <w:tcPr/>
          <w:p>
            <w:pPr>
              <w:pStyle w:val="Compact"/>
              <w:jc w:val="left"/>
            </w:pPr>
            <w:r>
              <w:t xml:space="preserve">Santa Fe (New Mexico)</w:t>
            </w:r>
          </w:p>
        </w:tc>
        <w:tc>
          <w:tcPr/>
          <w:p>
            <w:pPr>
              <w:pStyle w:val="Compact"/>
              <w:jc w:val="left"/>
            </w:pPr>
            <w:r>
              <w:t xml:space="preserve">local</w:t>
            </w:r>
          </w:p>
        </w:tc>
        <w:tc>
          <w:tcPr/>
          <w:p>
            <w:pPr>
              <w:pStyle w:val="Compact"/>
              <w:jc w:val="left"/>
            </w:pPr>
            <w:r>
              <w:t xml:space="preserve">2012-03</w:t>
            </w:r>
          </w:p>
        </w:tc>
        <w:tc>
          <w:tcPr/>
          <w:p>
            <w:pPr>
              <w:pStyle w:val="Compact"/>
              <w:jc w:val="right"/>
            </w:pPr>
            <w:r>
              <w:t xml:space="preserve">9.50</w:t>
            </w:r>
          </w:p>
        </w:tc>
        <w:tc>
          <w:tcPr/>
          <w:p>
            <w:pPr>
              <w:pStyle w:val="Compact"/>
              <w:jc w:val="right"/>
            </w:pPr>
            <w:r>
              <w:t xml:space="preserve">10.29</w:t>
            </w:r>
          </w:p>
        </w:tc>
        <w:tc>
          <w:tcPr/>
          <w:p>
            <w:pPr>
              <w:pStyle w:val="Compact"/>
              <w:jc w:val="right"/>
            </w:pPr>
            <w:r>
              <w:t xml:space="preserve">10.84</w:t>
            </w:r>
          </w:p>
        </w:tc>
        <w:tc>
          <w:tcPr/>
          <w:p>
            <w:pPr>
              <w:pStyle w:val="Compact"/>
              <w:jc w:val="right"/>
            </w:pPr>
            <w:r>
              <w:t xml:space="preserve">14</w:t>
            </w:r>
          </w:p>
        </w:tc>
        <w:tc>
          <w:tcPr/>
          <w:p>
            <w:pPr>
              <w:pStyle w:val="Compact"/>
              <w:jc w:val="right"/>
            </w:pPr>
            <w:r>
              <w:t xml:space="preserve">1</w:t>
            </w:r>
          </w:p>
        </w:tc>
        <w:tc>
          <w:tcPr/>
          <w:p>
            <w:pPr>
              <w:pStyle w:val="Compact"/>
              <w:jc w:val="right"/>
            </w:pPr>
            <w:r>
              <w:t xml:space="preserve">54</w:t>
            </w:r>
          </w:p>
        </w:tc>
      </w:tr>
      <w:tr>
        <w:tc>
          <w:tcPr/>
          <w:p>
            <w:pPr>
              <w:pStyle w:val="Compact"/>
              <w:jc w:val="left"/>
            </w:pPr>
            <w:r>
              <w:t xml:space="preserve">Bernalillo (Albuquerque) (New Mexico)</w:t>
            </w:r>
          </w:p>
        </w:tc>
        <w:tc>
          <w:tcPr/>
          <w:p>
            <w:pPr>
              <w:pStyle w:val="Compact"/>
              <w:jc w:val="left"/>
            </w:pPr>
            <w:r>
              <w:t xml:space="preserve">local</w:t>
            </w:r>
          </w:p>
        </w:tc>
        <w:tc>
          <w:tcPr/>
          <w:p>
            <w:pPr>
              <w:pStyle w:val="Compact"/>
              <w:jc w:val="left"/>
            </w:pPr>
            <w:r>
              <w:t xml:space="preserve">2013-01</w:t>
            </w:r>
          </w:p>
        </w:tc>
        <w:tc>
          <w:tcPr/>
          <w:p>
            <w:pPr>
              <w:pStyle w:val="Compact"/>
              <w:jc w:val="right"/>
            </w:pPr>
            <w:r>
              <w:t xml:space="preserve">7.50</w:t>
            </w:r>
          </w:p>
        </w:tc>
        <w:tc>
          <w:tcPr/>
          <w:p>
            <w:pPr>
              <w:pStyle w:val="Compact"/>
              <w:jc w:val="right"/>
            </w:pPr>
            <w:r>
              <w:t xml:space="preserve">8.50</w:t>
            </w:r>
          </w:p>
        </w:tc>
        <w:tc>
          <w:tcPr/>
          <w:p>
            <w:pPr>
              <w:pStyle w:val="Compact"/>
              <w:jc w:val="right"/>
            </w:pPr>
            <w:r>
              <w:t xml:space="preserve">8.75</w:t>
            </w:r>
          </w:p>
        </w:tc>
        <w:tc>
          <w:tcPr/>
          <w:p>
            <w:pPr>
              <w:pStyle w:val="Compact"/>
              <w:jc w:val="right"/>
            </w:pPr>
            <w:r>
              <w:t xml:space="preserve">17</w:t>
            </w:r>
          </w:p>
        </w:tc>
        <w:tc>
          <w:tcPr/>
          <w:p>
            <w:pPr>
              <w:pStyle w:val="Compact"/>
              <w:jc w:val="right"/>
            </w:pPr>
            <w:r>
              <w:t xml:space="preserve">1</w:t>
            </w:r>
          </w:p>
        </w:tc>
        <w:tc>
          <w:tcPr/>
          <w:p>
            <w:pPr>
              <w:pStyle w:val="Compact"/>
              <w:jc w:val="right"/>
            </w:pPr>
            <w:r>
              <w:t xml:space="preserve">53</w:t>
            </w:r>
          </w:p>
        </w:tc>
      </w:tr>
      <w:tr>
        <w:tc>
          <w:tcPr/>
          <w:p>
            <w:pPr>
              <w:pStyle w:val="Compact"/>
              <w:jc w:val="left"/>
            </w:pPr>
            <w:r>
              <w:t xml:space="preserve">Santa Clara (California)</w:t>
            </w:r>
          </w:p>
        </w:tc>
        <w:tc>
          <w:tcPr/>
          <w:p>
            <w:pPr>
              <w:pStyle w:val="Compact"/>
              <w:jc w:val="left"/>
            </w:pPr>
            <w:r>
              <w:t xml:space="preserve">local</w:t>
            </w:r>
          </w:p>
        </w:tc>
        <w:tc>
          <w:tcPr/>
          <w:p>
            <w:pPr>
              <w:pStyle w:val="Compact"/>
              <w:jc w:val="left"/>
            </w:pPr>
            <w:r>
              <w:t xml:space="preserve">2013-04</w:t>
            </w:r>
          </w:p>
        </w:tc>
        <w:tc>
          <w:tcPr/>
          <w:p>
            <w:pPr>
              <w:pStyle w:val="Compact"/>
              <w:jc w:val="right"/>
            </w:pPr>
            <w:r>
              <w:t xml:space="preserve">8.00</w:t>
            </w:r>
          </w:p>
        </w:tc>
        <w:tc>
          <w:tcPr/>
          <w:p>
            <w:pPr>
              <w:pStyle w:val="Compact"/>
              <w:jc w:val="right"/>
            </w:pPr>
            <w:r>
              <w:t xml:space="preserve">10.00</w:t>
            </w:r>
          </w:p>
        </w:tc>
        <w:tc>
          <w:tcPr/>
          <w:p>
            <w:pPr>
              <w:pStyle w:val="Compact"/>
              <w:jc w:val="right"/>
            </w:pPr>
            <w:r>
              <w:t xml:space="preserve">10.50</w:t>
            </w:r>
          </w:p>
        </w:tc>
        <w:tc>
          <w:tcPr/>
          <w:p>
            <w:pPr>
              <w:pStyle w:val="Compact"/>
              <w:jc w:val="right"/>
            </w:pPr>
            <w:r>
              <w:t xml:space="preserve">31</w:t>
            </w:r>
          </w:p>
        </w:tc>
        <w:tc>
          <w:tcPr/>
          <w:p>
            <w:pPr>
              <w:pStyle w:val="Compact"/>
              <w:jc w:val="right"/>
            </w:pPr>
            <w:r>
              <w:t xml:space="preserve">1</w:t>
            </w:r>
          </w:p>
        </w:tc>
        <w:tc>
          <w:tcPr/>
          <w:p>
            <w:pPr>
              <w:pStyle w:val="Compact"/>
              <w:jc w:val="right"/>
            </w:pPr>
            <w:r>
              <w:t xml:space="preserve">46</w:t>
            </w:r>
          </w:p>
        </w:tc>
      </w:tr>
      <w:tr>
        <w:tc>
          <w:tcPr/>
          <w:p>
            <w:pPr>
              <w:pStyle w:val="Compact"/>
              <w:jc w:val="left"/>
            </w:pPr>
            <w:r>
              <w:t xml:space="preserve">Bronx (New York)</w:t>
            </w:r>
          </w:p>
        </w:tc>
        <w:tc>
          <w:tcPr/>
          <w:p>
            <w:pPr>
              <w:pStyle w:val="Compact"/>
              <w:jc w:val="left"/>
            </w:pPr>
            <w:r>
              <w:t xml:space="preserve">both</w:t>
            </w:r>
          </w:p>
        </w:tc>
        <w:tc>
          <w:tcPr/>
          <w:p>
            <w:pPr>
              <w:pStyle w:val="Compact"/>
              <w:jc w:val="left"/>
            </w:pPr>
            <w:r>
              <w:t xml:space="preserve">2014-01</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11.00</w:t>
            </w:r>
          </w:p>
        </w:tc>
        <w:tc>
          <w:tcPr/>
          <w:p>
            <w:pPr>
              <w:pStyle w:val="Compact"/>
              <w:jc w:val="right"/>
            </w:pPr>
            <w:r>
              <w:t xml:space="preserve">52</w:t>
            </w:r>
          </w:p>
        </w:tc>
        <w:tc>
          <w:tcPr/>
          <w:p>
            <w:pPr>
              <w:pStyle w:val="Compact"/>
              <w:jc w:val="right"/>
            </w:pPr>
            <w:r>
              <w:t xml:space="preserve">3</w:t>
            </w:r>
          </w:p>
        </w:tc>
        <w:tc>
          <w:tcPr/>
          <w:p>
            <w:pPr>
              <w:pStyle w:val="Compact"/>
              <w:jc w:val="right"/>
            </w:pPr>
            <w:r>
              <w:t xml:space="preserve">29</w:t>
            </w:r>
          </w:p>
        </w:tc>
      </w:tr>
      <w:tr>
        <w:tc>
          <w:tcPr/>
          <w:p>
            <w:pPr>
              <w:pStyle w:val="Compact"/>
              <w:jc w:val="left"/>
            </w:pPr>
            <w:r>
              <w:t xml:space="preserve">Kings (Brooklyn) (New York)</w:t>
            </w:r>
          </w:p>
        </w:tc>
        <w:tc>
          <w:tcPr/>
          <w:p>
            <w:pPr>
              <w:pStyle w:val="Compact"/>
              <w:jc w:val="left"/>
            </w:pPr>
            <w:r>
              <w:t xml:space="preserve">both</w:t>
            </w:r>
          </w:p>
        </w:tc>
        <w:tc>
          <w:tcPr/>
          <w:p>
            <w:pPr>
              <w:pStyle w:val="Compact"/>
              <w:jc w:val="left"/>
            </w:pPr>
            <w:r>
              <w:t xml:space="preserve">2014-01</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11.00</w:t>
            </w:r>
          </w:p>
        </w:tc>
        <w:tc>
          <w:tcPr/>
          <w:p>
            <w:pPr>
              <w:pStyle w:val="Compact"/>
              <w:jc w:val="right"/>
            </w:pPr>
            <w:r>
              <w:t xml:space="preserve">52</w:t>
            </w:r>
          </w:p>
        </w:tc>
        <w:tc>
          <w:tcPr/>
          <w:p>
            <w:pPr>
              <w:pStyle w:val="Compact"/>
              <w:jc w:val="right"/>
            </w:pPr>
            <w:r>
              <w:t xml:space="preserve">3</w:t>
            </w:r>
          </w:p>
        </w:tc>
        <w:tc>
          <w:tcPr/>
          <w:p>
            <w:pPr>
              <w:pStyle w:val="Compact"/>
              <w:jc w:val="right"/>
            </w:pPr>
            <w:r>
              <w:t xml:space="preserve">29</w:t>
            </w:r>
          </w:p>
        </w:tc>
      </w:tr>
      <w:tr>
        <w:tc>
          <w:tcPr/>
          <w:p>
            <w:pPr>
              <w:pStyle w:val="Compact"/>
              <w:jc w:val="left"/>
            </w:pPr>
            <w:r>
              <w:t xml:space="preserve">Nassau (New York)</w:t>
            </w:r>
          </w:p>
        </w:tc>
        <w:tc>
          <w:tcPr/>
          <w:p>
            <w:pPr>
              <w:pStyle w:val="Compact"/>
              <w:jc w:val="left"/>
            </w:pPr>
            <w:r>
              <w:t xml:space="preserve">both</w:t>
            </w:r>
          </w:p>
        </w:tc>
        <w:tc>
          <w:tcPr/>
          <w:p>
            <w:pPr>
              <w:pStyle w:val="Compact"/>
              <w:jc w:val="left"/>
            </w:pPr>
            <w:r>
              <w:t xml:space="preserve">2014-01</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10.00</w:t>
            </w:r>
          </w:p>
        </w:tc>
        <w:tc>
          <w:tcPr/>
          <w:p>
            <w:pPr>
              <w:pStyle w:val="Compact"/>
              <w:jc w:val="right"/>
            </w:pPr>
            <w:r>
              <w:t xml:space="preserve">38</w:t>
            </w:r>
          </w:p>
        </w:tc>
        <w:tc>
          <w:tcPr/>
          <w:p>
            <w:pPr>
              <w:pStyle w:val="Compact"/>
              <w:jc w:val="right"/>
            </w:pPr>
            <w:r>
              <w:t xml:space="preserve">3</w:t>
            </w:r>
          </w:p>
        </w:tc>
        <w:tc>
          <w:tcPr/>
          <w:p>
            <w:pPr>
              <w:pStyle w:val="Compact"/>
              <w:jc w:val="right"/>
            </w:pPr>
            <w:r>
              <w:t xml:space="preserve">29</w:t>
            </w:r>
          </w:p>
        </w:tc>
      </w:tr>
      <w:tr>
        <w:tc>
          <w:tcPr/>
          <w:p>
            <w:pPr>
              <w:pStyle w:val="Compact"/>
              <w:jc w:val="left"/>
            </w:pPr>
            <w:r>
              <w:t xml:space="preserve">New York (Manhattan) (New York)</w:t>
            </w:r>
          </w:p>
        </w:tc>
        <w:tc>
          <w:tcPr/>
          <w:p>
            <w:pPr>
              <w:pStyle w:val="Compact"/>
              <w:jc w:val="left"/>
            </w:pPr>
            <w:r>
              <w:t xml:space="preserve">both</w:t>
            </w:r>
          </w:p>
        </w:tc>
        <w:tc>
          <w:tcPr/>
          <w:p>
            <w:pPr>
              <w:pStyle w:val="Compact"/>
              <w:jc w:val="left"/>
            </w:pPr>
            <w:r>
              <w:t xml:space="preserve">2014-01</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11.00</w:t>
            </w:r>
          </w:p>
        </w:tc>
        <w:tc>
          <w:tcPr/>
          <w:p>
            <w:pPr>
              <w:pStyle w:val="Compact"/>
              <w:jc w:val="right"/>
            </w:pPr>
            <w:r>
              <w:t xml:space="preserve">52</w:t>
            </w:r>
          </w:p>
        </w:tc>
        <w:tc>
          <w:tcPr/>
          <w:p>
            <w:pPr>
              <w:pStyle w:val="Compact"/>
              <w:jc w:val="right"/>
            </w:pPr>
            <w:r>
              <w:t xml:space="preserve">3</w:t>
            </w:r>
          </w:p>
        </w:tc>
        <w:tc>
          <w:tcPr/>
          <w:p>
            <w:pPr>
              <w:pStyle w:val="Compact"/>
              <w:jc w:val="right"/>
            </w:pPr>
            <w:r>
              <w:t xml:space="preserve">29</w:t>
            </w:r>
          </w:p>
        </w:tc>
      </w:tr>
      <w:tr>
        <w:tc>
          <w:tcPr/>
          <w:p>
            <w:pPr>
              <w:pStyle w:val="Compact"/>
              <w:jc w:val="left"/>
            </w:pPr>
            <w:r>
              <w:t xml:space="preserve">Queens (New York)</w:t>
            </w:r>
          </w:p>
        </w:tc>
        <w:tc>
          <w:tcPr/>
          <w:p>
            <w:pPr>
              <w:pStyle w:val="Compact"/>
              <w:jc w:val="left"/>
            </w:pPr>
            <w:r>
              <w:t xml:space="preserve">both</w:t>
            </w:r>
          </w:p>
        </w:tc>
        <w:tc>
          <w:tcPr/>
          <w:p>
            <w:pPr>
              <w:pStyle w:val="Compact"/>
              <w:jc w:val="left"/>
            </w:pPr>
            <w:r>
              <w:t xml:space="preserve">2014-01</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11.00</w:t>
            </w:r>
          </w:p>
        </w:tc>
        <w:tc>
          <w:tcPr/>
          <w:p>
            <w:pPr>
              <w:pStyle w:val="Compact"/>
              <w:jc w:val="right"/>
            </w:pPr>
            <w:r>
              <w:t xml:space="preserve">52</w:t>
            </w:r>
          </w:p>
        </w:tc>
        <w:tc>
          <w:tcPr/>
          <w:p>
            <w:pPr>
              <w:pStyle w:val="Compact"/>
              <w:jc w:val="right"/>
            </w:pPr>
            <w:r>
              <w:t xml:space="preserve">3</w:t>
            </w:r>
          </w:p>
        </w:tc>
        <w:tc>
          <w:tcPr/>
          <w:p>
            <w:pPr>
              <w:pStyle w:val="Compact"/>
              <w:jc w:val="right"/>
            </w:pPr>
            <w:r>
              <w:t xml:space="preserve">29</w:t>
            </w:r>
          </w:p>
        </w:tc>
      </w:tr>
      <w:tr>
        <w:tc>
          <w:tcPr/>
          <w:p>
            <w:pPr>
              <w:pStyle w:val="Compact"/>
              <w:jc w:val="left"/>
            </w:pPr>
            <w:r>
              <w:t xml:space="preserve">Richmond (Staten Island) (New York)</w:t>
            </w:r>
          </w:p>
        </w:tc>
        <w:tc>
          <w:tcPr/>
          <w:p>
            <w:pPr>
              <w:pStyle w:val="Compact"/>
              <w:jc w:val="left"/>
            </w:pPr>
            <w:r>
              <w:t xml:space="preserve">both</w:t>
            </w:r>
          </w:p>
        </w:tc>
        <w:tc>
          <w:tcPr/>
          <w:p>
            <w:pPr>
              <w:pStyle w:val="Compact"/>
              <w:jc w:val="left"/>
            </w:pPr>
            <w:r>
              <w:t xml:space="preserve">2014-01</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11.00</w:t>
            </w:r>
          </w:p>
        </w:tc>
        <w:tc>
          <w:tcPr/>
          <w:p>
            <w:pPr>
              <w:pStyle w:val="Compact"/>
              <w:jc w:val="right"/>
            </w:pPr>
            <w:r>
              <w:t xml:space="preserve">52</w:t>
            </w:r>
          </w:p>
        </w:tc>
        <w:tc>
          <w:tcPr/>
          <w:p>
            <w:pPr>
              <w:pStyle w:val="Compact"/>
              <w:jc w:val="right"/>
            </w:pPr>
            <w:r>
              <w:t xml:space="preserve">3</w:t>
            </w:r>
          </w:p>
        </w:tc>
        <w:tc>
          <w:tcPr/>
          <w:p>
            <w:pPr>
              <w:pStyle w:val="Compact"/>
              <w:jc w:val="right"/>
            </w:pPr>
            <w:r>
              <w:t xml:space="preserve">29</w:t>
            </w:r>
          </w:p>
        </w:tc>
      </w:tr>
      <w:tr>
        <w:tc>
          <w:tcPr/>
          <w:p>
            <w:pPr>
              <w:pStyle w:val="Compact"/>
              <w:jc w:val="left"/>
            </w:pPr>
            <w:r>
              <w:t xml:space="preserve">Suffolk (New York)</w:t>
            </w:r>
          </w:p>
        </w:tc>
        <w:tc>
          <w:tcPr/>
          <w:p>
            <w:pPr>
              <w:pStyle w:val="Compact"/>
              <w:jc w:val="left"/>
            </w:pPr>
            <w:r>
              <w:t xml:space="preserve">both</w:t>
            </w:r>
          </w:p>
        </w:tc>
        <w:tc>
          <w:tcPr/>
          <w:p>
            <w:pPr>
              <w:pStyle w:val="Compact"/>
              <w:jc w:val="left"/>
            </w:pPr>
            <w:r>
              <w:t xml:space="preserve">2014-01</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10.00</w:t>
            </w:r>
          </w:p>
        </w:tc>
        <w:tc>
          <w:tcPr/>
          <w:p>
            <w:pPr>
              <w:pStyle w:val="Compact"/>
              <w:jc w:val="right"/>
            </w:pPr>
            <w:r>
              <w:t xml:space="preserve">38</w:t>
            </w:r>
          </w:p>
        </w:tc>
        <w:tc>
          <w:tcPr/>
          <w:p>
            <w:pPr>
              <w:pStyle w:val="Compact"/>
              <w:jc w:val="right"/>
            </w:pPr>
            <w:r>
              <w:t xml:space="preserve">3</w:t>
            </w:r>
          </w:p>
        </w:tc>
        <w:tc>
          <w:tcPr/>
          <w:p>
            <w:pPr>
              <w:pStyle w:val="Compact"/>
              <w:jc w:val="right"/>
            </w:pPr>
            <w:r>
              <w:t xml:space="preserve">29</w:t>
            </w:r>
          </w:p>
        </w:tc>
      </w:tr>
      <w:tr>
        <w:tc>
          <w:tcPr/>
          <w:p>
            <w:pPr>
              <w:pStyle w:val="Compact"/>
              <w:jc w:val="left"/>
            </w:pPr>
            <w:r>
              <w:t xml:space="preserve">Westchester (New York)</w:t>
            </w:r>
          </w:p>
        </w:tc>
        <w:tc>
          <w:tcPr/>
          <w:p>
            <w:pPr>
              <w:pStyle w:val="Compact"/>
              <w:jc w:val="left"/>
            </w:pPr>
            <w:r>
              <w:t xml:space="preserve">both</w:t>
            </w:r>
          </w:p>
        </w:tc>
        <w:tc>
          <w:tcPr/>
          <w:p>
            <w:pPr>
              <w:pStyle w:val="Compact"/>
              <w:jc w:val="left"/>
            </w:pPr>
            <w:r>
              <w:t xml:space="preserve">2014-01</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10.00</w:t>
            </w:r>
          </w:p>
        </w:tc>
        <w:tc>
          <w:tcPr/>
          <w:p>
            <w:pPr>
              <w:pStyle w:val="Compact"/>
              <w:jc w:val="right"/>
            </w:pPr>
            <w:r>
              <w:t xml:space="preserve">38</w:t>
            </w:r>
          </w:p>
        </w:tc>
        <w:tc>
          <w:tcPr/>
          <w:p>
            <w:pPr>
              <w:pStyle w:val="Compact"/>
              <w:jc w:val="right"/>
            </w:pPr>
            <w:r>
              <w:t xml:space="preserve">3</w:t>
            </w:r>
          </w:p>
        </w:tc>
        <w:tc>
          <w:tcPr/>
          <w:p>
            <w:pPr>
              <w:pStyle w:val="Compact"/>
              <w:jc w:val="right"/>
            </w:pPr>
            <w:r>
              <w:t xml:space="preserve">29</w:t>
            </w:r>
          </w:p>
        </w:tc>
      </w:tr>
      <w:tr>
        <w:tc>
          <w:tcPr/>
          <w:p>
            <w:pPr>
              <w:pStyle w:val="Compact"/>
              <w:jc w:val="left"/>
            </w:pPr>
            <w:r>
              <w:t xml:space="preserve">Alameda (California)</w:t>
            </w:r>
          </w:p>
        </w:tc>
        <w:tc>
          <w:tcPr/>
          <w:p>
            <w:pPr>
              <w:pStyle w:val="Compact"/>
              <w:jc w:val="left"/>
            </w:pPr>
            <w:r>
              <w:t xml:space="preserve">both</w:t>
            </w:r>
          </w:p>
        </w:tc>
        <w:tc>
          <w:tcPr/>
          <w:p>
            <w:pPr>
              <w:pStyle w:val="Compact"/>
              <w:jc w:val="left"/>
            </w:pPr>
            <w:r>
              <w:t xml:space="preserve">2014-07</w:t>
            </w:r>
          </w:p>
        </w:tc>
        <w:tc>
          <w:tcPr/>
          <w:p>
            <w:pPr>
              <w:pStyle w:val="Compact"/>
              <w:jc w:val="right"/>
            </w:pPr>
            <w:r>
              <w:t xml:space="preserve">8.00</w:t>
            </w:r>
          </w:p>
        </w:tc>
        <w:tc>
          <w:tcPr/>
          <w:p>
            <w:pPr>
              <w:pStyle w:val="Compact"/>
              <w:jc w:val="right"/>
            </w:pPr>
            <w:r>
              <w:t xml:space="preserve">9.00</w:t>
            </w:r>
          </w:p>
        </w:tc>
        <w:tc>
          <w:tcPr/>
          <w:p>
            <w:pPr>
              <w:pStyle w:val="Compact"/>
              <w:jc w:val="right"/>
            </w:pPr>
            <w:r>
              <w:t xml:space="preserve">13.23</w:t>
            </w:r>
          </w:p>
        </w:tc>
        <w:tc>
          <w:tcPr/>
          <w:p>
            <w:pPr>
              <w:pStyle w:val="Compact"/>
              <w:jc w:val="right"/>
            </w:pPr>
            <w:r>
              <w:t xml:space="preserve">65</w:t>
            </w:r>
          </w:p>
        </w:tc>
        <w:tc>
          <w:tcPr/>
          <w:p>
            <w:pPr>
              <w:pStyle w:val="Compact"/>
              <w:jc w:val="right"/>
            </w:pPr>
            <w:r>
              <w:t xml:space="preserve">2</w:t>
            </w:r>
          </w:p>
        </w:tc>
        <w:tc>
          <w:tcPr/>
          <w:p>
            <w:pPr>
              <w:pStyle w:val="Compact"/>
              <w:jc w:val="right"/>
            </w:pPr>
            <w:r>
              <w:t xml:space="preserve">28</w:t>
            </w:r>
          </w:p>
        </w:tc>
      </w:tr>
      <w:tr>
        <w:tc>
          <w:tcPr/>
          <w:p>
            <w:pPr>
              <w:pStyle w:val="Compact"/>
              <w:jc w:val="left"/>
            </w:pPr>
            <w:r>
              <w:t xml:space="preserve">Los Angeles (California)</w:t>
            </w:r>
          </w:p>
        </w:tc>
        <w:tc>
          <w:tcPr/>
          <w:p>
            <w:pPr>
              <w:pStyle w:val="Compact"/>
              <w:jc w:val="left"/>
            </w:pPr>
            <w:r>
              <w:t xml:space="preserve">both</w:t>
            </w:r>
          </w:p>
        </w:tc>
        <w:tc>
          <w:tcPr/>
          <w:p>
            <w:pPr>
              <w:pStyle w:val="Compact"/>
              <w:jc w:val="left"/>
            </w:pPr>
            <w:r>
              <w:t xml:space="preserve">2014-07</w:t>
            </w:r>
          </w:p>
        </w:tc>
        <w:tc>
          <w:tcPr/>
          <w:p>
            <w:pPr>
              <w:pStyle w:val="Compact"/>
              <w:jc w:val="right"/>
            </w:pPr>
            <w:r>
              <w:t xml:space="preserve">8.00</w:t>
            </w:r>
          </w:p>
        </w:tc>
        <w:tc>
          <w:tcPr/>
          <w:p>
            <w:pPr>
              <w:pStyle w:val="Compact"/>
              <w:jc w:val="right"/>
            </w:pPr>
            <w:r>
              <w:t xml:space="preserve">9.00</w:t>
            </w:r>
          </w:p>
        </w:tc>
        <w:tc>
          <w:tcPr/>
          <w:p>
            <w:pPr>
              <w:pStyle w:val="Compact"/>
              <w:jc w:val="right"/>
            </w:pPr>
            <w:r>
              <w:t xml:space="preserve">12.00</w:t>
            </w:r>
          </w:p>
        </w:tc>
        <w:tc>
          <w:tcPr/>
          <w:p>
            <w:pPr>
              <w:pStyle w:val="Compact"/>
              <w:jc w:val="right"/>
            </w:pPr>
            <w:r>
              <w:t xml:space="preserve">50</w:t>
            </w:r>
          </w:p>
        </w:tc>
        <w:tc>
          <w:tcPr/>
          <w:p>
            <w:pPr>
              <w:pStyle w:val="Compact"/>
              <w:jc w:val="right"/>
            </w:pPr>
            <w:r>
              <w:t xml:space="preserve">4</w:t>
            </w:r>
          </w:p>
        </w:tc>
        <w:tc>
          <w:tcPr/>
          <w:p>
            <w:pPr>
              <w:pStyle w:val="Compact"/>
              <w:jc w:val="right"/>
            </w:pPr>
            <w:r>
              <w:t xml:space="preserve">28</w:t>
            </w:r>
          </w:p>
        </w:tc>
      </w:tr>
      <w:tr>
        <w:tc>
          <w:tcPr/>
          <w:p>
            <w:pPr>
              <w:pStyle w:val="Compact"/>
              <w:jc w:val="left"/>
            </w:pPr>
            <w:r>
              <w:t xml:space="preserve">San Diego (California)</w:t>
            </w:r>
          </w:p>
        </w:tc>
        <w:tc>
          <w:tcPr/>
          <w:p>
            <w:pPr>
              <w:pStyle w:val="Compact"/>
              <w:jc w:val="left"/>
            </w:pPr>
            <w:r>
              <w:t xml:space="preserve">both</w:t>
            </w:r>
          </w:p>
        </w:tc>
        <w:tc>
          <w:tcPr/>
          <w:p>
            <w:pPr>
              <w:pStyle w:val="Compact"/>
              <w:jc w:val="left"/>
            </w:pPr>
            <w:r>
              <w:t xml:space="preserve">2014-07</w:t>
            </w:r>
          </w:p>
        </w:tc>
        <w:tc>
          <w:tcPr/>
          <w:p>
            <w:pPr>
              <w:pStyle w:val="Compact"/>
              <w:jc w:val="right"/>
            </w:pPr>
            <w:r>
              <w:t xml:space="preserve">8.00</w:t>
            </w:r>
          </w:p>
        </w:tc>
        <w:tc>
          <w:tcPr/>
          <w:p>
            <w:pPr>
              <w:pStyle w:val="Compact"/>
              <w:jc w:val="right"/>
            </w:pPr>
            <w:r>
              <w:t xml:space="preserve">9.00</w:t>
            </w:r>
          </w:p>
        </w:tc>
        <w:tc>
          <w:tcPr/>
          <w:p>
            <w:pPr>
              <w:pStyle w:val="Compact"/>
              <w:jc w:val="right"/>
            </w:pPr>
            <w:r>
              <w:t xml:space="preserve">11.50</w:t>
            </w:r>
          </w:p>
        </w:tc>
        <w:tc>
          <w:tcPr/>
          <w:p>
            <w:pPr>
              <w:pStyle w:val="Compact"/>
              <w:jc w:val="right"/>
            </w:pPr>
            <w:r>
              <w:t xml:space="preserve">44</w:t>
            </w:r>
          </w:p>
        </w:tc>
        <w:tc>
          <w:tcPr/>
          <w:p>
            <w:pPr>
              <w:pStyle w:val="Compact"/>
              <w:jc w:val="right"/>
            </w:pPr>
            <w:r>
              <w:t xml:space="preserve">4</w:t>
            </w:r>
          </w:p>
        </w:tc>
        <w:tc>
          <w:tcPr/>
          <w:p>
            <w:pPr>
              <w:pStyle w:val="Compact"/>
              <w:jc w:val="right"/>
            </w:pPr>
            <w:r>
              <w:t xml:space="preserve">28</w:t>
            </w:r>
          </w:p>
        </w:tc>
      </w:tr>
      <w:tr>
        <w:tc>
          <w:tcPr/>
          <w:p>
            <w:pPr>
              <w:pStyle w:val="Compact"/>
              <w:jc w:val="left"/>
            </w:pPr>
            <w:r>
              <w:t xml:space="preserve">San Mateo (California)</w:t>
            </w:r>
          </w:p>
        </w:tc>
        <w:tc>
          <w:tcPr/>
          <w:p>
            <w:pPr>
              <w:pStyle w:val="Compact"/>
              <w:jc w:val="left"/>
            </w:pPr>
            <w:r>
              <w:t xml:space="preserve">both</w:t>
            </w:r>
          </w:p>
        </w:tc>
        <w:tc>
          <w:tcPr/>
          <w:p>
            <w:pPr>
              <w:pStyle w:val="Compact"/>
              <w:jc w:val="left"/>
            </w:pPr>
            <w:r>
              <w:t xml:space="preserve">2014-07</w:t>
            </w:r>
          </w:p>
        </w:tc>
        <w:tc>
          <w:tcPr/>
          <w:p>
            <w:pPr>
              <w:pStyle w:val="Compact"/>
              <w:jc w:val="right"/>
            </w:pPr>
            <w:r>
              <w:t xml:space="preserve">8.00</w:t>
            </w:r>
          </w:p>
        </w:tc>
        <w:tc>
          <w:tcPr/>
          <w:p>
            <w:pPr>
              <w:pStyle w:val="Compact"/>
              <w:jc w:val="right"/>
            </w:pPr>
            <w:r>
              <w:t xml:space="preserve">9.00</w:t>
            </w:r>
          </w:p>
        </w:tc>
        <w:tc>
          <w:tcPr/>
          <w:p>
            <w:pPr>
              <w:pStyle w:val="Compact"/>
              <w:jc w:val="right"/>
            </w:pPr>
            <w:r>
              <w:t xml:space="preserve">13.50</w:t>
            </w:r>
          </w:p>
        </w:tc>
        <w:tc>
          <w:tcPr/>
          <w:p>
            <w:pPr>
              <w:pStyle w:val="Compact"/>
              <w:jc w:val="right"/>
            </w:pPr>
            <w:r>
              <w:t xml:space="preserve">69</w:t>
            </w:r>
          </w:p>
        </w:tc>
        <w:tc>
          <w:tcPr/>
          <w:p>
            <w:pPr>
              <w:pStyle w:val="Compact"/>
              <w:jc w:val="right"/>
            </w:pPr>
            <w:r>
              <w:t xml:space="preserve">4</w:t>
            </w:r>
          </w:p>
        </w:tc>
        <w:tc>
          <w:tcPr/>
          <w:p>
            <w:pPr>
              <w:pStyle w:val="Compact"/>
              <w:jc w:val="right"/>
            </w:pPr>
            <w:r>
              <w:t xml:space="preserve">28</w:t>
            </w:r>
          </w:p>
        </w:tc>
      </w:tr>
      <w:tr>
        <w:tc>
          <w:tcPr/>
          <w:p>
            <w:pPr>
              <w:pStyle w:val="Compact"/>
              <w:jc w:val="left"/>
            </w:pPr>
            <w:r>
              <w:t xml:space="preserve">Sonoma (California)</w:t>
            </w:r>
          </w:p>
        </w:tc>
        <w:tc>
          <w:tcPr/>
          <w:p>
            <w:pPr>
              <w:pStyle w:val="Compact"/>
              <w:jc w:val="left"/>
            </w:pPr>
            <w:r>
              <w:t xml:space="preserve">both</w:t>
            </w:r>
          </w:p>
        </w:tc>
        <w:tc>
          <w:tcPr/>
          <w:p>
            <w:pPr>
              <w:pStyle w:val="Compact"/>
              <w:jc w:val="left"/>
            </w:pPr>
            <w:r>
              <w:t xml:space="preserve">2014-07</w:t>
            </w:r>
          </w:p>
        </w:tc>
        <w:tc>
          <w:tcPr/>
          <w:p>
            <w:pPr>
              <w:pStyle w:val="Compact"/>
              <w:jc w:val="right"/>
            </w:pPr>
            <w:r>
              <w:t xml:space="preserve">8.00</w:t>
            </w:r>
          </w:p>
        </w:tc>
        <w:tc>
          <w:tcPr/>
          <w:p>
            <w:pPr>
              <w:pStyle w:val="Compact"/>
              <w:jc w:val="right"/>
            </w:pPr>
            <w:r>
              <w:t xml:space="preserve">9.00</w:t>
            </w:r>
          </w:p>
        </w:tc>
        <w:tc>
          <w:tcPr/>
          <w:p>
            <w:pPr>
              <w:pStyle w:val="Compact"/>
              <w:jc w:val="right"/>
            </w:pPr>
            <w:r>
              <w:t xml:space="preserve">11.00</w:t>
            </w:r>
          </w:p>
        </w:tc>
        <w:tc>
          <w:tcPr/>
          <w:p>
            <w:pPr>
              <w:pStyle w:val="Compact"/>
              <w:jc w:val="right"/>
            </w:pPr>
            <w:r>
              <w:t xml:space="preserve">38</w:t>
            </w:r>
          </w:p>
        </w:tc>
        <w:tc>
          <w:tcPr/>
          <w:p>
            <w:pPr>
              <w:pStyle w:val="Compact"/>
              <w:jc w:val="right"/>
            </w:pPr>
            <w:r>
              <w:t xml:space="preserve">3</w:t>
            </w:r>
          </w:p>
        </w:tc>
        <w:tc>
          <w:tcPr/>
          <w:p>
            <w:pPr>
              <w:pStyle w:val="Compact"/>
              <w:jc w:val="right"/>
            </w:pPr>
            <w:r>
              <w:t xml:space="preserve">28</w:t>
            </w:r>
          </w:p>
        </w:tc>
      </w:tr>
      <w:tr>
        <w:tc>
          <w:tcPr/>
          <w:p>
            <w:pPr>
              <w:pStyle w:val="Compact"/>
              <w:jc w:val="left"/>
            </w:pPr>
            <w:r>
              <w:t xml:space="preserve">Hennepin (Minneapolis) (Minnesota)</w:t>
            </w:r>
          </w:p>
        </w:tc>
        <w:tc>
          <w:tcPr/>
          <w:p>
            <w:pPr>
              <w:pStyle w:val="Compact"/>
              <w:jc w:val="left"/>
            </w:pPr>
            <w:r>
              <w:t xml:space="preserve">both</w:t>
            </w:r>
          </w:p>
        </w:tc>
        <w:tc>
          <w:tcPr/>
          <w:p>
            <w:pPr>
              <w:pStyle w:val="Compact"/>
              <w:jc w:val="left"/>
            </w:pPr>
            <w:r>
              <w:t xml:space="preserve">2014-08</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11.25</w:t>
            </w:r>
          </w:p>
        </w:tc>
        <w:tc>
          <w:tcPr/>
          <w:p>
            <w:pPr>
              <w:pStyle w:val="Compact"/>
              <w:jc w:val="right"/>
            </w:pPr>
            <w:r>
              <w:t xml:space="preserve">55</w:t>
            </w:r>
          </w:p>
        </w:tc>
        <w:tc>
          <w:tcPr/>
          <w:p>
            <w:pPr>
              <w:pStyle w:val="Compact"/>
              <w:jc w:val="right"/>
            </w:pPr>
            <w:r>
              <w:t xml:space="preserve">5</w:t>
            </w:r>
          </w:p>
        </w:tc>
        <w:tc>
          <w:tcPr/>
          <w:p>
            <w:pPr>
              <w:pStyle w:val="Compact"/>
              <w:jc w:val="right"/>
            </w:pPr>
            <w:r>
              <w:t xml:space="preserve">28</w:t>
            </w:r>
          </w:p>
        </w:tc>
      </w:tr>
      <w:tr>
        <w:tc>
          <w:tcPr/>
          <w:p>
            <w:pPr>
              <w:pStyle w:val="Compact"/>
              <w:jc w:val="left"/>
            </w:pPr>
            <w:r>
              <w:t xml:space="preserve">Ramsey (St. Paul) (Minnesota)</w:t>
            </w:r>
          </w:p>
        </w:tc>
        <w:tc>
          <w:tcPr/>
          <w:p>
            <w:pPr>
              <w:pStyle w:val="Compact"/>
              <w:jc w:val="left"/>
            </w:pPr>
            <w:r>
              <w:t xml:space="preserve">both</w:t>
            </w:r>
          </w:p>
        </w:tc>
        <w:tc>
          <w:tcPr/>
          <w:p>
            <w:pPr>
              <w:pStyle w:val="Compact"/>
              <w:jc w:val="left"/>
            </w:pPr>
            <w:r>
              <w:t xml:space="preserve">2014-08</w:t>
            </w:r>
          </w:p>
        </w:tc>
        <w:tc>
          <w:tcPr/>
          <w:p>
            <w:pPr>
              <w:pStyle w:val="Compact"/>
              <w:jc w:val="right"/>
            </w:pPr>
            <w:r>
              <w:t xml:space="preserve">7.25</w:t>
            </w:r>
          </w:p>
        </w:tc>
        <w:tc>
          <w:tcPr/>
          <w:p>
            <w:pPr>
              <w:pStyle w:val="Compact"/>
              <w:jc w:val="right"/>
            </w:pPr>
            <w:r>
              <w:t xml:space="preserve">8.00</w:t>
            </w:r>
          </w:p>
        </w:tc>
        <w:tc>
          <w:tcPr/>
          <w:p>
            <w:pPr>
              <w:pStyle w:val="Compact"/>
              <w:jc w:val="right"/>
            </w:pPr>
            <w:r>
              <w:t xml:space="preserve">9.65</w:t>
            </w:r>
          </w:p>
        </w:tc>
        <w:tc>
          <w:tcPr/>
          <w:p>
            <w:pPr>
              <w:pStyle w:val="Compact"/>
              <w:jc w:val="right"/>
            </w:pPr>
            <w:r>
              <w:t xml:space="preserve">33</w:t>
            </w:r>
          </w:p>
        </w:tc>
        <w:tc>
          <w:tcPr/>
          <w:p>
            <w:pPr>
              <w:pStyle w:val="Compact"/>
              <w:jc w:val="right"/>
            </w:pPr>
            <w:r>
              <w:t xml:space="preserve">3</w:t>
            </w:r>
          </w:p>
        </w:tc>
        <w:tc>
          <w:tcPr/>
          <w:p>
            <w:pPr>
              <w:pStyle w:val="Compact"/>
              <w:jc w:val="right"/>
            </w:pPr>
            <w:r>
              <w:t xml:space="preserve">28</w:t>
            </w:r>
          </w:p>
        </w:tc>
      </w:tr>
      <w:tr>
        <w:tc>
          <w:tcPr/>
          <w:p>
            <w:pPr>
              <w:pStyle w:val="Compact"/>
              <w:jc w:val="left"/>
            </w:pPr>
            <w:r>
              <w:t xml:space="preserve">Montgomery MD (Maryland)</w:t>
            </w:r>
          </w:p>
        </w:tc>
        <w:tc>
          <w:tcPr/>
          <w:p>
            <w:pPr>
              <w:pStyle w:val="Compact"/>
              <w:jc w:val="left"/>
            </w:pPr>
            <w:r>
              <w:t xml:space="preserve">local</w:t>
            </w:r>
          </w:p>
        </w:tc>
        <w:tc>
          <w:tcPr/>
          <w:p>
            <w:pPr>
              <w:pStyle w:val="Compact"/>
              <w:jc w:val="left"/>
            </w:pPr>
            <w:r>
              <w:t xml:space="preserve">2014-10</w:t>
            </w:r>
          </w:p>
        </w:tc>
        <w:tc>
          <w:tcPr/>
          <w:p>
            <w:pPr>
              <w:pStyle w:val="Compact"/>
              <w:jc w:val="right"/>
            </w:pPr>
            <w:r>
              <w:t xml:space="preserve">7.25</w:t>
            </w:r>
          </w:p>
        </w:tc>
        <w:tc>
          <w:tcPr/>
          <w:p>
            <w:pPr>
              <w:pStyle w:val="Compact"/>
              <w:jc w:val="right"/>
            </w:pPr>
            <w:r>
              <w:t xml:space="preserve">8.40</w:t>
            </w:r>
          </w:p>
        </w:tc>
        <w:tc>
          <w:tcPr/>
          <w:p>
            <w:pPr>
              <w:pStyle w:val="Compact"/>
              <w:jc w:val="right"/>
            </w:pPr>
            <w:r>
              <w:t xml:space="preserve">12.25</w:t>
            </w:r>
          </w:p>
        </w:tc>
        <w:tc>
          <w:tcPr/>
          <w:p>
            <w:pPr>
              <w:pStyle w:val="Compact"/>
              <w:jc w:val="right"/>
            </w:pPr>
            <w:r>
              <w:t xml:space="preserve">69</w:t>
            </w:r>
          </w:p>
        </w:tc>
        <w:tc>
          <w:tcPr/>
          <w:p>
            <w:pPr>
              <w:pStyle w:val="Compact"/>
              <w:jc w:val="right"/>
            </w:pPr>
            <w:r>
              <w:t xml:space="preserve">5</w:t>
            </w:r>
          </w:p>
        </w:tc>
        <w:tc>
          <w:tcPr/>
          <w:p>
            <w:pPr>
              <w:pStyle w:val="Compact"/>
              <w:jc w:val="right"/>
            </w:pPr>
            <w:r>
              <w:t xml:space="preserve">28</w:t>
            </w:r>
          </w:p>
        </w:tc>
      </w:tr>
      <w:tr>
        <w:tc>
          <w:tcPr/>
          <w:p>
            <w:pPr>
              <w:pStyle w:val="Compact"/>
              <w:jc w:val="left"/>
            </w:pPr>
            <w:r>
              <w:t xml:space="preserve">Prince George’s (Maryland)</w:t>
            </w:r>
          </w:p>
        </w:tc>
        <w:tc>
          <w:tcPr/>
          <w:p>
            <w:pPr>
              <w:pStyle w:val="Compact"/>
              <w:jc w:val="left"/>
            </w:pPr>
            <w:r>
              <w:t xml:space="preserve">local</w:t>
            </w:r>
          </w:p>
        </w:tc>
        <w:tc>
          <w:tcPr/>
          <w:p>
            <w:pPr>
              <w:pStyle w:val="Compact"/>
              <w:jc w:val="left"/>
            </w:pPr>
            <w:r>
              <w:t xml:space="preserve">2014-10</w:t>
            </w:r>
          </w:p>
        </w:tc>
        <w:tc>
          <w:tcPr/>
          <w:p>
            <w:pPr>
              <w:pStyle w:val="Compact"/>
              <w:jc w:val="right"/>
            </w:pPr>
            <w:r>
              <w:t xml:space="preserve">7.25</w:t>
            </w:r>
          </w:p>
        </w:tc>
        <w:tc>
          <w:tcPr/>
          <w:p>
            <w:pPr>
              <w:pStyle w:val="Compact"/>
              <w:jc w:val="right"/>
            </w:pPr>
            <w:r>
              <w:t xml:space="preserve">8.40</w:t>
            </w:r>
          </w:p>
        </w:tc>
        <w:tc>
          <w:tcPr/>
          <w:p>
            <w:pPr>
              <w:pStyle w:val="Compact"/>
              <w:jc w:val="right"/>
            </w:pPr>
            <w:r>
              <w:t xml:space="preserve">11.50</w:t>
            </w:r>
          </w:p>
        </w:tc>
        <w:tc>
          <w:tcPr/>
          <w:p>
            <w:pPr>
              <w:pStyle w:val="Compact"/>
              <w:jc w:val="right"/>
            </w:pPr>
            <w:r>
              <w:t xml:space="preserve">59</w:t>
            </w:r>
          </w:p>
        </w:tc>
        <w:tc>
          <w:tcPr/>
          <w:p>
            <w:pPr>
              <w:pStyle w:val="Compact"/>
              <w:jc w:val="right"/>
            </w:pPr>
            <w:r>
              <w:t xml:space="preserve">4</w:t>
            </w:r>
          </w:p>
        </w:tc>
        <w:tc>
          <w:tcPr/>
          <w:p>
            <w:pPr>
              <w:pStyle w:val="Compact"/>
              <w:jc w:val="right"/>
            </w:pPr>
            <w:r>
              <w:t xml:space="preserve">28</w:t>
            </w:r>
          </w:p>
        </w:tc>
      </w:tr>
      <w:tr>
        <w:tc>
          <w:tcPr/>
          <w:p>
            <w:pPr>
              <w:pStyle w:val="Compact"/>
              <w:jc w:val="left"/>
            </w:pPr>
            <w:r>
              <w:t xml:space="preserve">Dona Ana (Las Cruces) (New Mexico)</w:t>
            </w:r>
          </w:p>
        </w:tc>
        <w:tc>
          <w:tcPr/>
          <w:p>
            <w:pPr>
              <w:pStyle w:val="Compact"/>
              <w:jc w:val="left"/>
            </w:pPr>
            <w:r>
              <w:t xml:space="preserve">local</w:t>
            </w:r>
          </w:p>
        </w:tc>
        <w:tc>
          <w:tcPr/>
          <w:p>
            <w:pPr>
              <w:pStyle w:val="Compact"/>
              <w:jc w:val="left"/>
            </w:pPr>
            <w:r>
              <w:t xml:space="preserve">2015-01</w:t>
            </w:r>
          </w:p>
        </w:tc>
        <w:tc>
          <w:tcPr/>
          <w:p>
            <w:pPr>
              <w:pStyle w:val="Compact"/>
              <w:jc w:val="right"/>
            </w:pPr>
            <w:r>
              <w:t xml:space="preserve">7.50</w:t>
            </w:r>
          </w:p>
        </w:tc>
        <w:tc>
          <w:tcPr/>
          <w:p>
            <w:pPr>
              <w:pStyle w:val="Compact"/>
              <w:jc w:val="right"/>
            </w:pPr>
            <w:r>
              <w:t xml:space="preserve">8.40</w:t>
            </w:r>
          </w:p>
        </w:tc>
        <w:tc>
          <w:tcPr/>
          <w:p>
            <w:pPr>
              <w:pStyle w:val="Compact"/>
              <w:jc w:val="right"/>
            </w:pPr>
            <w:r>
              <w:t xml:space="preserve">9.20</w:t>
            </w:r>
          </w:p>
        </w:tc>
        <w:tc>
          <w:tcPr/>
          <w:p>
            <w:pPr>
              <w:pStyle w:val="Compact"/>
              <w:jc w:val="right"/>
            </w:pPr>
            <w:r>
              <w:t xml:space="preserve">23</w:t>
            </w:r>
          </w:p>
        </w:tc>
        <w:tc>
          <w:tcPr/>
          <w:p>
            <w:pPr>
              <w:pStyle w:val="Compact"/>
              <w:jc w:val="right"/>
            </w:pPr>
            <w:r>
              <w:t xml:space="preserve">2</w:t>
            </w:r>
          </w:p>
        </w:tc>
        <w:tc>
          <w:tcPr/>
          <w:p>
            <w:pPr>
              <w:pStyle w:val="Compact"/>
              <w:jc w:val="right"/>
            </w:pPr>
            <w:r>
              <w:t xml:space="preserve">27</w:t>
            </w:r>
          </w:p>
        </w:tc>
      </w:tr>
      <w:tr>
        <w:tc>
          <w:tcPr/>
          <w:p>
            <w:pPr>
              <w:pStyle w:val="Compact"/>
              <w:jc w:val="left"/>
            </w:pPr>
            <w:r>
              <w:t xml:space="preserve">King (Seattle) (Washington)</w:t>
            </w:r>
          </w:p>
        </w:tc>
        <w:tc>
          <w:tcPr/>
          <w:p>
            <w:pPr>
              <w:pStyle w:val="Compact"/>
              <w:jc w:val="left"/>
            </w:pPr>
            <w:r>
              <w:t xml:space="preserve">local</w:t>
            </w:r>
          </w:p>
        </w:tc>
        <w:tc>
          <w:tcPr/>
          <w:p>
            <w:pPr>
              <w:pStyle w:val="Compact"/>
              <w:jc w:val="left"/>
            </w:pPr>
            <w:r>
              <w:t xml:space="preserve">2015-04</w:t>
            </w:r>
          </w:p>
        </w:tc>
        <w:tc>
          <w:tcPr/>
          <w:p>
            <w:pPr>
              <w:pStyle w:val="Compact"/>
              <w:jc w:val="right"/>
            </w:pPr>
            <w:r>
              <w:t xml:space="preserve">9.47</w:t>
            </w:r>
          </w:p>
        </w:tc>
        <w:tc>
          <w:tcPr/>
          <w:p>
            <w:pPr>
              <w:pStyle w:val="Compact"/>
              <w:jc w:val="right"/>
            </w:pPr>
            <w:r>
              <w:t xml:space="preserve">11.00</w:t>
            </w:r>
          </w:p>
        </w:tc>
        <w:tc>
          <w:tcPr/>
          <w:p>
            <w:pPr>
              <w:pStyle w:val="Compact"/>
              <w:jc w:val="right"/>
            </w:pPr>
            <w:r>
              <w:t xml:space="preserve">16.00</w:t>
            </w:r>
          </w:p>
        </w:tc>
        <w:tc>
          <w:tcPr/>
          <w:p>
            <w:pPr>
              <w:pStyle w:val="Compact"/>
              <w:jc w:val="right"/>
            </w:pPr>
            <w:r>
              <w:t xml:space="preserve">69</w:t>
            </w:r>
          </w:p>
        </w:tc>
        <w:tc>
          <w:tcPr/>
          <w:p>
            <w:pPr>
              <w:pStyle w:val="Compact"/>
              <w:jc w:val="right"/>
            </w:pPr>
            <w:r>
              <w:t xml:space="preserve">3</w:t>
            </w:r>
          </w:p>
        </w:tc>
        <w:tc>
          <w:tcPr/>
          <w:p>
            <w:pPr>
              <w:pStyle w:val="Compact"/>
              <w:jc w:val="right"/>
            </w:pPr>
            <w:r>
              <w:t xml:space="preserve">28</w:t>
            </w:r>
          </w:p>
        </w:tc>
      </w:tr>
      <w:tr>
        <w:tc>
          <w:tcPr/>
          <w:p>
            <w:pPr>
              <w:pStyle w:val="Compact"/>
              <w:jc w:val="left"/>
            </w:pPr>
            <w:r>
              <w:t xml:space="preserve">San Francisco (California)</w:t>
            </w:r>
          </w:p>
        </w:tc>
        <w:tc>
          <w:tcPr/>
          <w:p>
            <w:pPr>
              <w:pStyle w:val="Compact"/>
              <w:jc w:val="left"/>
            </w:pPr>
            <w:r>
              <w:t xml:space="preserve">local</w:t>
            </w:r>
          </w:p>
        </w:tc>
        <w:tc>
          <w:tcPr/>
          <w:p>
            <w:pPr>
              <w:pStyle w:val="Compact"/>
              <w:jc w:val="left"/>
            </w:pPr>
            <w:r>
              <w:t xml:space="preserve">2015-05</w:t>
            </w:r>
          </w:p>
        </w:tc>
        <w:tc>
          <w:tcPr/>
          <w:p>
            <w:pPr>
              <w:pStyle w:val="Compact"/>
              <w:jc w:val="right"/>
            </w:pPr>
            <w:r>
              <w:t xml:space="preserve">11.05</w:t>
            </w:r>
          </w:p>
        </w:tc>
        <w:tc>
          <w:tcPr/>
          <w:p>
            <w:pPr>
              <w:pStyle w:val="Compact"/>
              <w:jc w:val="right"/>
            </w:pPr>
            <w:r>
              <w:t xml:space="preserve">12.25</w:t>
            </w:r>
          </w:p>
        </w:tc>
        <w:tc>
          <w:tcPr/>
          <w:p>
            <w:pPr>
              <w:pStyle w:val="Compact"/>
              <w:jc w:val="right"/>
            </w:pPr>
            <w:r>
              <w:t xml:space="preserve">15.00</w:t>
            </w:r>
          </w:p>
        </w:tc>
        <w:tc>
          <w:tcPr/>
          <w:p>
            <w:pPr>
              <w:pStyle w:val="Compact"/>
              <w:jc w:val="right"/>
            </w:pPr>
            <w:r>
              <w:t xml:space="preserve">36</w:t>
            </w:r>
          </w:p>
        </w:tc>
        <w:tc>
          <w:tcPr/>
          <w:p>
            <w:pPr>
              <w:pStyle w:val="Compact"/>
              <w:jc w:val="right"/>
            </w:pPr>
            <w:r>
              <w:t xml:space="preserve">4</w:t>
            </w:r>
          </w:p>
        </w:tc>
        <w:tc>
          <w:tcPr/>
          <w:p>
            <w:pPr>
              <w:pStyle w:val="Compact"/>
              <w:jc w:val="right"/>
            </w:pPr>
            <w:r>
              <w:t xml:space="preserve">28</w:t>
            </w:r>
          </w:p>
        </w:tc>
      </w:tr>
      <w:tr>
        <w:tc>
          <w:tcPr/>
          <w:p>
            <w:pPr>
              <w:pStyle w:val="Compact"/>
              <w:jc w:val="left"/>
            </w:pPr>
            <w:r>
              <w:t xml:space="preserve">Cook (Chicago) (Illinois)</w:t>
            </w:r>
          </w:p>
        </w:tc>
        <w:tc>
          <w:tcPr/>
          <w:p>
            <w:pPr>
              <w:pStyle w:val="Compact"/>
              <w:jc w:val="left"/>
            </w:pPr>
            <w:r>
              <w:t xml:space="preserve">local</w:t>
            </w:r>
          </w:p>
        </w:tc>
        <w:tc>
          <w:tcPr/>
          <w:p>
            <w:pPr>
              <w:pStyle w:val="Compact"/>
              <w:jc w:val="left"/>
            </w:pPr>
            <w:r>
              <w:t xml:space="preserve">2015-07</w:t>
            </w:r>
          </w:p>
        </w:tc>
        <w:tc>
          <w:tcPr/>
          <w:p>
            <w:pPr>
              <w:pStyle w:val="Compact"/>
              <w:jc w:val="right"/>
            </w:pPr>
            <w:r>
              <w:t xml:space="preserve">8.25</w:t>
            </w:r>
          </w:p>
        </w:tc>
        <w:tc>
          <w:tcPr/>
          <w:p>
            <w:pPr>
              <w:pStyle w:val="Compact"/>
              <w:jc w:val="right"/>
            </w:pPr>
            <w:r>
              <w:t xml:space="preserve">10.00</w:t>
            </w:r>
          </w:p>
        </w:tc>
        <w:tc>
          <w:tcPr/>
          <w:p>
            <w:pPr>
              <w:pStyle w:val="Compact"/>
              <w:jc w:val="right"/>
            </w:pPr>
            <w:r>
              <w:t xml:space="preserve">12.00</w:t>
            </w:r>
          </w:p>
        </w:tc>
        <w:tc>
          <w:tcPr/>
          <w:p>
            <w:pPr>
              <w:pStyle w:val="Compact"/>
              <w:jc w:val="right"/>
            </w:pPr>
            <w:r>
              <w:t xml:space="preserve">45</w:t>
            </w:r>
          </w:p>
        </w:tc>
        <w:tc>
          <w:tcPr/>
          <w:p>
            <w:pPr>
              <w:pStyle w:val="Compact"/>
              <w:jc w:val="right"/>
            </w:pPr>
            <w:r>
              <w:t xml:space="preserve">3</w:t>
            </w:r>
          </w:p>
        </w:tc>
        <w:tc>
          <w:tcPr/>
          <w:p>
            <w:pPr>
              <w:pStyle w:val="Compact"/>
              <w:jc w:val="right"/>
            </w:pPr>
            <w:r>
              <w:t xml:space="preserve">27</w:t>
            </w:r>
          </w:p>
        </w:tc>
      </w:tr>
      <w:tr>
        <w:tc>
          <w:tcPr/>
          <w:p>
            <w:pPr>
              <w:pStyle w:val="Compact"/>
              <w:jc w:val="left"/>
            </w:pPr>
            <w:r>
              <w:t xml:space="preserve">Cumberland (Portland ME) (Maine)</w:t>
            </w:r>
          </w:p>
        </w:tc>
        <w:tc>
          <w:tcPr/>
          <w:p>
            <w:pPr>
              <w:pStyle w:val="Compact"/>
              <w:jc w:val="left"/>
            </w:pPr>
            <w:r>
              <w:t xml:space="preserve">local</w:t>
            </w:r>
          </w:p>
        </w:tc>
        <w:tc>
          <w:tcPr/>
          <w:p>
            <w:pPr>
              <w:pStyle w:val="Compact"/>
              <w:jc w:val="left"/>
            </w:pPr>
            <w:r>
              <w:t xml:space="preserve">2016-01</w:t>
            </w:r>
          </w:p>
        </w:tc>
        <w:tc>
          <w:tcPr/>
          <w:p>
            <w:pPr>
              <w:pStyle w:val="Compact"/>
              <w:jc w:val="right"/>
            </w:pPr>
            <w:r>
              <w:t xml:space="preserve">7.50</w:t>
            </w:r>
          </w:p>
        </w:tc>
        <w:tc>
          <w:tcPr/>
          <w:p>
            <w:pPr>
              <w:pStyle w:val="Compact"/>
              <w:jc w:val="right"/>
            </w:pPr>
            <w:r>
              <w:t xml:space="preserve">10.10</w:t>
            </w:r>
          </w:p>
        </w:tc>
        <w:tc>
          <w:tcPr/>
          <w:p>
            <w:pPr>
              <w:pStyle w:val="Compact"/>
              <w:jc w:val="right"/>
            </w:pPr>
            <w:r>
              <w:t xml:space="preserve">11.00</w:t>
            </w:r>
          </w:p>
        </w:tc>
        <w:tc>
          <w:tcPr/>
          <w:p>
            <w:pPr>
              <w:pStyle w:val="Compact"/>
              <w:jc w:val="right"/>
            </w:pPr>
            <w:r>
              <w:t xml:space="preserve">47</w:t>
            </w:r>
          </w:p>
        </w:tc>
        <w:tc>
          <w:tcPr/>
          <w:p>
            <w:pPr>
              <w:pStyle w:val="Compact"/>
              <w:jc w:val="right"/>
            </w:pPr>
            <w:r>
              <w:t xml:space="preserve">2</w:t>
            </w:r>
          </w:p>
        </w:tc>
        <w:tc>
          <w:tcPr/>
          <w:p>
            <w:pPr>
              <w:pStyle w:val="Compact"/>
              <w:jc w:val="right"/>
            </w:pPr>
            <w:r>
              <w:t xml:space="preserve">28</w:t>
            </w:r>
          </w:p>
        </w:tc>
      </w:tr>
      <w:tr>
        <w:tc>
          <w:tcPr/>
          <w:p>
            <w:pPr>
              <w:pStyle w:val="Compact"/>
              <w:jc w:val="left"/>
            </w:pPr>
            <w:r>
              <w:t xml:space="preserve">Pierce (Tacoma) (Washington)</w:t>
            </w:r>
          </w:p>
        </w:tc>
        <w:tc>
          <w:tcPr/>
          <w:p>
            <w:pPr>
              <w:pStyle w:val="Compact"/>
              <w:jc w:val="left"/>
            </w:pPr>
            <w:r>
              <w:t xml:space="preserve">local</w:t>
            </w:r>
          </w:p>
        </w:tc>
        <w:tc>
          <w:tcPr/>
          <w:p>
            <w:pPr>
              <w:pStyle w:val="Compact"/>
              <w:jc w:val="left"/>
            </w:pPr>
            <w:r>
              <w:t xml:space="preserve">2016-02</w:t>
            </w:r>
          </w:p>
        </w:tc>
        <w:tc>
          <w:tcPr/>
          <w:p>
            <w:pPr>
              <w:pStyle w:val="Compact"/>
              <w:jc w:val="right"/>
            </w:pPr>
            <w:r>
              <w:t xml:space="preserve">9.47</w:t>
            </w:r>
          </w:p>
        </w:tc>
        <w:tc>
          <w:tcPr/>
          <w:p>
            <w:pPr>
              <w:pStyle w:val="Compact"/>
              <w:jc w:val="right"/>
            </w:pPr>
            <w:r>
              <w:t xml:space="preserve">10.35</w:t>
            </w:r>
          </w:p>
        </w:tc>
        <w:tc>
          <w:tcPr/>
          <w:p>
            <w:pPr>
              <w:pStyle w:val="Compact"/>
              <w:jc w:val="right"/>
            </w:pPr>
            <w:r>
              <w:t xml:space="preserve">12.35</w:t>
            </w:r>
          </w:p>
        </w:tc>
        <w:tc>
          <w:tcPr/>
          <w:p>
            <w:pPr>
              <w:pStyle w:val="Compact"/>
              <w:jc w:val="right"/>
            </w:pPr>
            <w:r>
              <w:t xml:space="preserve">30</w:t>
            </w:r>
          </w:p>
        </w:tc>
        <w:tc>
          <w:tcPr/>
          <w:p>
            <w:pPr>
              <w:pStyle w:val="Compact"/>
              <w:jc w:val="right"/>
            </w:pPr>
            <w:r>
              <w:t xml:space="preserve">3</w:t>
            </w:r>
          </w:p>
        </w:tc>
        <w:tc>
          <w:tcPr/>
          <w:p>
            <w:pPr>
              <w:pStyle w:val="Compact"/>
              <w:jc w:val="right"/>
            </w:pPr>
            <w:r>
              <w:t xml:space="preserve">27</w:t>
            </w:r>
          </w:p>
        </w:tc>
      </w:tr>
      <w:tr>
        <w:tc>
          <w:tcPr/>
          <w:p>
            <w:pPr>
              <w:pStyle w:val="Compact"/>
              <w:jc w:val="left"/>
            </w:pPr>
            <w:r>
              <w:t xml:space="preserve">Multnomah (Portland) (Oregon)</w:t>
            </w:r>
          </w:p>
        </w:tc>
        <w:tc>
          <w:tcPr/>
          <w:p>
            <w:pPr>
              <w:pStyle w:val="Compact"/>
              <w:jc w:val="left"/>
            </w:pPr>
            <w:r>
              <w:t xml:space="preserve">both</w:t>
            </w:r>
          </w:p>
        </w:tc>
        <w:tc>
          <w:tcPr/>
          <w:p>
            <w:pPr>
              <w:pStyle w:val="Compact"/>
              <w:jc w:val="left"/>
            </w:pPr>
            <w:r>
              <w:t xml:space="preserve">2016-07</w:t>
            </w:r>
          </w:p>
        </w:tc>
        <w:tc>
          <w:tcPr/>
          <w:p>
            <w:pPr>
              <w:pStyle w:val="Compact"/>
              <w:jc w:val="right"/>
            </w:pPr>
            <w:r>
              <w:t xml:space="preserve">9.25</w:t>
            </w:r>
          </w:p>
        </w:tc>
        <w:tc>
          <w:tcPr/>
          <w:p>
            <w:pPr>
              <w:pStyle w:val="Compact"/>
              <w:jc w:val="right"/>
            </w:pPr>
            <w:r>
              <w:t xml:space="preserve">9.75</w:t>
            </w:r>
          </w:p>
        </w:tc>
        <w:tc>
          <w:tcPr/>
          <w:p>
            <w:pPr>
              <w:pStyle w:val="Compact"/>
              <w:jc w:val="right"/>
            </w:pPr>
            <w:r>
              <w:t xml:space="preserve">12.50</w:t>
            </w:r>
          </w:p>
        </w:tc>
        <w:tc>
          <w:tcPr/>
          <w:p>
            <w:pPr>
              <w:pStyle w:val="Compact"/>
              <w:jc w:val="right"/>
            </w:pPr>
            <w:r>
              <w:t xml:space="preserve">35</w:t>
            </w:r>
          </w:p>
        </w:tc>
        <w:tc>
          <w:tcPr/>
          <w:p>
            <w:pPr>
              <w:pStyle w:val="Compact"/>
              <w:jc w:val="right"/>
            </w:pPr>
            <w:r>
              <w:t xml:space="preserve">3</w:t>
            </w:r>
          </w:p>
        </w:tc>
        <w:tc>
          <w:tcPr/>
          <w:p>
            <w:pPr>
              <w:pStyle w:val="Compact"/>
              <w:jc w:val="right"/>
            </w:pPr>
            <w:r>
              <w:t xml:space="preserve">27</w:t>
            </w:r>
          </w:p>
        </w:tc>
      </w:tr>
      <w:tr>
        <w:tc>
          <w:tcPr/>
          <w:p>
            <w:pPr>
              <w:pStyle w:val="Compact"/>
              <w:jc w:val="left"/>
            </w:pPr>
            <w:r>
              <w:t xml:space="preserve">Denver (Colorado)</w:t>
            </w:r>
          </w:p>
        </w:tc>
        <w:tc>
          <w:tcPr/>
          <w:p>
            <w:pPr>
              <w:pStyle w:val="Compact"/>
              <w:jc w:val="left"/>
            </w:pPr>
            <w:r>
              <w:t xml:space="preserve">both</w:t>
            </w:r>
          </w:p>
        </w:tc>
        <w:tc>
          <w:tcPr/>
          <w:p>
            <w:pPr>
              <w:pStyle w:val="Compact"/>
              <w:jc w:val="left"/>
            </w:pPr>
            <w:r>
              <w:t xml:space="preserve">2017-01</w:t>
            </w:r>
          </w:p>
        </w:tc>
        <w:tc>
          <w:tcPr/>
          <w:p>
            <w:pPr>
              <w:pStyle w:val="Compact"/>
              <w:jc w:val="right"/>
            </w:pPr>
            <w:r>
              <w:t xml:space="preserve">8.31</w:t>
            </w:r>
          </w:p>
        </w:tc>
        <w:tc>
          <w:tcPr/>
          <w:p>
            <w:pPr>
              <w:pStyle w:val="Compact"/>
              <w:jc w:val="right"/>
            </w:pPr>
            <w:r>
              <w:t xml:space="preserve">9.30</w:t>
            </w:r>
          </w:p>
        </w:tc>
        <w:tc>
          <w:tcPr/>
          <w:p>
            <w:pPr>
              <w:pStyle w:val="Compact"/>
              <w:jc w:val="right"/>
            </w:pPr>
            <w:r>
              <w:t xml:space="preserve">12.85</w:t>
            </w:r>
          </w:p>
        </w:tc>
        <w:tc>
          <w:tcPr/>
          <w:p>
            <w:pPr>
              <w:pStyle w:val="Compact"/>
              <w:jc w:val="right"/>
            </w:pPr>
            <w:r>
              <w:t xml:space="preserve">55</w:t>
            </w:r>
          </w:p>
        </w:tc>
        <w:tc>
          <w:tcPr/>
          <w:p>
            <w:pPr>
              <w:pStyle w:val="Compact"/>
              <w:jc w:val="right"/>
            </w:pPr>
            <w:r>
              <w:t xml:space="preserve">4</w:t>
            </w:r>
          </w:p>
        </w:tc>
        <w:tc>
          <w:tcPr/>
          <w:p>
            <w:pPr>
              <w:pStyle w:val="Compact"/>
              <w:jc w:val="right"/>
            </w:pPr>
            <w:r>
              <w:t xml:space="preserve">26</w:t>
            </w:r>
          </w:p>
        </w:tc>
      </w:tr>
      <w:tr>
        <w:tc>
          <w:tcPr/>
          <w:p>
            <w:pPr>
              <w:pStyle w:val="Compact"/>
              <w:jc w:val="left"/>
            </w:pPr>
            <w:r>
              <w:t xml:space="preserve">Santa Clara (California)</w:t>
            </w:r>
          </w:p>
        </w:tc>
        <w:tc>
          <w:tcPr/>
          <w:p>
            <w:pPr>
              <w:pStyle w:val="Compact"/>
              <w:jc w:val="left"/>
            </w:pPr>
            <w:r>
              <w:t xml:space="preserve">local</w:t>
            </w:r>
          </w:p>
        </w:tc>
        <w:tc>
          <w:tcPr/>
          <w:p>
            <w:pPr>
              <w:pStyle w:val="Compact"/>
              <w:jc w:val="left"/>
            </w:pPr>
            <w:r>
              <w:t xml:space="preserve">2017-07</w:t>
            </w:r>
          </w:p>
        </w:tc>
        <w:tc>
          <w:tcPr/>
          <w:p>
            <w:pPr>
              <w:pStyle w:val="Compact"/>
              <w:jc w:val="right"/>
            </w:pPr>
            <w:r>
              <w:t xml:space="preserve">10.50</w:t>
            </w:r>
          </w:p>
        </w:tc>
        <w:tc>
          <w:tcPr/>
          <w:p>
            <w:pPr>
              <w:pStyle w:val="Compact"/>
              <w:jc w:val="right"/>
            </w:pPr>
            <w:r>
              <w:t xml:space="preserve">12.00</w:t>
            </w:r>
          </w:p>
        </w:tc>
        <w:tc>
          <w:tcPr/>
          <w:p>
            <w:pPr>
              <w:pStyle w:val="Compact"/>
              <w:jc w:val="right"/>
            </w:pPr>
            <w:r>
              <w:t xml:space="preserve">15.45</w:t>
            </w:r>
          </w:p>
        </w:tc>
        <w:tc>
          <w:tcPr/>
          <w:p>
            <w:pPr>
              <w:pStyle w:val="Compact"/>
              <w:jc w:val="right"/>
            </w:pPr>
            <w:r>
              <w:t xml:space="preserve">47</w:t>
            </w:r>
          </w:p>
        </w:tc>
        <w:tc>
          <w:tcPr/>
          <w:p>
            <w:pPr>
              <w:pStyle w:val="Compact"/>
              <w:jc w:val="right"/>
            </w:pPr>
            <w:r>
              <w:t xml:space="preserve">3</w:t>
            </w:r>
          </w:p>
        </w:tc>
        <w:tc>
          <w:tcPr/>
          <w:p>
            <w:pPr>
              <w:pStyle w:val="Compact"/>
              <w:jc w:val="right"/>
            </w:pPr>
            <w:r>
              <w:t xml:space="preserve">24</w:t>
            </w:r>
          </w:p>
        </w:tc>
      </w:tr>
      <w:tr>
        <w:tc>
          <w:tcPr/>
          <w:p>
            <w:pPr>
              <w:pStyle w:val="Compact"/>
              <w:jc w:val="left"/>
            </w:pPr>
            <w:r>
              <w:t xml:space="preserve">Ramsey (St. Paul) (Minnesota)</w:t>
            </w:r>
          </w:p>
        </w:tc>
        <w:tc>
          <w:tcPr/>
          <w:p>
            <w:pPr>
              <w:pStyle w:val="Compact"/>
              <w:jc w:val="left"/>
            </w:pPr>
            <w:r>
              <w:t xml:space="preserve">local</w:t>
            </w:r>
          </w:p>
        </w:tc>
        <w:tc>
          <w:tcPr/>
          <w:p>
            <w:pPr>
              <w:pStyle w:val="Compact"/>
              <w:jc w:val="left"/>
            </w:pPr>
            <w:r>
              <w:t xml:space="preserve">2020-01</w:t>
            </w:r>
          </w:p>
        </w:tc>
        <w:tc>
          <w:tcPr/>
          <w:p>
            <w:pPr>
              <w:pStyle w:val="Compact"/>
              <w:jc w:val="right"/>
            </w:pPr>
            <w:r>
              <w:t xml:space="preserve">9.86</w:t>
            </w:r>
          </w:p>
        </w:tc>
        <w:tc>
          <w:tcPr/>
          <w:p>
            <w:pPr>
              <w:pStyle w:val="Compact"/>
              <w:jc w:val="right"/>
            </w:pPr>
            <w:r>
              <w:t xml:space="preserve">12.50</w:t>
            </w:r>
          </w:p>
        </w:tc>
        <w:tc>
          <w:tcPr/>
          <w:p>
            <w:pPr>
              <w:pStyle w:val="Compact"/>
              <w:jc w:val="right"/>
            </w:pPr>
            <w:r>
              <w:t xml:space="preserve">15.00</w:t>
            </w:r>
          </w:p>
        </w:tc>
        <w:tc>
          <w:tcPr/>
          <w:p>
            <w:pPr>
              <w:pStyle w:val="Compact"/>
              <w:jc w:val="right"/>
            </w:pPr>
            <w:r>
              <w:t xml:space="preserve">52</w:t>
            </w:r>
          </w:p>
        </w:tc>
        <w:tc>
          <w:tcPr/>
          <w:p>
            <w:pPr>
              <w:pStyle w:val="Compact"/>
              <w:jc w:val="right"/>
            </w:pPr>
            <w:r>
              <w:t xml:space="preserve">2</w:t>
            </w:r>
          </w:p>
        </w:tc>
        <w:tc>
          <w:tcPr/>
          <w:p>
            <w:pPr>
              <w:pStyle w:val="Compact"/>
              <w:jc w:val="right"/>
            </w:pPr>
            <w:r>
              <w:t xml:space="preserve">26</w:t>
            </w:r>
          </w:p>
        </w:tc>
      </w:tr>
      <w:tr>
        <w:tc>
          <w:tcPr/>
          <w:p>
            <w:pPr>
              <w:pStyle w:val="Compact"/>
              <w:jc w:val="left"/>
            </w:pPr>
            <w:r>
              <w:t xml:space="preserve">Bernalillo (Albuquerque) (New Mexico)</w:t>
            </w:r>
          </w:p>
        </w:tc>
        <w:tc>
          <w:tcPr/>
          <w:p>
            <w:pPr>
              <w:pStyle w:val="Compact"/>
              <w:jc w:val="left"/>
            </w:pPr>
            <w:r>
              <w:t xml:space="preserve">both</w:t>
            </w:r>
          </w:p>
        </w:tc>
        <w:tc>
          <w:tcPr/>
          <w:p>
            <w:pPr>
              <w:pStyle w:val="Compact"/>
              <w:jc w:val="left"/>
            </w:pPr>
            <w:r>
              <w:t xml:space="preserve">2021-01</w:t>
            </w:r>
          </w:p>
        </w:tc>
        <w:tc>
          <w:tcPr/>
          <w:p>
            <w:pPr>
              <w:pStyle w:val="Compact"/>
              <w:jc w:val="right"/>
            </w:pPr>
            <w:r>
              <w:t xml:space="preserve">9.35</w:t>
            </w:r>
          </w:p>
        </w:tc>
        <w:tc>
          <w:tcPr/>
          <w:p>
            <w:pPr>
              <w:pStyle w:val="Compact"/>
              <w:jc w:val="right"/>
            </w:pPr>
            <w:r>
              <w:t xml:space="preserve">10.50</w:t>
            </w:r>
          </w:p>
        </w:tc>
        <w:tc>
          <w:tcPr/>
          <w:p>
            <w:pPr>
              <w:pStyle w:val="Compact"/>
              <w:jc w:val="right"/>
            </w:pPr>
            <w:r>
              <w:t xml:space="preserve">11.50</w:t>
            </w:r>
          </w:p>
        </w:tc>
        <w:tc>
          <w:tcPr/>
          <w:p>
            <w:pPr>
              <w:pStyle w:val="Compact"/>
              <w:jc w:val="right"/>
            </w:pPr>
            <w:r>
              <w:t xml:space="preserve">23</w:t>
            </w:r>
          </w:p>
        </w:tc>
        <w:tc>
          <w:tcPr/>
          <w:p>
            <w:pPr>
              <w:pStyle w:val="Compact"/>
              <w:jc w:val="right"/>
            </w:pPr>
            <w:r>
              <w:t xml:space="preserve">2</w:t>
            </w:r>
          </w:p>
        </w:tc>
        <w:tc>
          <w:tcPr/>
          <w:p>
            <w:pPr>
              <w:pStyle w:val="Compact"/>
              <w:jc w:val="right"/>
            </w:pPr>
            <w:r>
              <w:t xml:space="preserve">30</w:t>
            </w:r>
          </w:p>
        </w:tc>
      </w:tr>
      <w:tr>
        <w:tc>
          <w:tcPr/>
          <w:p>
            <w:pPr>
              <w:pStyle w:val="Compact"/>
              <w:jc w:val="left"/>
            </w:pPr>
            <w:r>
              <w:t xml:space="preserve">King (Seattle) (Washington)</w:t>
            </w:r>
          </w:p>
        </w:tc>
        <w:tc>
          <w:tcPr/>
          <w:p>
            <w:pPr>
              <w:pStyle w:val="Compact"/>
              <w:jc w:val="left"/>
            </w:pPr>
            <w:r>
              <w:t xml:space="preserve">local</w:t>
            </w:r>
          </w:p>
        </w:tc>
        <w:tc>
          <w:tcPr/>
          <w:p>
            <w:pPr>
              <w:pStyle w:val="Compact"/>
              <w:jc w:val="left"/>
            </w:pPr>
            <w:r>
              <w:t xml:space="preserve">2021-01</w:t>
            </w:r>
          </w:p>
        </w:tc>
        <w:tc>
          <w:tcPr/>
          <w:p>
            <w:pPr>
              <w:pStyle w:val="Compact"/>
              <w:jc w:val="right"/>
            </w:pPr>
            <w:r>
              <w:t xml:space="preserve">15.75</w:t>
            </w:r>
          </w:p>
        </w:tc>
        <w:tc>
          <w:tcPr/>
          <w:p>
            <w:pPr>
              <w:pStyle w:val="Compact"/>
              <w:jc w:val="right"/>
            </w:pPr>
            <w:r>
              <w:t xml:space="preserve">16.69</w:t>
            </w:r>
          </w:p>
        </w:tc>
        <w:tc>
          <w:tcPr/>
          <w:p>
            <w:pPr>
              <w:pStyle w:val="Compact"/>
              <w:jc w:val="right"/>
            </w:pPr>
            <w:r>
              <w:t xml:space="preserve">17.27</w:t>
            </w:r>
          </w:p>
        </w:tc>
        <w:tc>
          <w:tcPr/>
          <w:p>
            <w:pPr>
              <w:pStyle w:val="Compact"/>
              <w:jc w:val="right"/>
            </w:pPr>
            <w:r>
              <w:t xml:space="preserve">10</w:t>
            </w:r>
          </w:p>
        </w:tc>
        <w:tc>
          <w:tcPr/>
          <w:p>
            <w:pPr>
              <w:pStyle w:val="Compact"/>
              <w:jc w:val="right"/>
            </w:pPr>
            <w:r>
              <w:t xml:space="preserve">1</w:t>
            </w:r>
          </w:p>
        </w:tc>
        <w:tc>
          <w:tcPr/>
          <w:p>
            <w:pPr>
              <w:pStyle w:val="Compact"/>
              <w:jc w:val="right"/>
            </w:pPr>
            <w:r>
              <w:t xml:space="preserve">30</w:t>
            </w:r>
          </w:p>
        </w:tc>
      </w:tr>
      <w:tr>
        <w:tc>
          <w:tcPr/>
          <w:p>
            <w:pPr>
              <w:pStyle w:val="Compact"/>
              <w:jc w:val="left"/>
            </w:pPr>
            <w:r>
              <w:t xml:space="preserve">Santa Fe (New Mexico)</w:t>
            </w:r>
          </w:p>
        </w:tc>
        <w:tc>
          <w:tcPr/>
          <w:p>
            <w:pPr>
              <w:pStyle w:val="Compact"/>
              <w:jc w:val="left"/>
            </w:pPr>
            <w:r>
              <w:t xml:space="preserve">local</w:t>
            </w:r>
          </w:p>
        </w:tc>
        <w:tc>
          <w:tcPr/>
          <w:p>
            <w:pPr>
              <w:pStyle w:val="Compact"/>
              <w:jc w:val="left"/>
            </w:pPr>
            <w:r>
              <w:t xml:space="preserve">2022-03</w:t>
            </w:r>
          </w:p>
        </w:tc>
        <w:tc>
          <w:tcPr/>
          <w:p>
            <w:pPr>
              <w:pStyle w:val="Compact"/>
              <w:jc w:val="right"/>
            </w:pPr>
            <w:r>
              <w:t xml:space="preserve">12.32</w:t>
            </w:r>
          </w:p>
        </w:tc>
        <w:tc>
          <w:tcPr/>
          <w:p>
            <w:pPr>
              <w:pStyle w:val="Compact"/>
              <w:jc w:val="right"/>
            </w:pPr>
            <w:r>
              <w:t xml:space="preserve">12.95</w:t>
            </w:r>
          </w:p>
        </w:tc>
        <w:tc>
          <w:tcPr/>
          <w:p>
            <w:pPr>
              <w:pStyle w:val="Compact"/>
              <w:jc w:val="right"/>
            </w:pPr>
            <w:r>
              <w:t xml:space="preserve">12.95</w:t>
            </w:r>
          </w:p>
        </w:tc>
        <w:tc>
          <w:tcPr/>
          <w:p>
            <w:pPr>
              <w:pStyle w:val="Compact"/>
              <w:jc w:val="right"/>
            </w:pPr>
            <w:r>
              <w:t xml:space="preserve">5</w:t>
            </w:r>
          </w:p>
        </w:tc>
        <w:tc>
          <w:tcPr/>
          <w:p>
            <w:pPr>
              <w:pStyle w:val="Compact"/>
              <w:jc w:val="right"/>
            </w:pPr>
            <w:r>
              <w:t xml:space="preserve">1</w:t>
            </w:r>
          </w:p>
        </w:tc>
        <w:tc>
          <w:tcPr/>
          <w:p>
            <w:pPr>
              <w:pStyle w:val="Compact"/>
              <w:jc w:val="right"/>
            </w:pPr>
            <w:r>
              <w:t xml:space="preserve">57</w:t>
            </w:r>
          </w:p>
        </w:tc>
      </w:tr>
      <w:tr>
        <w:tc>
          <w:tcPr/>
          <w:p>
            <w:pPr>
              <w:pStyle w:val="Compact"/>
              <w:jc w:val="left"/>
            </w:pPr>
            <w:r>
              <w:t xml:space="preserve">Dona Ana (Las Cruces) (New Mexico)</w:t>
            </w:r>
          </w:p>
        </w:tc>
        <w:tc>
          <w:tcPr/>
          <w:p>
            <w:pPr>
              <w:pStyle w:val="Compact"/>
              <w:jc w:val="left"/>
            </w:pPr>
            <w:r>
              <w:t xml:space="preserve">local</w:t>
            </w:r>
          </w:p>
        </w:tc>
        <w:tc>
          <w:tcPr/>
          <w:p>
            <w:pPr>
              <w:pStyle w:val="Compact"/>
              <w:jc w:val="left"/>
            </w:pPr>
            <w:r>
              <w:t xml:space="preserve">2023-01</w:t>
            </w:r>
          </w:p>
        </w:tc>
        <w:tc>
          <w:tcPr/>
          <w:p>
            <w:pPr>
              <w:pStyle w:val="Compact"/>
              <w:jc w:val="right"/>
            </w:pPr>
            <w:r>
              <w:t xml:space="preserve">10.50</w:t>
            </w:r>
          </w:p>
        </w:tc>
        <w:tc>
          <w:tcPr/>
          <w:p>
            <w:pPr>
              <w:pStyle w:val="Compact"/>
              <w:jc w:val="right"/>
            </w:pPr>
            <w:r>
              <w:t xml:space="preserve">11.50</w:t>
            </w:r>
          </w:p>
        </w:tc>
        <w:tc>
          <w:tcPr/>
          <w:p>
            <w:pPr>
              <w:pStyle w:val="Compact"/>
              <w:jc w:val="right"/>
            </w:pPr>
            <w:r>
              <w:t xml:space="preserve">11.50</w:t>
            </w:r>
          </w:p>
        </w:tc>
        <w:tc>
          <w:tcPr/>
          <w:p>
            <w:pPr>
              <w:pStyle w:val="Compact"/>
              <w:jc w:val="right"/>
            </w:pPr>
            <w:r>
              <w:t xml:space="preserve">10</w:t>
            </w:r>
          </w:p>
        </w:tc>
        <w:tc>
          <w:tcPr/>
          <w:p>
            <w:pPr>
              <w:pStyle w:val="Compact"/>
              <w:jc w:val="right"/>
            </w:pPr>
            <w:r>
              <w:t xml:space="preserve">1</w:t>
            </w:r>
          </w:p>
        </w:tc>
        <w:tc>
          <w:tcPr/>
          <w:p>
            <w:pPr>
              <w:pStyle w:val="Compact"/>
              <w:jc w:val="right"/>
            </w:pPr>
            <w:r>
              <w:t xml:space="preserve">57</w:t>
            </w:r>
          </w:p>
        </w:tc>
      </w:tr>
    </w:tbl>
    <w:p>
      <w:pPr>
        <w:pStyle w:val="BodyText"/>
      </w:pPr>
      <w:r>
        <w:t xml:space="preserve">Notes: Units: state remainders (the state outside its counties with a local minimum) and counties with their own minimum. Source: whether the rise came from the state rate, the local rate, or both in the same month. Before: effective minimum in the month before the event. First step: minimum in the event month. End of window: minimum 47 months after the event. Rise: end of window relative to before. Steps: number of increases of 5 percent or more in the window. Controls: units in other states with no increase of 5 percent or more from 36 months before to 47 months after the event. County rates are the county-wide rate where one exists and otherwise the largest city’s, applied to the whole county. Alaska 2024 and Michigan 2025 rest on the post-2022 additions to the change list. Source: Vaghul and Zipperer (2016), extended by the author.</w:t>
      </w:r>
    </w:p>
    <w:bookmarkEnd w:id="82"/>
    <w:bookmarkStart w:id="83" w:name="c-two-way-fixed-effects-estimates"/>
    <w:p>
      <w:pPr>
        <w:pStyle w:val="Heading1"/>
      </w:pPr>
      <w:r>
        <w:t xml:space="preserve">C Two-way fixed effects estimates</w:t>
      </w:r>
    </w:p>
    <w:p>
      <w:pPr>
        <w:pStyle w:val="FirstParagraph"/>
      </w:pPr>
      <w:r>
        <w:t xml:space="preserve">This appendix reports the two-way fixed effects regression of the earlier literature, the specification of Neumark and Shupe (2019) and, with lags added, of Smith (2021):</w:t>
      </w:r>
    </w:p>
    <w:p>
      <w:pPr>
        <w:pStyle w:val="BodyText"/>
      </w:pPr>
      <m:oMathPara>
        <m:oMathParaPr>
          <m:jc m:val="center"/>
        </m:oMathParaPr>
        <m:oMath>
          <m:sSub>
            <m:e>
              <m:r>
                <m:t>y</m:t>
              </m:r>
            </m:e>
            <m:sub>
              <m:r>
                <m:t>i</m:t>
              </m:r>
              <m:r>
                <m:t>t</m:t>
              </m:r>
            </m:sub>
          </m:sSub>
          <m:r>
            <m:rPr>
              <m:sty m:val="p"/>
            </m:rPr>
            <m:t>=</m:t>
          </m:r>
          <m:r>
            <m:t>β</m:t>
          </m:r>
          <m:r>
            <m:rPr>
              <m:sty m:val="p"/>
            </m:rPr>
            <m:t>ln</m:t>
          </m:r>
          <m:r>
            <m:t>M</m:t>
          </m:r>
          <m:sSub>
            <m:e>
              <m:r>
                <m:t>W</m:t>
              </m:r>
            </m:e>
            <m:sub>
              <m:r>
                <m:t>u</m:t>
              </m:r>
              <m:d>
                <m:dPr>
                  <m:begChr m:val="("/>
                  <m:endChr m:val=")"/>
                  <m:sepChr m:val=""/>
                  <m:grow/>
                </m:dPr>
                <m:e>
                  <m:r>
                    <m:t>i</m:t>
                  </m:r>
                </m:e>
              </m:d>
              <m:r>
                <m:rPr>
                  <m:sty m:val="p"/>
                </m:rPr>
                <m:t>,</m:t>
              </m:r>
              <m:r>
                <m:t>t</m:t>
              </m:r>
            </m:sub>
          </m:sSub>
          <m:r>
            <m:rPr>
              <m:sty m:val="p"/>
            </m:rPr>
            <m:t>+</m:t>
          </m:r>
          <m:sSub>
            <m:e>
              <m:r>
                <m:t>X</m:t>
              </m:r>
            </m:e>
            <m:sub>
              <m:r>
                <m:t>i</m:t>
              </m:r>
            </m:sub>
          </m:sSub>
          <m:r>
            <m:rPr>
              <m:sty m:val="p"/>
            </m:rPr>
            <m:t>′</m:t>
          </m:r>
          <m:r>
            <m:t>γ</m:t>
          </m:r>
          <m:r>
            <m:rPr>
              <m:sty m:val="p"/>
            </m:rPr>
            <m:t>+</m:t>
          </m:r>
          <m:sSub>
            <m:e>
              <m:r>
                <m:t>α</m:t>
              </m:r>
            </m:e>
            <m:sub>
              <m:r>
                <m:t>u</m:t>
              </m:r>
              <m:d>
                <m:dPr>
                  <m:begChr m:val="("/>
                  <m:endChr m:val=")"/>
                  <m:sepChr m:val=""/>
                  <m:grow/>
                </m:dPr>
                <m:e>
                  <m:r>
                    <m:t>i</m:t>
                  </m:r>
                </m:e>
              </m:d>
            </m:sub>
          </m:sSub>
          <m:r>
            <m:rPr>
              <m:sty m:val="p"/>
            </m:rPr>
            <m:t>+</m:t>
          </m:r>
          <m:sSub>
            <m:e>
              <m:r>
                <m:t>λ</m:t>
              </m:r>
            </m:e>
            <m:sub>
              <m:r>
                <m:t>t</m:t>
              </m:r>
            </m:sub>
          </m:sSub>
          <m:r>
            <m:rPr>
              <m:sty m:val="p"/>
            </m:rPr>
            <m:t>+</m:t>
          </m:r>
          <m:sSub>
            <m:e>
              <m:r>
                <m:t>ε</m:t>
              </m:r>
            </m:e>
            <m:sub>
              <m:r>
                <m:t>i</m:t>
              </m:r>
              <m:r>
                <m:t>t</m:t>
              </m:r>
            </m:sub>
          </m:sSub>
          <m:r>
            <m:rPr>
              <m:sty m:val="p"/>
            </m:rPr>
            <m:t>,</m:t>
          </m:r>
        </m:oMath>
      </m:oMathPara>
    </w:p>
    <w:p>
      <w:pPr>
        <w:pStyle w:val="FirstParagraph"/>
      </w:pPr>
      <w:r>
        <w:t xml:space="preserve">estimated on every teen observed from January 2010 with unit and year-month fixed effects, controls for single year of age, sex, race and Hispanic origin, survey weights, and standard errors clustered by state.</w:t>
      </w:r>
      <w:r>
        <w:t xml:space="preserve"> </w:t>
      </w:r>
      <m:oMath>
        <m:r>
          <m:t>β</m:t>
        </m:r>
      </m:oMath>
      <w:r>
        <w:t xml:space="preserve"> </w:t>
      </w:r>
      <w:r>
        <w:t xml:space="preserve">is the effect of a 100 log-point rise in the effective minimum of the teen’s unit; multiplied by 0.32, the log of the average event’s 38 percent cumulative rise, it is on the scale of the post-event averages in the text. The regression uses all within-unit variation in the log minimum over sixteen years, the small annual steps and indexation as well as the large increases, and compares units at every point of their schedules with one another and with the federal-floor states, so it carries the weighting problems of Goodman-Bacon (2021) and loads any long-run divergence between raising and non-raising units onto the minimum wage.</w:t>
      </w:r>
    </w:p>
    <w:p>
      <w:pPr>
        <w:pStyle w:val="BodyText"/>
      </w:pPr>
      <w:r>
        <w:t xml:space="preserve">Tables 24 to 27 report the coefficients for the outcomes of Section 5, estimated on school months, September to May. The restriction matters for the enrollment outcomes and not for the wage. The CPS enrollment item asks whether the respondent attended school last week, and in June to August it records summer school: 63 percent of 16–17 year olds report enrollment in summer against 93 percent in school months, and the neither share is 25 percent in summer against 4 percent. On all months the coefficient for neither enrolled nor employed is 0.022 (s.e. 0.007) at 16–17 and the coefficient for enrollment</w:t>
      </w:r>
      <w:r>
        <w:t xml:space="preserve"> </w:t>
      </w:r>
      <m:oMath>
        <m:r>
          <m:rPr>
            <m:sty m:val="p"/>
          </m:rPr>
          <m:t>−</m:t>
        </m:r>
        <m:r>
          <m:t>0.021</m:t>
        </m:r>
      </m:oMath>
      <w:r>
        <w:t xml:space="preserve"> </w:t>
      </w:r>
      <w:r>
        <w:t xml:space="preserve">(0.010), the signs and magnitudes of the two-way fixed effects literature (Neumark and Wascher, 1995a; Neumark and Shupe, 2019); in June to August alone they are 0.067 (0.017) and</w:t>
      </w:r>
      <w:r>
        <w:t xml:space="preserve"> </w:t>
      </w:r>
      <m:oMath>
        <m:r>
          <m:rPr>
            <m:sty m:val="p"/>
          </m:rPr>
          <m:t>−</m:t>
        </m:r>
        <m:r>
          <m:t>0.067</m:t>
        </m:r>
      </m:oMath>
      <w:r>
        <w:t xml:space="preserve"> </w:t>
      </w:r>
      <w:r>
        <w:t xml:space="preserve">(0.029), and in school months 0.006 (0.008) and</w:t>
      </w:r>
      <w:r>
        <w:t xml:space="preserve"> </w:t>
      </w:r>
      <m:oMath>
        <m:r>
          <m:rPr>
            <m:sty m:val="p"/>
          </m:rPr>
          <m:t>−</m:t>
        </m:r>
        <m:r>
          <m:t>0.006</m:t>
        </m:r>
      </m:oMath>
      <w:r>
        <w:t xml:space="preserve"> </w:t>
      </w:r>
      <w:r>
        <w:t xml:space="preserve">(0.010), a fifth of their all-months size and within one standard error of zero. The all-months regression measures summer school attendance, which is lower where the minimum is higher, not the schooling decision this paper and Smith (2021) are about, and the tables therefore report school months.</w:t>
      </w:r>
    </w:p>
    <w:p>
      <w:pPr>
        <w:pStyle w:val="BodyText"/>
      </w:pPr>
      <w:r>
        <w:t xml:space="preserve">In school months the school–work coefficients are small and, with one exception, insignificant: enrolled-and-employed changes by</w:t>
      </w:r>
      <w:r>
        <w:t xml:space="preserve"> </w:t>
      </w:r>
      <m:oMath>
        <m:r>
          <m:rPr>
            <m:sty m:val="p"/>
          </m:rPr>
          <m:t>−</m:t>
        </m:r>
        <m:r>
          <m:t>0.022</m:t>
        </m:r>
      </m:oMath>
      <w:r>
        <w:t xml:space="preserve"> </w:t>
      </w:r>
      <w:r>
        <w:t xml:space="preserve">(0.016) at 16–17 for a 100 log-point rise,</w:t>
      </w:r>
      <w:r>
        <w:t xml:space="preserve"> </w:t>
      </w:r>
      <m:oMath>
        <m:r>
          <m:rPr>
            <m:sty m:val="p"/>
          </m:rPr>
          <m:t>−</m:t>
        </m:r>
        <m:r>
          <m:t>0.7</m:t>
        </m:r>
      </m:oMath>
      <w:r>
        <w:t xml:space="preserve"> </w:t>
      </w:r>
      <w:r>
        <w:t xml:space="preserve">points for the average event, and neither by 0.006 (0.008). The exception is neither at 18–19, 0.017 (0.006), and pooled, 0.012 (0.003). Table 32 shows that it rests on the comparison of the raising units with the federal-floor states: among units whose minimum changed at all between 2010 and 2026, so that identification comes from the timing of increases rather than from sixteen years of divergence between two blocks of states, the school-months coefficient is</w:t>
      </w:r>
      <w:r>
        <w:t xml:space="preserve"> </w:t>
      </w:r>
      <m:oMath>
        <m:r>
          <m:rPr>
            <m:sty m:val="p"/>
          </m:rPr>
          <m:t>−</m:t>
        </m:r>
        <m:r>
          <m:t>0.005</m:t>
        </m:r>
      </m:oMath>
      <w:r>
        <w:t xml:space="preserve"> </w:t>
      </w:r>
      <w:r>
        <w:t xml:space="preserve">(0.017) at 18–19 and 0.008 (0.010) pooled. By family income (Table 25) the neither coefficient at 16–17 is 0.005 (0.011) for low-income and 0.006 (0.008) for high-income teens, and at 18–19 the low-income coefficient is 0.023 (0.012), the same federal-floor residual. The wage elasticities (Tables 26 and 27) are 0.22 (0.03) at 16–17, 0.17 (0.02) at 18–19 and 0.19 (0.02) pooled, the same on school months as on all months, and for the average event imply gains of 7.1, 5.3 and 6.1 percent, somewhat above the event-based estimates because the regression uses the full level of the schedules, including steps beyond the four-year window. By income they are 0.24 (0.04) against 0.22 (0.03) at 16–17 and 0.21 (0.02) against 0.19 (0.02) pooled. Where the treatment has a real effect, the designs agree in sign and roughly in size; where the fixed effects regression on all months finds an effect on time allocation that the event design does not, the disagreement is about the months and the comparison states.</w:t>
      </w:r>
    </w:p>
    <w:p>
      <w:pPr>
        <w:pStyle w:val="TableCaption"/>
      </w:pPr>
      <w:r>
        <w:t xml:space="preserve">Table 24: Two-way fixed effects estimates for teen school–work status, school months, 2010–2026</w:t>
      </w:r>
    </w:p>
    <w:tbl>
      <w:tblPr>
        <w:tblStyle w:val="Table"/>
        <w:tblW w:type="dxa" w:w="9360"/>
        <w:tblLook w:firstRow="1" w:lastRow="0" w:firstColumn="0" w:lastColumn="0" w:noHBand="0" w:noVBand="0" w:val="0020"/>
        <w:jc w:val="start"/>
        <w:tblCaption w:val="Table 24: Two-way fixed effects estimates for teen school–work status, school months, 2010–2026"/>
      </w:tblPr>
      <w:tblGrid>
        <w:gridCol w:w="2808"/>
        <w:gridCol w:w="2184"/>
        <w:gridCol w:w="2184"/>
        <w:gridCol w:w="2184"/>
      </w:tblGrid>
      <w:tr>
        <w:trPr>
          <w:tblHeader w:val="true"/>
        </w:trPr>
        <w:tc>
          <w:tcPr/>
          <w:p>
            <w:pPr>
              <w:pStyle w:val="Compact"/>
            </w:pPr>
          </w:p>
        </w:tc>
        <w:tc>
          <w:tcPr/>
          <w:p>
            <w:pPr>
              <w:pStyle w:val="Compact"/>
              <w:jc w:val="left"/>
            </w:pPr>
            <w:r>
              <w:t xml:space="preserve">Ages 16–17</w:t>
            </w:r>
          </w:p>
        </w:tc>
        <w:tc>
          <w:tcPr/>
          <w:p>
            <w:pPr>
              <w:pStyle w:val="Compact"/>
              <w:jc w:val="left"/>
            </w:pPr>
            <w:r>
              <w:t xml:space="preserve">Ages 18–19</w:t>
            </w:r>
          </w:p>
        </w:tc>
        <w:tc>
          <w:tcPr/>
          <w:p>
            <w:pPr>
              <w:pStyle w:val="Compact"/>
              <w:jc w:val="left"/>
            </w:pPr>
            <w:r>
              <w:t xml:space="preserve">Ages 16–19</w:t>
            </w:r>
          </w:p>
        </w:tc>
      </w:tr>
      <w:tr>
        <w:tc>
          <w:tcPr/>
          <w:p>
            <w:pPr>
              <w:pStyle w:val="Compact"/>
              <w:jc w:val="left"/>
            </w:pPr>
            <w:r>
              <w:t xml:space="preserve">Enrolled and employed</w:t>
            </w:r>
          </w:p>
        </w:tc>
        <w:tc>
          <w:tcPr/>
          <w:p>
            <w:pPr>
              <w:pStyle w:val="Compact"/>
              <w:jc w:val="left"/>
            </w:pPr>
            <w:r>
              <w:t xml:space="preserve">-0.022</w:t>
            </w:r>
          </w:p>
        </w:tc>
        <w:tc>
          <w:tcPr/>
          <w:p>
            <w:pPr>
              <w:pStyle w:val="Compact"/>
              <w:jc w:val="left"/>
            </w:pPr>
            <w:r>
              <w:t xml:space="preserve">-0.002</w:t>
            </w:r>
          </w:p>
        </w:tc>
        <w:tc>
          <w:tcPr/>
          <w:p>
            <w:pPr>
              <w:pStyle w:val="Compact"/>
              <w:jc w:val="left"/>
            </w:pPr>
            <w:r>
              <w:t xml:space="preserve">-0.013</w:t>
            </w:r>
          </w:p>
        </w:tc>
      </w:tr>
      <w:tr>
        <w:tc>
          <w:tcPr/>
          <w:p>
            <w:pPr>
              <w:pStyle w:val="Compact"/>
            </w:pPr>
          </w:p>
        </w:tc>
        <w:tc>
          <w:tcPr/>
          <w:p>
            <w:pPr>
              <w:pStyle w:val="Compact"/>
              <w:jc w:val="left"/>
            </w:pPr>
            <w:r>
              <w:t xml:space="preserve">(0.016)</w:t>
            </w:r>
          </w:p>
        </w:tc>
        <w:tc>
          <w:tcPr/>
          <w:p>
            <w:pPr>
              <w:pStyle w:val="Compact"/>
              <w:jc w:val="left"/>
            </w:pPr>
            <w:r>
              <w:t xml:space="preserve">(0.012)</w:t>
            </w:r>
          </w:p>
        </w:tc>
        <w:tc>
          <w:tcPr/>
          <w:p>
            <w:pPr>
              <w:pStyle w:val="Compact"/>
              <w:jc w:val="left"/>
            </w:pPr>
            <w:r>
              <w:t xml:space="preserve">(0.008)</w:t>
            </w:r>
          </w:p>
        </w:tc>
      </w:tr>
      <w:tr>
        <w:tc>
          <w:tcPr/>
          <w:p>
            <w:pPr>
              <w:pStyle w:val="Compact"/>
              <w:jc w:val="left"/>
            </w:pPr>
            <w:r>
              <w:t xml:space="preserve">Enrolled only</w:t>
            </w:r>
          </w:p>
        </w:tc>
        <w:tc>
          <w:tcPr/>
          <w:p>
            <w:pPr>
              <w:pStyle w:val="Compact"/>
              <w:jc w:val="left"/>
            </w:pPr>
            <w:r>
              <w:t xml:space="preserve">0.016</w:t>
            </w:r>
          </w:p>
        </w:tc>
        <w:tc>
          <w:tcPr/>
          <w:p>
            <w:pPr>
              <w:pStyle w:val="Compact"/>
              <w:jc w:val="left"/>
            </w:pPr>
            <w:r>
              <w:t xml:space="preserve">-0.014</w:t>
            </w:r>
          </w:p>
        </w:tc>
        <w:tc>
          <w:tcPr/>
          <w:p>
            <w:pPr>
              <w:pStyle w:val="Compact"/>
              <w:jc w:val="left"/>
            </w:pPr>
            <w:r>
              <w:t xml:space="preserve">0.001</w:t>
            </w:r>
          </w:p>
        </w:tc>
      </w:tr>
      <w:tr>
        <w:tc>
          <w:tcPr/>
          <w:p>
            <w:pPr>
              <w:pStyle w:val="Compact"/>
            </w:pPr>
          </w:p>
        </w:tc>
        <w:tc>
          <w:tcPr/>
          <w:p>
            <w:pPr>
              <w:pStyle w:val="Compact"/>
              <w:jc w:val="left"/>
            </w:pPr>
            <w:r>
              <w:t xml:space="preserve">(0.018)</w:t>
            </w:r>
          </w:p>
        </w:tc>
        <w:tc>
          <w:tcPr/>
          <w:p>
            <w:pPr>
              <w:pStyle w:val="Compact"/>
              <w:jc w:val="left"/>
            </w:pPr>
            <w:r>
              <w:t xml:space="preserve">(0.015)</w:t>
            </w:r>
          </w:p>
        </w:tc>
        <w:tc>
          <w:tcPr/>
          <w:p>
            <w:pPr>
              <w:pStyle w:val="Compact"/>
              <w:jc w:val="left"/>
            </w:pPr>
            <w:r>
              <w:t xml:space="preserve">(0.015)</w:t>
            </w:r>
          </w:p>
        </w:tc>
      </w:tr>
      <w:tr>
        <w:tc>
          <w:tcPr/>
          <w:p>
            <w:pPr>
              <w:pStyle w:val="Compact"/>
              <w:jc w:val="left"/>
            </w:pPr>
            <w:r>
              <w:t xml:space="preserve">Employed only</w:t>
            </w:r>
          </w:p>
        </w:tc>
        <w:tc>
          <w:tcPr/>
          <w:p>
            <w:pPr>
              <w:pStyle w:val="Compact"/>
              <w:jc w:val="left"/>
            </w:pPr>
            <w:r>
              <w:t xml:space="preserve">-0.000</w:t>
            </w:r>
          </w:p>
        </w:tc>
        <w:tc>
          <w:tcPr/>
          <w:p>
            <w:pPr>
              <w:pStyle w:val="Compact"/>
              <w:jc w:val="left"/>
            </w:pPr>
            <w:r>
              <w:t xml:space="preserve">-0.001</w:t>
            </w:r>
          </w:p>
        </w:tc>
        <w:tc>
          <w:tcPr/>
          <w:p>
            <w:pPr>
              <w:pStyle w:val="Compact"/>
              <w:jc w:val="left"/>
            </w:pPr>
            <w:r>
              <w:t xml:space="preserve">0.001</w:t>
            </w:r>
          </w:p>
        </w:tc>
      </w:tr>
      <w:tr>
        <w:tc>
          <w:tcPr/>
          <w:p>
            <w:pPr>
              <w:pStyle w:val="Compact"/>
            </w:pPr>
          </w:p>
        </w:tc>
        <w:tc>
          <w:tcPr/>
          <w:p>
            <w:pPr>
              <w:pStyle w:val="Compact"/>
              <w:jc w:val="left"/>
            </w:pPr>
            <w:r>
              <w:t xml:space="preserve">(0.006)</w:t>
            </w:r>
          </w:p>
        </w:tc>
        <w:tc>
          <w:tcPr/>
          <w:p>
            <w:pPr>
              <w:pStyle w:val="Compact"/>
              <w:jc w:val="left"/>
            </w:pPr>
            <w:r>
              <w:t xml:space="preserve">(0.017)</w:t>
            </w:r>
          </w:p>
        </w:tc>
        <w:tc>
          <w:tcPr/>
          <w:p>
            <w:pPr>
              <w:pStyle w:val="Compact"/>
              <w:jc w:val="left"/>
            </w:pPr>
            <w:r>
              <w:t xml:space="preserve">(0.010)</w:t>
            </w:r>
          </w:p>
        </w:tc>
      </w:tr>
      <w:tr>
        <w:tc>
          <w:tcPr/>
          <w:p>
            <w:pPr>
              <w:pStyle w:val="Compact"/>
              <w:jc w:val="left"/>
            </w:pPr>
            <w:r>
              <w:t xml:space="preserve">Neither enrolled nor employed</w:t>
            </w:r>
          </w:p>
        </w:tc>
        <w:tc>
          <w:tcPr/>
          <w:p>
            <w:pPr>
              <w:pStyle w:val="Compact"/>
              <w:jc w:val="left"/>
            </w:pPr>
            <w:r>
              <w:t xml:space="preserve">0.006</w:t>
            </w:r>
          </w:p>
        </w:tc>
        <w:tc>
          <w:tcPr/>
          <w:p>
            <w:pPr>
              <w:pStyle w:val="Compact"/>
              <w:jc w:val="left"/>
            </w:pPr>
            <w:r>
              <w:t xml:space="preserve">0.017</w:t>
            </w:r>
            <w:r>
              <w:rPr>
                <w:vertAlign w:val="superscript"/>
              </w:rPr>
              <w:t xml:space="preserve">***</w:t>
            </w:r>
          </w:p>
        </w:tc>
        <w:tc>
          <w:tcPr/>
          <w:p>
            <w:pPr>
              <w:pStyle w:val="Compact"/>
              <w:jc w:val="left"/>
            </w:pPr>
            <w:r>
              <w:t xml:space="preserve">0.012</w:t>
            </w:r>
            <w:r>
              <w:rPr>
                <w:vertAlign w:val="superscript"/>
              </w:rPr>
              <w:t xml:space="preserve">***</w:t>
            </w:r>
          </w:p>
        </w:tc>
      </w:tr>
      <w:tr>
        <w:tc>
          <w:tcPr/>
          <w:p>
            <w:pPr>
              <w:pStyle w:val="Compact"/>
            </w:pPr>
          </w:p>
        </w:tc>
        <w:tc>
          <w:tcPr/>
          <w:p>
            <w:pPr>
              <w:pStyle w:val="Compact"/>
              <w:jc w:val="left"/>
            </w:pPr>
            <w:r>
              <w:t xml:space="preserve">(0.008)</w:t>
            </w:r>
          </w:p>
        </w:tc>
        <w:tc>
          <w:tcPr/>
          <w:p>
            <w:pPr>
              <w:pStyle w:val="Compact"/>
              <w:jc w:val="left"/>
            </w:pPr>
            <w:r>
              <w:t xml:space="preserve">(0.006)</w:t>
            </w:r>
          </w:p>
        </w:tc>
        <w:tc>
          <w:tcPr/>
          <w:p>
            <w:pPr>
              <w:pStyle w:val="Compact"/>
              <w:jc w:val="left"/>
            </w:pPr>
            <w:r>
              <w:t xml:space="preserve">(0.003)</w:t>
            </w:r>
          </w:p>
        </w:tc>
      </w:tr>
      <w:tr>
        <w:tc>
          <w:tcPr/>
          <w:p>
            <w:pPr>
              <w:pStyle w:val="Compact"/>
              <w:jc w:val="left"/>
            </w:pPr>
            <w:r>
              <w:t xml:space="preserve">Enrolled</w:t>
            </w:r>
          </w:p>
        </w:tc>
        <w:tc>
          <w:tcPr/>
          <w:p>
            <w:pPr>
              <w:pStyle w:val="Compact"/>
              <w:jc w:val="left"/>
            </w:pPr>
            <w:r>
              <w:t xml:space="preserve">-0.006</w:t>
            </w:r>
          </w:p>
        </w:tc>
        <w:tc>
          <w:tcPr/>
          <w:p>
            <w:pPr>
              <w:pStyle w:val="Compact"/>
              <w:jc w:val="left"/>
            </w:pPr>
            <w:r>
              <w:t xml:space="preserve">-0.016</w:t>
            </w:r>
          </w:p>
        </w:tc>
        <w:tc>
          <w:tcPr/>
          <w:p>
            <w:pPr>
              <w:pStyle w:val="Compact"/>
              <w:jc w:val="left"/>
            </w:pPr>
            <w:r>
              <w:t xml:space="preserve">-0.012</w:t>
            </w:r>
          </w:p>
        </w:tc>
      </w:tr>
      <w:tr>
        <w:tc>
          <w:tcPr/>
          <w:p>
            <w:pPr>
              <w:pStyle w:val="Compact"/>
            </w:pPr>
          </w:p>
        </w:tc>
        <w:tc>
          <w:tcPr/>
          <w:p>
            <w:pPr>
              <w:pStyle w:val="Compact"/>
              <w:jc w:val="left"/>
            </w:pPr>
            <w:r>
              <w:t xml:space="preserve">(0.010)</w:t>
            </w:r>
          </w:p>
        </w:tc>
        <w:tc>
          <w:tcPr/>
          <w:p>
            <w:pPr>
              <w:pStyle w:val="Compact"/>
              <w:jc w:val="left"/>
            </w:pPr>
            <w:r>
              <w:t xml:space="preserve">(0.017)</w:t>
            </w:r>
          </w:p>
        </w:tc>
        <w:tc>
          <w:tcPr/>
          <w:p>
            <w:pPr>
              <w:pStyle w:val="Compact"/>
              <w:jc w:val="left"/>
            </w:pPr>
            <w:r>
              <w:t xml:space="preserve">(0.010)</w:t>
            </w:r>
          </w:p>
        </w:tc>
      </w:tr>
      <w:tr>
        <w:tc>
          <w:tcPr/>
          <w:p>
            <w:pPr>
              <w:pStyle w:val="Compact"/>
              <w:jc w:val="left"/>
            </w:pPr>
            <w:r>
              <w:t xml:space="preserve">Employed</w:t>
            </w:r>
          </w:p>
        </w:tc>
        <w:tc>
          <w:tcPr/>
          <w:p>
            <w:pPr>
              <w:pStyle w:val="Compact"/>
              <w:jc w:val="left"/>
            </w:pPr>
            <w:r>
              <w:t xml:space="preserve">-0.023</w:t>
            </w:r>
          </w:p>
        </w:tc>
        <w:tc>
          <w:tcPr/>
          <w:p>
            <w:pPr>
              <w:pStyle w:val="Compact"/>
              <w:jc w:val="left"/>
            </w:pPr>
            <w:r>
              <w:t xml:space="preserve">-0.003</w:t>
            </w:r>
          </w:p>
        </w:tc>
        <w:tc>
          <w:tcPr/>
          <w:p>
            <w:pPr>
              <w:pStyle w:val="Compact"/>
              <w:jc w:val="left"/>
            </w:pPr>
            <w:r>
              <w:t xml:space="preserve">-0.013</w:t>
            </w:r>
          </w:p>
        </w:tc>
      </w:tr>
      <w:tr>
        <w:tc>
          <w:tcPr/>
          <w:p>
            <w:pPr>
              <w:pStyle w:val="Compact"/>
            </w:pPr>
          </w:p>
        </w:tc>
        <w:tc>
          <w:tcPr/>
          <w:p>
            <w:pPr>
              <w:pStyle w:val="Compact"/>
              <w:jc w:val="left"/>
            </w:pPr>
            <w:r>
              <w:t xml:space="preserve">(0.019)</w:t>
            </w:r>
          </w:p>
        </w:tc>
        <w:tc>
          <w:tcPr/>
          <w:p>
            <w:pPr>
              <w:pStyle w:val="Compact"/>
              <w:jc w:val="left"/>
            </w:pPr>
            <w:r>
              <w:t xml:space="preserve">(0.017)</w:t>
            </w:r>
          </w:p>
        </w:tc>
        <w:tc>
          <w:tcPr/>
          <w:p>
            <w:pPr>
              <w:pStyle w:val="Compact"/>
              <w:jc w:val="left"/>
            </w:pPr>
            <w:r>
              <w:t xml:space="preserve">(0.015)</w:t>
            </w:r>
          </w:p>
        </w:tc>
      </w:tr>
    </w:tbl>
    <w:p>
      <w:pPr>
        <w:pStyle w:val="BodyText"/>
      </w:pPr>
      <w:r>
        <w:t xml:space="preserve">Notes: Coefficient on the log effective minimum of the teen’s unit in regression (7), teens observed in September–May from January 2010, unit and year-month fixed effects, controls for age, sex, race and Hispanic origin, survey weights (earnings weights for the wage and earnings outcomes); multiply by 0.32 for the average event. Standard errors clustered by state in parentheses.</w:t>
      </w:r>
      <w:r>
        <w:t xml:space="preserve"> </w:t>
      </w:r>
      <w:r>
        <w:rPr>
          <w:vertAlign w:val="superscript"/>
        </w:rPr>
        <w:t xml:space="preserve">*</w:t>
      </w:r>
      <w:r>
        <w:t xml:space="preserve">,</w:t>
      </w:r>
      <w:r>
        <w:t xml:space="preserve"> </w:t>
      </w:r>
      <w:r>
        <w:rPr>
          <w:vertAlign w:val="superscript"/>
        </w:rPr>
        <w:t xml:space="preserve">**</w:t>
      </w:r>
      <w:r>
        <w:t xml:space="preserve">,</w:t>
      </w:r>
      <w:r>
        <w:t xml:space="preserve"> </w:t>
      </w:r>
      <w:r>
        <w:rPr>
          <w:vertAlign w:val="superscript"/>
        </w:rPr>
        <w:t xml:space="preserve">***</w:t>
      </w:r>
      <w:r>
        <w:t xml:space="preserve">: significant at 10, 5 and 1 percent.</w:t>
      </w:r>
    </w:p>
    <w:p>
      <w:pPr>
        <w:pStyle w:val="TableCaption"/>
      </w:pPr>
      <w:r>
        <w:t xml:space="preserve">Table 25: Two-way fixed effects estimates for school–work status by family income, school months</w:t>
      </w:r>
    </w:p>
    <w:tbl>
      <w:tblPr>
        <w:tblStyle w:val="Table"/>
        <w:tblW w:type="dxa" w:w="9360"/>
        <w:tblLook w:firstRow="0" w:lastRow="0" w:firstColumn="0" w:lastColumn="0" w:noHBand="0" w:noVBand="0" w:val="0000"/>
        <w:jc w:val="start"/>
        <w:tblCaption w:val="Table 25: Two-way fixed effects estimates for school–work status by family income, school month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Enrolled and employed</w:t>
            </w:r>
          </w:p>
        </w:tc>
        <w:tc>
          <w:tcPr/>
          <w:p>
            <w:pPr>
              <w:pStyle w:val="Compact"/>
              <w:jc w:val="left"/>
            </w:pPr>
            <w:r>
              <w:t xml:space="preserve">-0.024</w:t>
            </w:r>
            <w:r>
              <w:rPr>
                <w:vertAlign w:val="superscript"/>
              </w:rPr>
              <w:t xml:space="preserve">*</w:t>
            </w:r>
          </w:p>
        </w:tc>
        <w:tc>
          <w:tcPr/>
          <w:p>
            <w:pPr>
              <w:pStyle w:val="Compact"/>
              <w:jc w:val="left"/>
            </w:pPr>
            <w:r>
              <w:t xml:space="preserve">-0.016</w:t>
            </w:r>
          </w:p>
        </w:tc>
        <w:tc>
          <w:tcPr/>
          <w:p>
            <w:pPr>
              <w:pStyle w:val="Compact"/>
              <w:jc w:val="left"/>
            </w:pPr>
            <w:r>
              <w:t xml:space="preserve">0.004</w:t>
            </w:r>
          </w:p>
        </w:tc>
        <w:tc>
          <w:tcPr/>
          <w:p>
            <w:pPr>
              <w:pStyle w:val="Compact"/>
              <w:jc w:val="left"/>
            </w:pPr>
            <w:r>
              <w:t xml:space="preserve">0.001</w:t>
            </w:r>
          </w:p>
        </w:tc>
        <w:tc>
          <w:tcPr/>
          <w:p>
            <w:pPr>
              <w:pStyle w:val="Compact"/>
              <w:jc w:val="left"/>
            </w:pPr>
            <w:r>
              <w:t xml:space="preserve">-0.010</w:t>
            </w:r>
          </w:p>
        </w:tc>
        <w:tc>
          <w:tcPr/>
          <w:p>
            <w:pPr>
              <w:pStyle w:val="Compact"/>
              <w:jc w:val="left"/>
            </w:pPr>
            <w:r>
              <w:t xml:space="preserve">-0.009</w:t>
            </w:r>
          </w:p>
        </w:tc>
      </w:tr>
      <w:tr>
        <w:tc>
          <w:tcPr/>
          <w:p>
            <w:pPr>
              <w:pStyle w:val="Compact"/>
            </w:pPr>
          </w:p>
        </w:tc>
        <w:tc>
          <w:tcPr/>
          <w:p>
            <w:pPr>
              <w:pStyle w:val="Compact"/>
              <w:jc w:val="left"/>
            </w:pPr>
            <w:r>
              <w:t xml:space="preserve">(0.013)</w:t>
            </w:r>
          </w:p>
        </w:tc>
        <w:tc>
          <w:tcPr/>
          <w:p>
            <w:pPr>
              <w:pStyle w:val="Compact"/>
              <w:jc w:val="left"/>
            </w:pPr>
            <w:r>
              <w:t xml:space="preserve">(0.018)</w:t>
            </w:r>
          </w:p>
        </w:tc>
        <w:tc>
          <w:tcPr/>
          <w:p>
            <w:pPr>
              <w:pStyle w:val="Compact"/>
              <w:jc w:val="left"/>
            </w:pPr>
            <w:r>
              <w:t xml:space="preserve">(0.014)</w:t>
            </w:r>
          </w:p>
        </w:tc>
        <w:tc>
          <w:tcPr/>
          <w:p>
            <w:pPr>
              <w:pStyle w:val="Compact"/>
              <w:jc w:val="left"/>
            </w:pPr>
            <w:r>
              <w:t xml:space="preserve">(0.014)</w:t>
            </w:r>
          </w:p>
        </w:tc>
        <w:tc>
          <w:tcPr/>
          <w:p>
            <w:pPr>
              <w:pStyle w:val="Compact"/>
              <w:jc w:val="left"/>
            </w:pPr>
            <w:r>
              <w:t xml:space="preserve">(0.009)</w:t>
            </w:r>
          </w:p>
        </w:tc>
        <w:tc>
          <w:tcPr/>
          <w:p>
            <w:pPr>
              <w:pStyle w:val="Compact"/>
              <w:jc w:val="left"/>
            </w:pPr>
            <w:r>
              <w:t xml:space="preserve">(0.010)</w:t>
            </w:r>
          </w:p>
        </w:tc>
      </w:tr>
      <w:tr>
        <w:tc>
          <w:tcPr/>
          <w:p>
            <w:pPr>
              <w:pStyle w:val="Compact"/>
              <w:jc w:val="left"/>
            </w:pPr>
            <w:r>
              <w:t xml:space="preserve">Enrolled only</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-0.023</w:t>
            </w:r>
          </w:p>
        </w:tc>
        <w:tc>
          <w:tcPr/>
          <w:p>
            <w:pPr>
              <w:pStyle w:val="Compact"/>
              <w:jc w:val="left"/>
            </w:pPr>
            <w:r>
              <w:t xml:space="preserve">0.004</w:t>
            </w:r>
          </w:p>
        </w:tc>
        <w:tc>
          <w:tcPr/>
          <w:p>
            <w:pPr>
              <w:pStyle w:val="Compact"/>
              <w:jc w:val="left"/>
            </w:pPr>
            <w:r>
              <w:t xml:space="preserve">-0.007</w:t>
            </w:r>
          </w:p>
        </w:tc>
        <w:tc>
          <w:tcPr/>
          <w:p>
            <w:pPr>
              <w:pStyle w:val="Compact"/>
              <w:jc w:val="left"/>
            </w:pPr>
            <w:r>
              <w:t xml:space="preserve">0.010</w:t>
            </w:r>
          </w:p>
        </w:tc>
      </w:tr>
      <w:tr>
        <w:tc>
          <w:tcPr/>
          <w:p>
            <w:pPr>
              <w:pStyle w:val="Compact"/>
            </w:pPr>
          </w:p>
        </w:tc>
        <w:tc>
          <w:tcPr/>
          <w:p>
            <w:pPr>
              <w:pStyle w:val="Compact"/>
              <w:jc w:val="left"/>
            </w:pPr>
            <w:r>
              <w:t xml:space="preserve">(0.020)</w:t>
            </w:r>
          </w:p>
        </w:tc>
        <w:tc>
          <w:tcPr/>
          <w:p>
            <w:pPr>
              <w:pStyle w:val="Compact"/>
              <w:jc w:val="left"/>
            </w:pPr>
            <w:r>
              <w:t xml:space="preserve">(0.018)</w:t>
            </w:r>
          </w:p>
        </w:tc>
        <w:tc>
          <w:tcPr/>
          <w:p>
            <w:pPr>
              <w:pStyle w:val="Compact"/>
              <w:jc w:val="left"/>
            </w:pPr>
            <w:r>
              <w:t xml:space="preserve">(0.016)</w:t>
            </w:r>
          </w:p>
        </w:tc>
        <w:tc>
          <w:tcPr/>
          <w:p>
            <w:pPr>
              <w:pStyle w:val="Compact"/>
              <w:jc w:val="left"/>
            </w:pPr>
            <w:r>
              <w:t xml:space="preserve">(0.018)</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Employed only</w:t>
            </w:r>
          </w:p>
        </w:tc>
        <w:tc>
          <w:tcPr/>
          <w:p>
            <w:pPr>
              <w:pStyle w:val="Compact"/>
              <w:jc w:val="left"/>
            </w:pPr>
            <w:r>
              <w:t xml:space="preserve">0.008</w:t>
            </w:r>
          </w:p>
        </w:tc>
        <w:tc>
          <w:tcPr/>
          <w:p>
            <w:pPr>
              <w:pStyle w:val="Compact"/>
              <w:jc w:val="left"/>
            </w:pPr>
            <w:r>
              <w:t xml:space="preserve">-0.006</w:t>
            </w:r>
          </w:p>
        </w:tc>
        <w:tc>
          <w:tcPr/>
          <w:p>
            <w:pPr>
              <w:pStyle w:val="Compact"/>
              <w:jc w:val="left"/>
            </w:pPr>
            <w:r>
              <w:t xml:space="preserve">-0.003</w:t>
            </w:r>
          </w:p>
        </w:tc>
        <w:tc>
          <w:tcPr/>
          <w:p>
            <w:pPr>
              <w:pStyle w:val="Compact"/>
              <w:jc w:val="left"/>
            </w:pPr>
            <w:r>
              <w:t xml:space="preserve">-0.012</w:t>
            </w:r>
          </w:p>
        </w:tc>
        <w:tc>
          <w:tcPr/>
          <w:p>
            <w:pPr>
              <w:pStyle w:val="Compact"/>
              <w:jc w:val="left"/>
            </w:pPr>
            <w:r>
              <w:t xml:space="preserve">0.004</w:t>
            </w:r>
          </w:p>
        </w:tc>
        <w:tc>
          <w:tcPr/>
          <w:p>
            <w:pPr>
              <w:pStyle w:val="Compact"/>
              <w:jc w:val="left"/>
            </w:pPr>
            <w:r>
              <w:t xml:space="preserve">-0.007</w:t>
            </w:r>
          </w:p>
        </w:tc>
      </w:tr>
      <w:tr>
        <w:tc>
          <w:tcPr/>
          <w:p>
            <w:pPr>
              <w:pStyle w:val="Compact"/>
            </w:pPr>
          </w:p>
        </w:tc>
        <w:tc>
          <w:tcPr/>
          <w:p>
            <w:pPr>
              <w:pStyle w:val="Compact"/>
              <w:jc w:val="left"/>
            </w:pPr>
            <w:r>
              <w:t xml:space="preserve">(0.007)</w:t>
            </w:r>
          </w:p>
        </w:tc>
        <w:tc>
          <w:tcPr/>
          <w:p>
            <w:pPr>
              <w:pStyle w:val="Compact"/>
              <w:jc w:val="left"/>
            </w:pPr>
            <w:r>
              <w:t xml:space="preserve">(0.006)</w:t>
            </w:r>
          </w:p>
        </w:tc>
        <w:tc>
          <w:tcPr/>
          <w:p>
            <w:pPr>
              <w:pStyle w:val="Compact"/>
              <w:jc w:val="left"/>
            </w:pPr>
            <w:r>
              <w:t xml:space="preserve">(0.024)</w:t>
            </w:r>
          </w:p>
        </w:tc>
        <w:tc>
          <w:tcPr/>
          <w:p>
            <w:pPr>
              <w:pStyle w:val="Compact"/>
              <w:jc w:val="left"/>
            </w:pPr>
            <w:r>
              <w:t xml:space="preserve">(0.016)</w:t>
            </w:r>
          </w:p>
        </w:tc>
        <w:tc>
          <w:tcPr/>
          <w:p>
            <w:pPr>
              <w:pStyle w:val="Compact"/>
              <w:jc w:val="left"/>
            </w:pPr>
            <w:r>
              <w:t xml:space="preserve">(0.014)</w:t>
            </w:r>
          </w:p>
        </w:tc>
        <w:tc>
          <w:tcPr/>
          <w:p>
            <w:pPr>
              <w:pStyle w:val="Compact"/>
              <w:jc w:val="left"/>
            </w:pPr>
            <w:r>
              <w:t xml:space="preserve">(0.008)</w:t>
            </w:r>
          </w:p>
        </w:tc>
      </w:tr>
      <w:tr>
        <w:tc>
          <w:tcPr/>
          <w:p>
            <w:pPr>
              <w:pStyle w:val="Compact"/>
              <w:jc w:val="left"/>
            </w:pPr>
            <w:r>
              <w:t xml:space="preserve">Neither enrolled nor employed</w:t>
            </w:r>
          </w:p>
        </w:tc>
        <w:tc>
          <w:tcPr/>
          <w:p>
            <w:pPr>
              <w:pStyle w:val="Compact"/>
              <w:jc w:val="left"/>
            </w:pPr>
            <w:r>
              <w:t xml:space="preserve">0.005</w:t>
            </w:r>
          </w:p>
        </w:tc>
        <w:tc>
          <w:tcPr/>
          <w:p>
            <w:pPr>
              <w:pStyle w:val="Compact"/>
              <w:jc w:val="left"/>
            </w:pPr>
            <w:r>
              <w:t xml:space="preserve">0.006</w:t>
            </w:r>
          </w:p>
        </w:tc>
        <w:tc>
          <w:tcPr/>
          <w:p>
            <w:pPr>
              <w:pStyle w:val="Compact"/>
              <w:jc w:val="left"/>
            </w:pPr>
            <w:r>
              <w:t xml:space="preserve">0.023</w:t>
            </w:r>
            <w:r>
              <w:rPr>
                <w:vertAlign w:val="superscript"/>
              </w:rPr>
              <w:t xml:space="preserve">*</w:t>
            </w:r>
          </w:p>
        </w:tc>
        <w:tc>
          <w:tcPr/>
          <w:p>
            <w:pPr>
              <w:pStyle w:val="Compact"/>
              <w:jc w:val="left"/>
            </w:pPr>
            <w:r>
              <w:t xml:space="preserve">0.008</w:t>
            </w:r>
          </w:p>
        </w:tc>
        <w:tc>
          <w:tcPr/>
          <w:p>
            <w:pPr>
              <w:pStyle w:val="Compact"/>
              <w:jc w:val="left"/>
            </w:pPr>
            <w:r>
              <w:t xml:space="preserve">0.013</w:t>
            </w:r>
            <w:r>
              <w:rPr>
                <w:vertAlign w:val="superscript"/>
              </w:rPr>
              <w:t xml:space="preserve">*</w:t>
            </w:r>
          </w:p>
        </w:tc>
        <w:tc>
          <w:tcPr/>
          <w:p>
            <w:pPr>
              <w:pStyle w:val="Compact"/>
              <w:jc w:val="left"/>
            </w:pPr>
            <w:r>
              <w:t xml:space="preserve">0.007</w:t>
            </w:r>
            <w:r>
              <w:rPr>
                <w:vertAlign w:val="superscript"/>
              </w:rPr>
              <w:t xml:space="preserve">*</w:t>
            </w:r>
          </w:p>
        </w:tc>
      </w:tr>
      <w:tr>
        <w:tc>
          <w:tcPr/>
          <w:p>
            <w:pPr>
              <w:pStyle w:val="Compact"/>
            </w:pPr>
          </w:p>
        </w:tc>
        <w:tc>
          <w:tcPr/>
          <w:p>
            <w:pPr>
              <w:pStyle w:val="Compact"/>
              <w:jc w:val="left"/>
            </w:pPr>
            <w:r>
              <w:t xml:space="preserve">(0.011)</w:t>
            </w:r>
          </w:p>
        </w:tc>
        <w:tc>
          <w:tcPr/>
          <w:p>
            <w:pPr>
              <w:pStyle w:val="Compact"/>
              <w:jc w:val="left"/>
            </w:pPr>
            <w:r>
              <w:t xml:space="preserve">(0.008)</w:t>
            </w:r>
          </w:p>
        </w:tc>
        <w:tc>
          <w:tcPr/>
          <w:p>
            <w:pPr>
              <w:pStyle w:val="Compact"/>
              <w:jc w:val="left"/>
            </w:pPr>
            <w:r>
              <w:t xml:space="preserve">(0.012)</w:t>
            </w:r>
          </w:p>
        </w:tc>
        <w:tc>
          <w:tcPr/>
          <w:p>
            <w:pPr>
              <w:pStyle w:val="Compact"/>
              <w:jc w:val="left"/>
            </w:pPr>
            <w:r>
              <w:t xml:space="preserve">(0.008)</w:t>
            </w:r>
          </w:p>
        </w:tc>
        <w:tc>
          <w:tcPr/>
          <w:p>
            <w:pPr>
              <w:pStyle w:val="Compact"/>
              <w:jc w:val="left"/>
            </w:pPr>
            <w:r>
              <w:t xml:space="preserve">(0.008)</w:t>
            </w:r>
          </w:p>
        </w:tc>
        <w:tc>
          <w:tcPr/>
          <w:p>
            <w:pPr>
              <w:pStyle w:val="Compact"/>
              <w:jc w:val="left"/>
            </w:pPr>
            <w:r>
              <w:t xml:space="preserve">(0.004)</w:t>
            </w:r>
          </w:p>
        </w:tc>
      </w:tr>
    </w:tbl>
    <w:p>
      <w:pPr>
        <w:pStyle w:val="BodyText"/>
      </w:pPr>
      <w:r>
        <w:t xml:space="preserve">Notes: Low: family income below $50,000; High: $50,000 or more. Specification as in Table 24.</w:t>
      </w:r>
    </w:p>
    <w:p>
      <w:pPr>
        <w:pStyle w:val="TableCaption"/>
      </w:pPr>
      <w:r>
        <w:t xml:space="preserve">Table 26: Two-way fixed effects estimates for teen wages and earnings, school months, 2010–2026</w:t>
      </w:r>
    </w:p>
    <w:tbl>
      <w:tblPr>
        <w:tblStyle w:val="Table"/>
        <w:tblW w:type="dxa" w:w="9360"/>
        <w:tblLook w:firstRow="1" w:lastRow="0" w:firstColumn="0" w:lastColumn="0" w:noHBand="0" w:noVBand="0" w:val="0020"/>
        <w:jc w:val="start"/>
        <w:tblCaption w:val="Table 26: Two-way fixed effects estimates for teen wages and earnings, school months, 2010–2026"/>
      </w:tblPr>
      <w:tblGrid>
        <w:gridCol w:w="2808"/>
        <w:gridCol w:w="2184"/>
        <w:gridCol w:w="2184"/>
        <w:gridCol w:w="2184"/>
      </w:tblGrid>
      <w:tr>
        <w:trPr>
          <w:tblHeader w:val="true"/>
        </w:trPr>
        <w:tc>
          <w:tcPr/>
          <w:p>
            <w:pPr>
              <w:pStyle w:val="Compact"/>
            </w:pPr>
          </w:p>
        </w:tc>
        <w:tc>
          <w:tcPr/>
          <w:p>
            <w:pPr>
              <w:pStyle w:val="Compact"/>
              <w:jc w:val="left"/>
            </w:pPr>
            <w:r>
              <w:t xml:space="preserve">Ages 16–17</w:t>
            </w:r>
          </w:p>
        </w:tc>
        <w:tc>
          <w:tcPr/>
          <w:p>
            <w:pPr>
              <w:pStyle w:val="Compact"/>
              <w:jc w:val="left"/>
            </w:pPr>
            <w:r>
              <w:t xml:space="preserve">Ages 18–19</w:t>
            </w:r>
          </w:p>
        </w:tc>
        <w:tc>
          <w:tcPr/>
          <w:p>
            <w:pPr>
              <w:pStyle w:val="Compact"/>
              <w:jc w:val="left"/>
            </w:pPr>
            <w:r>
              <w:t xml:space="preserve">Ages 16–19</w:t>
            </w:r>
          </w:p>
        </w:tc>
      </w:tr>
      <w:tr>
        <w:tc>
          <w:tcPr/>
          <w:p>
            <w:pPr>
              <w:pStyle w:val="Compact"/>
              <w:jc w:val="left"/>
            </w:pPr>
            <w:r>
              <w:t xml:space="preserve">Log hourly wage, hourly paid</w:t>
            </w:r>
          </w:p>
        </w:tc>
        <w:tc>
          <w:tcPr/>
          <w:p>
            <w:pPr>
              <w:pStyle w:val="Compact"/>
              <w:jc w:val="left"/>
            </w:pPr>
            <w:r>
              <w:t xml:space="preserve">0.222</w:t>
            </w:r>
            <w:r>
              <w:rPr>
                <w:vertAlign w:val="superscript"/>
              </w:rPr>
              <w:t xml:space="preserve">***</w:t>
            </w:r>
          </w:p>
        </w:tc>
        <w:tc>
          <w:tcPr/>
          <w:p>
            <w:pPr>
              <w:pStyle w:val="Compact"/>
              <w:jc w:val="left"/>
            </w:pPr>
            <w:r>
              <w:t xml:space="preserve">0.166</w:t>
            </w:r>
            <w:r>
              <w:rPr>
                <w:vertAlign w:val="superscript"/>
              </w:rPr>
              <w:t xml:space="preserve">***</w:t>
            </w:r>
          </w:p>
        </w:tc>
        <w:tc>
          <w:tcPr/>
          <w:p>
            <w:pPr>
              <w:pStyle w:val="Compact"/>
              <w:jc w:val="left"/>
            </w:pPr>
            <w:r>
              <w:t xml:space="preserve">0.192</w:t>
            </w:r>
            <w:r>
              <w:rPr>
                <w:vertAlign w:val="superscript"/>
              </w:rPr>
              <w:t xml:space="preserve">***</w:t>
            </w:r>
          </w:p>
        </w:tc>
      </w:tr>
      <w:tr>
        <w:tc>
          <w:tcPr/>
          <w:p>
            <w:pPr>
              <w:pStyle w:val="Compact"/>
            </w:pPr>
          </w:p>
        </w:tc>
        <w:tc>
          <w:tcPr/>
          <w:p>
            <w:pPr>
              <w:pStyle w:val="Compact"/>
              <w:jc w:val="left"/>
            </w:pPr>
            <w:r>
              <w:t xml:space="preserve">(0.026)</w:t>
            </w:r>
          </w:p>
        </w:tc>
        <w:tc>
          <w:tcPr/>
          <w:p>
            <w:pPr>
              <w:pStyle w:val="Compact"/>
              <w:jc w:val="left"/>
            </w:pPr>
            <w:r>
              <w:t xml:space="preserve">(0.023)</w:t>
            </w:r>
          </w:p>
        </w:tc>
        <w:tc>
          <w:tcPr/>
          <w:p>
            <w:pPr>
              <w:pStyle w:val="Compact"/>
              <w:jc w:val="left"/>
            </w:pPr>
            <w:r>
              <w:t xml:space="preserve">(0.018)</w:t>
            </w:r>
          </w:p>
        </w:tc>
      </w:tr>
      <w:tr>
        <w:tc>
          <w:tcPr/>
          <w:p>
            <w:pPr>
              <w:pStyle w:val="Compact"/>
              <w:jc w:val="left"/>
            </w:pPr>
            <w:r>
              <w:t xml:space="preserve">Log weekly earnings</w:t>
            </w:r>
          </w:p>
        </w:tc>
        <w:tc>
          <w:tcPr/>
          <w:p>
            <w:pPr>
              <w:pStyle w:val="Compact"/>
              <w:jc w:val="left"/>
            </w:pPr>
            <w:r>
              <w:t xml:space="preserve">0.187</w:t>
            </w:r>
            <w:r>
              <w:rPr>
                <w:vertAlign w:val="superscript"/>
              </w:rPr>
              <w:t xml:space="preserve">***</w:t>
            </w:r>
          </w:p>
        </w:tc>
        <w:tc>
          <w:tcPr/>
          <w:p>
            <w:pPr>
              <w:pStyle w:val="Compact"/>
              <w:jc w:val="left"/>
            </w:pPr>
            <w:r>
              <w:t xml:space="preserve">0.167</w:t>
            </w:r>
            <w:r>
              <w:rPr>
                <w:vertAlign w:val="superscript"/>
              </w:rPr>
              <w:t xml:space="preserve">***</w:t>
            </w:r>
          </w:p>
        </w:tc>
        <w:tc>
          <w:tcPr/>
          <w:p>
            <w:pPr>
              <w:pStyle w:val="Compact"/>
              <w:jc w:val="left"/>
            </w:pPr>
            <w:r>
              <w:t xml:space="preserve">0.184</w:t>
            </w:r>
            <w:r>
              <w:rPr>
                <w:vertAlign w:val="superscript"/>
              </w:rPr>
              <w:t xml:space="preserve">***</w:t>
            </w:r>
          </w:p>
        </w:tc>
      </w:tr>
      <w:tr>
        <w:tc>
          <w:tcPr/>
          <w:p>
            <w:pPr>
              <w:pStyle w:val="Compact"/>
            </w:pPr>
          </w:p>
        </w:tc>
        <w:tc>
          <w:tcPr/>
          <w:p>
            <w:pPr>
              <w:pStyle w:val="Compact"/>
              <w:jc w:val="left"/>
            </w:pPr>
            <w:r>
              <w:t xml:space="preserve">(0.062)</w:t>
            </w:r>
          </w:p>
        </w:tc>
        <w:tc>
          <w:tcPr/>
          <w:p>
            <w:pPr>
              <w:pStyle w:val="Compact"/>
              <w:jc w:val="left"/>
            </w:pPr>
            <w:r>
              <w:t xml:space="preserve">(0.059)</w:t>
            </w:r>
          </w:p>
        </w:tc>
        <w:tc>
          <w:tcPr/>
          <w:p>
            <w:pPr>
              <w:pStyle w:val="Compact"/>
              <w:jc w:val="left"/>
            </w:pPr>
            <w:r>
              <w:t xml:space="preserve">(0.052)</w:t>
            </w:r>
          </w:p>
        </w:tc>
      </w:tr>
    </w:tbl>
    <w:p>
      <w:pPr>
        <w:pStyle w:val="BodyText"/>
      </w:pPr>
      <w:r>
        <w:t xml:space="preserve">Notes: Outgoing rotation groups, earnings weights; the coefficient is the elasticity of the wage with respect to the minimum. Specification as in Table 24.</w:t>
      </w:r>
    </w:p>
    <w:p>
      <w:pPr>
        <w:pStyle w:val="TableCaption"/>
      </w:pPr>
      <w:r>
        <w:t xml:space="preserve">Table 27: Two-way fixed effects estimates for wages and earnings by family income, school months</w:t>
      </w:r>
    </w:p>
    <w:tbl>
      <w:tblPr>
        <w:tblStyle w:val="Table"/>
        <w:tblW w:type="dxa" w:w="9360"/>
        <w:tblLook w:firstRow="0" w:lastRow="0" w:firstColumn="0" w:lastColumn="0" w:noHBand="0" w:noVBand="0" w:val="0000"/>
        <w:jc w:val="start"/>
        <w:tblCaption w:val="Table 27: Two-way fixed effects estimates for wages and earnings by family income, school month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Log hourly wage, hourly paid</w:t>
            </w:r>
          </w:p>
        </w:tc>
        <w:tc>
          <w:tcPr/>
          <w:p>
            <w:pPr>
              <w:pStyle w:val="Compact"/>
              <w:jc w:val="left"/>
            </w:pPr>
            <w:r>
              <w:t xml:space="preserve">0.236</w:t>
            </w:r>
            <w:r>
              <w:rPr>
                <w:vertAlign w:val="superscript"/>
              </w:rPr>
              <w:t xml:space="preserve">***</w:t>
            </w:r>
          </w:p>
        </w:tc>
        <w:tc>
          <w:tcPr/>
          <w:p>
            <w:pPr>
              <w:pStyle w:val="Compact"/>
              <w:jc w:val="left"/>
            </w:pPr>
            <w:r>
              <w:t xml:space="preserve">0.217</w:t>
            </w:r>
            <w:r>
              <w:rPr>
                <w:vertAlign w:val="superscript"/>
              </w:rPr>
              <w:t xml:space="preserve">***</w:t>
            </w:r>
          </w:p>
        </w:tc>
        <w:tc>
          <w:tcPr/>
          <w:p>
            <w:pPr>
              <w:pStyle w:val="Compact"/>
              <w:jc w:val="left"/>
            </w:pPr>
            <w:r>
              <w:t xml:space="preserve">0.193</w:t>
            </w:r>
            <w:r>
              <w:rPr>
                <w:vertAlign w:val="superscript"/>
              </w:rPr>
              <w:t xml:space="preserve">***</w:t>
            </w:r>
          </w:p>
        </w:tc>
        <w:tc>
          <w:tcPr/>
          <w:p>
            <w:pPr>
              <w:pStyle w:val="Compact"/>
              <w:jc w:val="left"/>
            </w:pPr>
            <w:r>
              <w:t xml:space="preserve">0.161</w:t>
            </w:r>
            <w:r>
              <w:rPr>
                <w:vertAlign w:val="superscript"/>
              </w:rPr>
              <w:t xml:space="preserve">***</w:t>
            </w:r>
          </w:p>
        </w:tc>
        <w:tc>
          <w:tcPr/>
          <w:p>
            <w:pPr>
              <w:pStyle w:val="Compact"/>
              <w:jc w:val="left"/>
            </w:pPr>
            <w:r>
              <w:t xml:space="preserve">0.210</w:t>
            </w:r>
            <w:r>
              <w:rPr>
                <w:vertAlign w:val="superscript"/>
              </w:rPr>
              <w:t xml:space="preserve">***</w:t>
            </w:r>
          </w:p>
        </w:tc>
        <w:tc>
          <w:tcPr/>
          <w:p>
            <w:pPr>
              <w:pStyle w:val="Compact"/>
              <w:jc w:val="left"/>
            </w:pPr>
            <w:r>
              <w:t xml:space="preserve">0.189</w:t>
            </w:r>
            <w:r>
              <w:rPr>
                <w:vertAlign w:val="superscript"/>
              </w:rPr>
              <w:t xml:space="preserve">***</w:t>
            </w:r>
          </w:p>
        </w:tc>
      </w:tr>
      <w:tr>
        <w:tc>
          <w:tcPr/>
          <w:p>
            <w:pPr>
              <w:pStyle w:val="Compact"/>
            </w:pPr>
          </w:p>
        </w:tc>
        <w:tc>
          <w:tcPr/>
          <w:p>
            <w:pPr>
              <w:pStyle w:val="Compact"/>
              <w:jc w:val="left"/>
            </w:pPr>
            <w:r>
              <w:t xml:space="preserve">(0.042)</w:t>
            </w:r>
          </w:p>
        </w:tc>
        <w:tc>
          <w:tcPr/>
          <w:p>
            <w:pPr>
              <w:pStyle w:val="Compact"/>
              <w:jc w:val="left"/>
            </w:pPr>
            <w:r>
              <w:t xml:space="preserve">(0.030)</w:t>
            </w:r>
          </w:p>
        </w:tc>
        <w:tc>
          <w:tcPr/>
          <w:p>
            <w:pPr>
              <w:pStyle w:val="Compact"/>
              <w:jc w:val="left"/>
            </w:pPr>
            <w:r>
              <w:t xml:space="preserve">(0.028)</w:t>
            </w:r>
          </w:p>
        </w:tc>
        <w:tc>
          <w:tcPr/>
          <w:p>
            <w:pPr>
              <w:pStyle w:val="Compact"/>
              <w:jc w:val="left"/>
            </w:pPr>
            <w:r>
              <w:t xml:space="preserve">(0.032)</w:t>
            </w:r>
          </w:p>
        </w:tc>
        <w:tc>
          <w:tcPr/>
          <w:p>
            <w:pPr>
              <w:pStyle w:val="Compact"/>
              <w:jc w:val="left"/>
            </w:pPr>
            <w:r>
              <w:t xml:space="preserve">(0.023)</w:t>
            </w:r>
          </w:p>
        </w:tc>
        <w:tc>
          <w:tcPr/>
          <w:p>
            <w:pPr>
              <w:pStyle w:val="Compact"/>
              <w:jc w:val="left"/>
            </w:pPr>
            <w:r>
              <w:t xml:space="preserve">(0.024)</w:t>
            </w:r>
          </w:p>
        </w:tc>
      </w:tr>
      <w:tr>
        <w:tc>
          <w:tcPr/>
          <w:p>
            <w:pPr>
              <w:pStyle w:val="Compact"/>
              <w:jc w:val="left"/>
            </w:pPr>
            <w:r>
              <w:t xml:space="preserve">Log weekly earnings</w:t>
            </w:r>
          </w:p>
        </w:tc>
        <w:tc>
          <w:tcPr/>
          <w:p>
            <w:pPr>
              <w:pStyle w:val="Compact"/>
              <w:jc w:val="left"/>
            </w:pPr>
            <w:r>
              <w:t xml:space="preserve">0.219</w:t>
            </w:r>
            <w:r>
              <w:rPr>
                <w:vertAlign w:val="superscript"/>
              </w:rPr>
              <w:t xml:space="preserve">*</w:t>
            </w:r>
          </w:p>
        </w:tc>
        <w:tc>
          <w:tcPr/>
          <w:p>
            <w:pPr>
              <w:pStyle w:val="Compact"/>
              <w:jc w:val="left"/>
            </w:pPr>
            <w:r>
              <w:t xml:space="preserve">0.185</w:t>
            </w:r>
            <w:r>
              <w:rPr>
                <w:vertAlign w:val="superscript"/>
              </w:rPr>
              <w:t xml:space="preserve">**</w:t>
            </w:r>
          </w:p>
        </w:tc>
        <w:tc>
          <w:tcPr/>
          <w:p>
            <w:pPr>
              <w:pStyle w:val="Compact"/>
              <w:jc w:val="left"/>
            </w:pPr>
            <w:r>
              <w:t xml:space="preserve">0.241</w:t>
            </w:r>
            <w:r>
              <w:rPr>
                <w:vertAlign w:val="superscript"/>
              </w:rPr>
              <w:t xml:space="preserve">***</w:t>
            </w:r>
          </w:p>
        </w:tc>
        <w:tc>
          <w:tcPr/>
          <w:p>
            <w:pPr>
              <w:pStyle w:val="Compact"/>
              <w:jc w:val="left"/>
            </w:pPr>
            <w:r>
              <w:t xml:space="preserve">0.116</w:t>
            </w:r>
            <w:r>
              <w:rPr>
                <w:vertAlign w:val="superscript"/>
              </w:rPr>
              <w:t xml:space="preserve">*</w:t>
            </w:r>
          </w:p>
        </w:tc>
        <w:tc>
          <w:tcPr/>
          <w:p>
            <w:pPr>
              <w:pStyle w:val="Compact"/>
              <w:jc w:val="left"/>
            </w:pPr>
            <w:r>
              <w:t xml:space="preserve">0.232</w:t>
            </w:r>
            <w:r>
              <w:rPr>
                <w:vertAlign w:val="superscript"/>
              </w:rPr>
              <w:t xml:space="preserve">***</w:t>
            </w:r>
          </w:p>
        </w:tc>
        <w:tc>
          <w:tcPr/>
          <w:p>
            <w:pPr>
              <w:pStyle w:val="Compact"/>
              <w:jc w:val="left"/>
            </w:pPr>
            <w:r>
              <w:t xml:space="preserve">0.151</w:t>
            </w:r>
            <w:r>
              <w:rPr>
                <w:vertAlign w:val="superscript"/>
              </w:rPr>
              <w:t xml:space="preserve">***</w:t>
            </w:r>
          </w:p>
        </w:tc>
      </w:tr>
      <w:tr>
        <w:tc>
          <w:tcPr/>
          <w:p>
            <w:pPr>
              <w:pStyle w:val="Compact"/>
            </w:pPr>
          </w:p>
        </w:tc>
        <w:tc>
          <w:tcPr/>
          <w:p>
            <w:pPr>
              <w:pStyle w:val="Compact"/>
              <w:jc w:val="left"/>
            </w:pPr>
            <w:r>
              <w:t xml:space="preserve">(0.126)</w:t>
            </w:r>
          </w:p>
        </w:tc>
        <w:tc>
          <w:tcPr/>
          <w:p>
            <w:pPr>
              <w:pStyle w:val="Compact"/>
              <w:jc w:val="left"/>
            </w:pPr>
            <w:r>
              <w:t xml:space="preserve">(0.077)</w:t>
            </w:r>
          </w:p>
        </w:tc>
        <w:tc>
          <w:tcPr/>
          <w:p>
            <w:pPr>
              <w:pStyle w:val="Compact"/>
              <w:jc w:val="left"/>
            </w:pPr>
            <w:r>
              <w:t xml:space="preserve">(0.073)</w:t>
            </w:r>
          </w:p>
        </w:tc>
        <w:tc>
          <w:tcPr/>
          <w:p>
            <w:pPr>
              <w:pStyle w:val="Compact"/>
              <w:jc w:val="left"/>
            </w:pPr>
            <w:r>
              <w:t xml:space="preserve">(0.061)</w:t>
            </w:r>
          </w:p>
        </w:tc>
        <w:tc>
          <w:tcPr/>
          <w:p>
            <w:pPr>
              <w:pStyle w:val="Compact"/>
              <w:jc w:val="left"/>
            </w:pPr>
            <w:r>
              <w:t xml:space="preserve">(0.066)</w:t>
            </w:r>
          </w:p>
        </w:tc>
        <w:tc>
          <w:tcPr/>
          <w:p>
            <w:pPr>
              <w:pStyle w:val="Compact"/>
              <w:jc w:val="left"/>
            </w:pPr>
            <w:r>
              <w:t xml:space="preserve">(0.057)</w:t>
            </w:r>
          </w:p>
        </w:tc>
      </w:tr>
    </w:tbl>
    <w:p>
      <w:pPr>
        <w:pStyle w:val="BodyText"/>
      </w:pPr>
      <w:r>
        <w:t xml:space="preserve">Notes: Low: family income below $50,000; High: $50,000 or more. Outgoing rotation groups, earnings weights. Specification as in Table 24.</w:t>
      </w:r>
    </w:p>
    <w:p>
      <w:pPr>
        <w:pStyle w:val="BodyText"/>
      </w:pPr>
      <w:r>
        <w:t xml:space="preserve">By sex and race (Tables 28 to 31) the school-months coefficients repeat the pattern. Enrolled-and-employed at 16–17 is</w:t>
      </w:r>
      <w:r>
        <w:t xml:space="preserve"> </w:t>
      </w:r>
      <m:oMath>
        <m:r>
          <m:rPr>
            <m:sty m:val="p"/>
          </m:rPr>
          <m:t>−</m:t>
        </m:r>
        <m:r>
          <m:t>0.030</m:t>
        </m:r>
      </m:oMath>
      <w:r>
        <w:t xml:space="preserve"> </w:t>
      </w:r>
      <w:r>
        <w:t xml:space="preserve">(s.e. 0.017) for girls and</w:t>
      </w:r>
      <w:r>
        <w:t xml:space="preserve"> </w:t>
      </w:r>
      <m:oMath>
        <m:r>
          <m:rPr>
            <m:sty m:val="p"/>
          </m:rPr>
          <m:t>−</m:t>
        </m:r>
        <m:r>
          <m:t>0.014</m:t>
        </m:r>
      </m:oMath>
      <w:r>
        <w:t xml:space="preserve"> </w:t>
      </w:r>
      <w:r>
        <w:t xml:space="preserve">(0.017) for boys, the sex difference of Section 5.3 at about the same size. The neither coefficient at 18–19 is 0.030 (0.013) for girls and 0.004 (0.013) for boys, and 0.040 (0.010) for white teens against 0.000 (0.007) for non-white teens; the federal-floor residual sits among white teens, who are the majority of teens in the federal-floor states. The wage elasticities are 0.21 (0.03) for girls and 0.23 (0.03) for boys at 16–17, and 0.25 (0.03) for white against 0.15 (0.05) for non-white teens at 16–17, 0.21 (0.02) against 0.17 (0.03) pooled.</w:t>
      </w:r>
    </w:p>
    <w:p>
      <w:pPr>
        <w:pStyle w:val="TableCaption"/>
      </w:pPr>
      <w:r>
        <w:t xml:space="preserve">Table 28: Two-way fixed effects estimates for school–work status by sex, school months</w:t>
      </w:r>
    </w:p>
    <w:tbl>
      <w:tblPr>
        <w:tblStyle w:val="Table"/>
        <w:tblW w:type="dxa" w:w="9360"/>
        <w:tblLook w:firstRow="0" w:lastRow="0" w:firstColumn="0" w:lastColumn="0" w:noHBand="0" w:noVBand="0" w:val="0000"/>
        <w:jc w:val="start"/>
        <w:tblCaption w:val="Table 28: Two-way fixed effects estimates for school–work status by sex, school month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Girls</w:t>
            </w:r>
          </w:p>
        </w:tc>
        <w:tc>
          <w:tcPr/>
          <w:p>
            <w:pPr>
              <w:pStyle w:val="Compact"/>
              <w:jc w:val="left"/>
            </w:pPr>
            <w:r>
              <w:t xml:space="preserve">Boys</w:t>
            </w:r>
          </w:p>
        </w:tc>
        <w:tc>
          <w:tcPr/>
          <w:p>
            <w:pPr>
              <w:pStyle w:val="Compact"/>
              <w:jc w:val="left"/>
            </w:pPr>
            <w:r>
              <w:t xml:space="preserve">Girls</w:t>
            </w:r>
          </w:p>
        </w:tc>
        <w:tc>
          <w:tcPr/>
          <w:p>
            <w:pPr>
              <w:pStyle w:val="Compact"/>
              <w:jc w:val="left"/>
            </w:pPr>
            <w:r>
              <w:t xml:space="preserve">Boys</w:t>
            </w:r>
          </w:p>
        </w:tc>
        <w:tc>
          <w:tcPr/>
          <w:p>
            <w:pPr>
              <w:pStyle w:val="Compact"/>
              <w:jc w:val="left"/>
            </w:pPr>
            <w:r>
              <w:t xml:space="preserve">Girls</w:t>
            </w:r>
          </w:p>
        </w:tc>
        <w:tc>
          <w:tcPr/>
          <w:p>
            <w:pPr>
              <w:pStyle w:val="Compact"/>
              <w:jc w:val="left"/>
            </w:pPr>
            <w:r>
              <w:t xml:space="preserve">Boys</w:t>
            </w:r>
          </w:p>
        </w:tc>
      </w:tr>
      <w:tr>
        <w:tc>
          <w:tcPr/>
          <w:p>
            <w:pPr>
              <w:pStyle w:val="Compact"/>
              <w:jc w:val="left"/>
            </w:pPr>
            <w:r>
              <w:t xml:space="preserve">Enrolled and employed</w:t>
            </w:r>
          </w:p>
        </w:tc>
        <w:tc>
          <w:tcPr/>
          <w:p>
            <w:pPr>
              <w:pStyle w:val="Compact"/>
              <w:jc w:val="left"/>
            </w:pPr>
            <w:r>
              <w:t xml:space="preserve">-0.030</w:t>
            </w:r>
            <w:r>
              <w:rPr>
                <w:vertAlign w:val="superscript"/>
              </w:rPr>
              <w:t xml:space="preserve">*</w:t>
            </w:r>
          </w:p>
        </w:tc>
        <w:tc>
          <w:tcPr/>
          <w:p>
            <w:pPr>
              <w:pStyle w:val="Compact"/>
              <w:jc w:val="left"/>
            </w:pPr>
            <w:r>
              <w:t xml:space="preserve">-0.014</w:t>
            </w:r>
          </w:p>
        </w:tc>
        <w:tc>
          <w:tcPr/>
          <w:p>
            <w:pPr>
              <w:pStyle w:val="Compact"/>
              <w:jc w:val="left"/>
            </w:pPr>
            <w:r>
              <w:t xml:space="preserve">-0.016</w:t>
            </w:r>
          </w:p>
        </w:tc>
        <w:tc>
          <w:tcPr/>
          <w:p>
            <w:pPr>
              <w:pStyle w:val="Compact"/>
              <w:jc w:val="left"/>
            </w:pPr>
            <w:r>
              <w:t xml:space="preserve">0.011</w:t>
            </w:r>
          </w:p>
        </w:tc>
        <w:tc>
          <w:tcPr/>
          <w:p>
            <w:pPr>
              <w:pStyle w:val="Compact"/>
              <w:jc w:val="left"/>
            </w:pPr>
            <w:r>
              <w:t xml:space="preserve">-0.023</w:t>
            </w:r>
            <w:r>
              <w:rPr>
                <w:vertAlign w:val="superscript"/>
              </w:rPr>
              <w:t xml:space="preserve">***</w:t>
            </w:r>
          </w:p>
        </w:tc>
        <w:tc>
          <w:tcPr/>
          <w:p>
            <w:pPr>
              <w:pStyle w:val="Compact"/>
              <w:jc w:val="left"/>
            </w:pPr>
            <w:r>
              <w:t xml:space="preserve">-0.003</w:t>
            </w:r>
          </w:p>
        </w:tc>
      </w:tr>
      <w:tr>
        <w:tc>
          <w:tcPr/>
          <w:p>
            <w:pPr>
              <w:pStyle w:val="Compact"/>
            </w:pPr>
          </w:p>
        </w:tc>
        <w:tc>
          <w:tcPr/>
          <w:p>
            <w:pPr>
              <w:pStyle w:val="Compact"/>
              <w:jc w:val="left"/>
            </w:pPr>
            <w:r>
              <w:t xml:space="preserve">(0.017)</w:t>
            </w:r>
          </w:p>
        </w:tc>
        <w:tc>
          <w:tcPr/>
          <w:p>
            <w:pPr>
              <w:pStyle w:val="Compact"/>
              <w:jc w:val="left"/>
            </w:pPr>
            <w:r>
              <w:t xml:space="preserve">(0.017)</w:t>
            </w:r>
          </w:p>
        </w:tc>
        <w:tc>
          <w:tcPr/>
          <w:p>
            <w:pPr>
              <w:pStyle w:val="Compact"/>
              <w:jc w:val="left"/>
            </w:pPr>
            <w:r>
              <w:t xml:space="preserve">(0.014)</w:t>
            </w:r>
          </w:p>
        </w:tc>
        <w:tc>
          <w:tcPr/>
          <w:p>
            <w:pPr>
              <w:pStyle w:val="Compact"/>
              <w:jc w:val="left"/>
            </w:pPr>
            <w:r>
              <w:t xml:space="preserve">(0.017)</w:t>
            </w:r>
          </w:p>
        </w:tc>
        <w:tc>
          <w:tcPr/>
          <w:p>
            <w:pPr>
              <w:pStyle w:val="Compact"/>
              <w:jc w:val="left"/>
            </w:pPr>
            <w:r>
              <w:t xml:space="preserve">(0.009)</w:t>
            </w:r>
          </w:p>
        </w:tc>
        <w:tc>
          <w:tcPr/>
          <w:p>
            <w:pPr>
              <w:pStyle w:val="Compact"/>
              <w:jc w:val="left"/>
            </w:pPr>
            <w:r>
              <w:t xml:space="preserve">(0.012)</w:t>
            </w:r>
          </w:p>
        </w:tc>
      </w:tr>
      <w:tr>
        <w:tc>
          <w:tcPr/>
          <w:p>
            <w:pPr>
              <w:pStyle w:val="Compact"/>
              <w:jc w:val="left"/>
            </w:pPr>
            <w:r>
              <w:t xml:space="preserve">Enrolled only</w:t>
            </w:r>
          </w:p>
        </w:tc>
        <w:tc>
          <w:tcPr/>
          <w:p>
            <w:pPr>
              <w:pStyle w:val="Compact"/>
              <w:jc w:val="left"/>
            </w:pPr>
            <w:r>
              <w:t xml:space="preserve">0.025</w:t>
            </w:r>
          </w:p>
        </w:tc>
        <w:tc>
          <w:tcPr/>
          <w:p>
            <w:pPr>
              <w:pStyle w:val="Compact"/>
              <w:jc w:val="left"/>
            </w:pPr>
            <w:r>
              <w:t xml:space="preserve">0.007</w:t>
            </w:r>
          </w:p>
        </w:tc>
        <w:tc>
          <w:tcPr/>
          <w:p>
            <w:pPr>
              <w:pStyle w:val="Compact"/>
              <w:jc w:val="left"/>
            </w:pPr>
            <w:r>
              <w:t xml:space="preserve">-0.014</w:t>
            </w:r>
          </w:p>
        </w:tc>
        <w:tc>
          <w:tcPr/>
          <w:p>
            <w:pPr>
              <w:pStyle w:val="Compact"/>
              <w:jc w:val="left"/>
            </w:pPr>
            <w:r>
              <w:t xml:space="preserve">-0.014</w:t>
            </w:r>
          </w:p>
        </w:tc>
        <w:tc>
          <w:tcPr/>
          <w:p>
            <w:pPr>
              <w:pStyle w:val="Compact"/>
              <w:jc w:val="left"/>
            </w:pPr>
            <w:r>
              <w:t xml:space="preserve">0.006</w:t>
            </w:r>
          </w:p>
        </w:tc>
        <w:tc>
          <w:tcPr/>
          <w:p>
            <w:pPr>
              <w:pStyle w:val="Compact"/>
              <w:jc w:val="left"/>
            </w:pPr>
            <w:r>
              <w:t xml:space="preserve">-0.004</w:t>
            </w:r>
          </w:p>
        </w:tc>
      </w:tr>
      <w:tr>
        <w:tc>
          <w:tcPr/>
          <w:p>
            <w:pPr>
              <w:pStyle w:val="Compact"/>
            </w:pPr>
          </w:p>
        </w:tc>
        <w:tc>
          <w:tcPr/>
          <w:p>
            <w:pPr>
              <w:pStyle w:val="Compact"/>
              <w:jc w:val="left"/>
            </w:pPr>
            <w:r>
              <w:t xml:space="preserve">(0.021)</w:t>
            </w:r>
          </w:p>
        </w:tc>
        <w:tc>
          <w:tcPr/>
          <w:p>
            <w:pPr>
              <w:pStyle w:val="Compact"/>
              <w:jc w:val="left"/>
            </w:pPr>
            <w:r>
              <w:t xml:space="preserve">(0.018)</w:t>
            </w:r>
          </w:p>
        </w:tc>
        <w:tc>
          <w:tcPr/>
          <w:p>
            <w:pPr>
              <w:pStyle w:val="Compact"/>
              <w:jc w:val="left"/>
            </w:pPr>
            <w:r>
              <w:t xml:space="preserve">(0.019)</w:t>
            </w:r>
          </w:p>
        </w:tc>
        <w:tc>
          <w:tcPr/>
          <w:p>
            <w:pPr>
              <w:pStyle w:val="Compact"/>
              <w:jc w:val="left"/>
            </w:pPr>
            <w:r>
              <w:t xml:space="preserve">(0.021)</w:t>
            </w:r>
          </w:p>
        </w:tc>
        <w:tc>
          <w:tcPr/>
          <w:p>
            <w:pPr>
              <w:pStyle w:val="Compact"/>
              <w:jc w:val="left"/>
            </w:pPr>
            <w:r>
              <w:t xml:space="preserve">(0.018)</w:t>
            </w:r>
          </w:p>
        </w:tc>
        <w:tc>
          <w:tcPr/>
          <w:p>
            <w:pPr>
              <w:pStyle w:val="Compact"/>
              <w:jc w:val="left"/>
            </w:pPr>
            <w:r>
              <w:t xml:space="preserve">(0.016)</w:t>
            </w:r>
          </w:p>
        </w:tc>
      </w:tr>
      <w:tr>
        <w:tc>
          <w:tcPr/>
          <w:p>
            <w:pPr>
              <w:pStyle w:val="Compact"/>
              <w:jc w:val="left"/>
            </w:pPr>
            <w:r>
              <w:t xml:space="preserve">Employed only</w:t>
            </w:r>
          </w:p>
        </w:tc>
        <w:tc>
          <w:tcPr/>
          <w:p>
            <w:pPr>
              <w:pStyle w:val="Compact"/>
              <w:jc w:val="left"/>
            </w:pPr>
            <w:r>
              <w:t xml:space="preserve">-0.003</w:t>
            </w:r>
          </w:p>
        </w:tc>
        <w:tc>
          <w:tcPr/>
          <w:p>
            <w:pPr>
              <w:pStyle w:val="Compact"/>
              <w:jc w:val="left"/>
            </w:pPr>
            <w:r>
              <w:t xml:space="preserve">0.002</w:t>
            </w:r>
          </w:p>
        </w:tc>
        <w:tc>
          <w:tcPr/>
          <w:p>
            <w:pPr>
              <w:pStyle w:val="Compact"/>
              <w:jc w:val="left"/>
            </w:pPr>
            <w:r>
              <w:t xml:space="preserve">0.000</w:t>
            </w:r>
          </w:p>
        </w:tc>
        <w:tc>
          <w:tcPr/>
          <w:p>
            <w:pPr>
              <w:pStyle w:val="Compact"/>
              <w:jc w:val="left"/>
            </w:pPr>
            <w:r>
              <w:t xml:space="preserve">-0.001</w:t>
            </w:r>
          </w:p>
        </w:tc>
        <w:tc>
          <w:tcPr/>
          <w:p>
            <w:pPr>
              <w:pStyle w:val="Compact"/>
              <w:jc w:val="left"/>
            </w:pPr>
            <w:r>
              <w:t xml:space="preserve">-0.001</w:t>
            </w:r>
          </w:p>
        </w:tc>
        <w:tc>
          <w:tcPr/>
          <w:p>
            <w:pPr>
              <w:pStyle w:val="Compact"/>
              <w:jc w:val="left"/>
            </w:pPr>
            <w:r>
              <w:t xml:space="preserve">0.002</w:t>
            </w:r>
          </w:p>
        </w:tc>
      </w:tr>
      <w:tr>
        <w:tc>
          <w:tcPr/>
          <w:p>
            <w:pPr>
              <w:pStyle w:val="Compact"/>
            </w:pPr>
          </w:p>
        </w:tc>
        <w:tc>
          <w:tcPr/>
          <w:p>
            <w:pPr>
              <w:pStyle w:val="Compact"/>
              <w:jc w:val="left"/>
            </w:pPr>
            <w:r>
              <w:t xml:space="preserve">(0.007)</w:t>
            </w:r>
          </w:p>
        </w:tc>
        <w:tc>
          <w:tcPr/>
          <w:p>
            <w:pPr>
              <w:pStyle w:val="Compact"/>
              <w:jc w:val="left"/>
            </w:pPr>
            <w:r>
              <w:t xml:space="preserve">(0.006)</w:t>
            </w:r>
          </w:p>
        </w:tc>
        <w:tc>
          <w:tcPr/>
          <w:p>
            <w:pPr>
              <w:pStyle w:val="Compact"/>
              <w:jc w:val="left"/>
            </w:pPr>
            <w:r>
              <w:t xml:space="preserve">(0.019)</w:t>
            </w:r>
          </w:p>
        </w:tc>
        <w:tc>
          <w:tcPr/>
          <w:p>
            <w:pPr>
              <w:pStyle w:val="Compact"/>
              <w:jc w:val="left"/>
            </w:pPr>
            <w:r>
              <w:t xml:space="preserve">(0.018)</w:t>
            </w:r>
          </w:p>
        </w:tc>
        <w:tc>
          <w:tcPr/>
          <w:p>
            <w:pPr>
              <w:pStyle w:val="Compact"/>
              <w:jc w:val="left"/>
            </w:pPr>
            <w:r>
              <w:t xml:space="preserve">(0.011)</w:t>
            </w:r>
          </w:p>
        </w:tc>
        <w:tc>
          <w:tcPr/>
          <w:p>
            <w:pPr>
              <w:pStyle w:val="Compact"/>
              <w:jc w:val="left"/>
            </w:pPr>
            <w:r>
              <w:t xml:space="preserve">(0.010)</w:t>
            </w:r>
          </w:p>
        </w:tc>
      </w:tr>
      <w:tr>
        <w:tc>
          <w:tcPr/>
          <w:p>
            <w:pPr>
              <w:pStyle w:val="Compact"/>
              <w:jc w:val="left"/>
            </w:pPr>
            <w:r>
              <w:t xml:space="preserve">Neither enrolled nor employed</w:t>
            </w:r>
          </w:p>
        </w:tc>
        <w:tc>
          <w:tcPr/>
          <w:p>
            <w:pPr>
              <w:pStyle w:val="Compact"/>
              <w:jc w:val="left"/>
            </w:pPr>
            <w:r>
              <w:t xml:space="preserve">0.009</w:t>
            </w:r>
          </w:p>
        </w:tc>
        <w:tc>
          <w:tcPr/>
          <w:p>
            <w:pPr>
              <w:pStyle w:val="Compact"/>
              <w:jc w:val="left"/>
            </w:pPr>
            <w:r>
              <w:t xml:space="preserve">0.005</w:t>
            </w:r>
          </w:p>
        </w:tc>
        <w:tc>
          <w:tcPr/>
          <w:p>
            <w:pPr>
              <w:pStyle w:val="Compact"/>
              <w:jc w:val="left"/>
            </w:pPr>
            <w:r>
              <w:t xml:space="preserve">0.030</w:t>
            </w:r>
            <w:r>
              <w:rPr>
                <w:vertAlign w:val="superscript"/>
              </w:rPr>
              <w:t xml:space="preserve">**</w:t>
            </w:r>
          </w:p>
        </w:tc>
        <w:tc>
          <w:tcPr/>
          <w:p>
            <w:pPr>
              <w:pStyle w:val="Compact"/>
              <w:jc w:val="left"/>
            </w:pPr>
            <w:r>
              <w:t xml:space="preserve">0.004</w:t>
            </w:r>
          </w:p>
        </w:tc>
        <w:tc>
          <w:tcPr/>
          <w:p>
            <w:pPr>
              <w:pStyle w:val="Compact"/>
              <w:jc w:val="left"/>
            </w:pPr>
            <w:r>
              <w:t xml:space="preserve">0.018</w:t>
            </w:r>
            <w:r>
              <w:rPr>
                <w:vertAlign w:val="superscript"/>
              </w:rPr>
              <w:t xml:space="preserve">***</w:t>
            </w:r>
          </w:p>
        </w:tc>
        <w:tc>
          <w:tcPr/>
          <w:p>
            <w:pPr>
              <w:pStyle w:val="Compact"/>
              <w:jc w:val="left"/>
            </w:pPr>
            <w:r>
              <w:t xml:space="preserve">0.005</w:t>
            </w:r>
          </w:p>
        </w:tc>
      </w:tr>
      <w:tr>
        <w:tc>
          <w:tcPr/>
          <w:p>
            <w:pPr>
              <w:pStyle w:val="Compact"/>
            </w:pPr>
          </w:p>
        </w:tc>
        <w:tc>
          <w:tcPr/>
          <w:p>
            <w:pPr>
              <w:pStyle w:val="Compact"/>
              <w:jc w:val="left"/>
            </w:pPr>
            <w:r>
              <w:t xml:space="preserve">(0.008)</w:t>
            </w:r>
          </w:p>
        </w:tc>
        <w:tc>
          <w:tcPr/>
          <w:p>
            <w:pPr>
              <w:pStyle w:val="Compact"/>
              <w:jc w:val="left"/>
            </w:pPr>
            <w:r>
              <w:t xml:space="preserve">(0.010)</w:t>
            </w:r>
          </w:p>
        </w:tc>
        <w:tc>
          <w:tcPr/>
          <w:p>
            <w:pPr>
              <w:pStyle w:val="Compact"/>
              <w:jc w:val="left"/>
            </w:pPr>
            <w:r>
              <w:t xml:space="preserve">(0.013)</w:t>
            </w:r>
          </w:p>
        </w:tc>
        <w:tc>
          <w:tcPr/>
          <w:p>
            <w:pPr>
              <w:pStyle w:val="Compact"/>
              <w:jc w:val="left"/>
            </w:pPr>
            <w:r>
              <w:t xml:space="preserve">(0.013)</w:t>
            </w:r>
          </w:p>
        </w:tc>
        <w:tc>
          <w:tcPr/>
          <w:p>
            <w:pPr>
              <w:pStyle w:val="Compact"/>
              <w:jc w:val="left"/>
            </w:pPr>
            <w:r>
              <w:t xml:space="preserve">(0.006)</w:t>
            </w:r>
          </w:p>
        </w:tc>
        <w:tc>
          <w:tcPr/>
          <w:p>
            <w:pPr>
              <w:pStyle w:val="Compact"/>
              <w:jc w:val="left"/>
            </w:pPr>
            <w:r>
              <w:t xml:space="preserve">(0.007)</w:t>
            </w:r>
          </w:p>
        </w:tc>
      </w:tr>
    </w:tbl>
    <w:p>
      <w:pPr>
        <w:pStyle w:val="BodyText"/>
      </w:pPr>
      <w:r>
        <w:t xml:space="preserve">Notes: Specification as in Table 24.</w:t>
      </w:r>
    </w:p>
    <w:p>
      <w:pPr>
        <w:pStyle w:val="TableCaption"/>
      </w:pPr>
      <w:r>
        <w:t xml:space="preserve">Table 29: Two-way fixed effects estimates for school–work status by race, school months</w:t>
      </w:r>
    </w:p>
    <w:tbl>
      <w:tblPr>
        <w:tblStyle w:val="Table"/>
        <w:tblW w:type="dxa" w:w="9360"/>
        <w:tblLook w:firstRow="0" w:lastRow="0" w:firstColumn="0" w:lastColumn="0" w:noHBand="0" w:noVBand="0" w:val="0000"/>
        <w:jc w:val="start"/>
        <w:tblCaption w:val="Table 29: Two-way fixed effects estimates for school–work status by race, school month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White</w:t>
            </w:r>
          </w:p>
        </w:tc>
        <w:tc>
          <w:tcPr/>
          <w:p>
            <w:pPr>
              <w:pStyle w:val="Compact"/>
              <w:jc w:val="left"/>
            </w:pPr>
            <w:r>
              <w:t xml:space="preserve">Non-white</w:t>
            </w:r>
          </w:p>
        </w:tc>
        <w:tc>
          <w:tcPr/>
          <w:p>
            <w:pPr>
              <w:pStyle w:val="Compact"/>
              <w:jc w:val="left"/>
            </w:pPr>
            <w:r>
              <w:t xml:space="preserve">White</w:t>
            </w:r>
          </w:p>
        </w:tc>
        <w:tc>
          <w:tcPr/>
          <w:p>
            <w:pPr>
              <w:pStyle w:val="Compact"/>
              <w:jc w:val="left"/>
            </w:pPr>
            <w:r>
              <w:t xml:space="preserve">Non-white</w:t>
            </w:r>
          </w:p>
        </w:tc>
        <w:tc>
          <w:tcPr/>
          <w:p>
            <w:pPr>
              <w:pStyle w:val="Compact"/>
              <w:jc w:val="left"/>
            </w:pPr>
            <w:r>
              <w:t xml:space="preserve">White</w:t>
            </w:r>
          </w:p>
        </w:tc>
        <w:tc>
          <w:tcPr/>
          <w:p>
            <w:pPr>
              <w:pStyle w:val="Compact"/>
              <w:jc w:val="left"/>
            </w:pPr>
            <w:r>
              <w:t xml:space="preserve">Non-white</w:t>
            </w:r>
          </w:p>
        </w:tc>
      </w:tr>
      <w:tr>
        <w:tc>
          <w:tcPr/>
          <w:p>
            <w:pPr>
              <w:pStyle w:val="Compact"/>
              <w:jc w:val="left"/>
            </w:pPr>
            <w:r>
              <w:t xml:space="preserve">Enrolled and employed</w:t>
            </w:r>
          </w:p>
        </w:tc>
        <w:tc>
          <w:tcPr/>
          <w:p>
            <w:pPr>
              <w:pStyle w:val="Compact"/>
              <w:jc w:val="left"/>
            </w:pPr>
            <w:r>
              <w:t xml:space="preserve">-0.012</w:t>
            </w:r>
          </w:p>
        </w:tc>
        <w:tc>
          <w:tcPr/>
          <w:p>
            <w:pPr>
              <w:pStyle w:val="Compact"/>
              <w:jc w:val="left"/>
            </w:pPr>
            <w:r>
              <w:t xml:space="preserve">-0.030</w:t>
            </w:r>
          </w:p>
        </w:tc>
        <w:tc>
          <w:tcPr/>
          <w:p>
            <w:pPr>
              <w:pStyle w:val="Compact"/>
              <w:jc w:val="left"/>
            </w:pPr>
            <w:r>
              <w:t xml:space="preserve">-0.024</w:t>
            </w:r>
          </w:p>
        </w:tc>
        <w:tc>
          <w:tcPr/>
          <w:p>
            <w:pPr>
              <w:pStyle w:val="Compact"/>
              <w:jc w:val="left"/>
            </w:pPr>
            <w:r>
              <w:t xml:space="preserve">0.009</w:t>
            </w:r>
          </w:p>
        </w:tc>
        <w:tc>
          <w:tcPr/>
          <w:p>
            <w:pPr>
              <w:pStyle w:val="Compact"/>
              <w:jc w:val="left"/>
            </w:pPr>
            <w:r>
              <w:t xml:space="preserve">-0.018</w:t>
            </w:r>
          </w:p>
        </w:tc>
        <w:tc>
          <w:tcPr/>
          <w:p>
            <w:pPr>
              <w:pStyle w:val="Compact"/>
              <w:jc w:val="left"/>
            </w:pPr>
            <w:r>
              <w:t xml:space="preserve">-0.012</w:t>
            </w:r>
          </w:p>
        </w:tc>
      </w:tr>
      <w:tr>
        <w:tc>
          <w:tcPr/>
          <w:p>
            <w:pPr>
              <w:pStyle w:val="Compact"/>
            </w:pPr>
          </w:p>
        </w:tc>
        <w:tc>
          <w:tcPr/>
          <w:p>
            <w:pPr>
              <w:pStyle w:val="Compact"/>
              <w:jc w:val="left"/>
            </w:pPr>
            <w:r>
              <w:t xml:space="preserve">(0.020)</w:t>
            </w:r>
          </w:p>
        </w:tc>
        <w:tc>
          <w:tcPr/>
          <w:p>
            <w:pPr>
              <w:pStyle w:val="Compact"/>
              <w:jc w:val="left"/>
            </w:pPr>
            <w:r>
              <w:t xml:space="preserve">(0.019)</w:t>
            </w:r>
          </w:p>
        </w:tc>
        <w:tc>
          <w:tcPr/>
          <w:p>
            <w:pPr>
              <w:pStyle w:val="Compact"/>
              <w:jc w:val="left"/>
            </w:pPr>
            <w:r>
              <w:t xml:space="preserve">(0.016)</w:t>
            </w:r>
          </w:p>
        </w:tc>
        <w:tc>
          <w:tcPr/>
          <w:p>
            <w:pPr>
              <w:pStyle w:val="Compact"/>
              <w:jc w:val="left"/>
            </w:pPr>
            <w:r>
              <w:t xml:space="preserve">(0.012)</w:t>
            </w:r>
          </w:p>
        </w:tc>
        <w:tc>
          <w:tcPr/>
          <w:p>
            <w:pPr>
              <w:pStyle w:val="Compact"/>
              <w:jc w:val="left"/>
            </w:pPr>
            <w:r>
              <w:t xml:space="preserve">(0.014)</w:t>
            </w:r>
          </w:p>
        </w:tc>
        <w:tc>
          <w:tcPr/>
          <w:p>
            <w:pPr>
              <w:pStyle w:val="Compact"/>
              <w:jc w:val="left"/>
            </w:pPr>
            <w:r>
              <w:t xml:space="preserve">(0.010)</w:t>
            </w:r>
          </w:p>
        </w:tc>
      </w:tr>
      <w:tr>
        <w:tc>
          <w:tcPr/>
          <w:p>
            <w:pPr>
              <w:pStyle w:val="Compact"/>
              <w:jc w:val="left"/>
            </w:pPr>
            <w:r>
              <w:t xml:space="preserve">Enrolled only</w:t>
            </w:r>
          </w:p>
        </w:tc>
        <w:tc>
          <w:tcPr/>
          <w:p>
            <w:pPr>
              <w:pStyle w:val="Compact"/>
              <w:jc w:val="left"/>
            </w:pPr>
            <w:r>
              <w:t xml:space="preserve">0.002</w:t>
            </w:r>
          </w:p>
        </w:tc>
        <w:tc>
          <w:tcPr/>
          <w:p>
            <w:pPr>
              <w:pStyle w:val="Compact"/>
              <w:jc w:val="left"/>
            </w:pPr>
            <w:r>
              <w:t xml:space="preserve">0.028</w:t>
            </w:r>
          </w:p>
        </w:tc>
        <w:tc>
          <w:tcPr/>
          <w:p>
            <w:pPr>
              <w:pStyle w:val="Compact"/>
              <w:jc w:val="left"/>
            </w:pPr>
            <w:r>
              <w:t xml:space="preserve">-0.011</w:t>
            </w:r>
          </w:p>
        </w:tc>
        <w:tc>
          <w:tcPr/>
          <w:p>
            <w:pPr>
              <w:pStyle w:val="Compact"/>
              <w:jc w:val="left"/>
            </w:pPr>
            <w:r>
              <w:t xml:space="preserve">-0.007</w:t>
            </w:r>
          </w:p>
        </w:tc>
        <w:tc>
          <w:tcPr/>
          <w:p>
            <w:pPr>
              <w:pStyle w:val="Compact"/>
              <w:jc w:val="left"/>
            </w:pPr>
            <w:r>
              <w:t xml:space="preserve">-0.005</w:t>
            </w:r>
          </w:p>
        </w:tc>
        <w:tc>
          <w:tcPr/>
          <w:p>
            <w:pPr>
              <w:pStyle w:val="Compact"/>
              <w:jc w:val="left"/>
            </w:pPr>
            <w:r>
              <w:t xml:space="preserve">0.010</w:t>
            </w:r>
          </w:p>
        </w:tc>
      </w:tr>
      <w:tr>
        <w:tc>
          <w:tcPr/>
          <w:p>
            <w:pPr>
              <w:pStyle w:val="Compact"/>
            </w:pPr>
          </w:p>
        </w:tc>
        <w:tc>
          <w:tcPr/>
          <w:p>
            <w:pPr>
              <w:pStyle w:val="Compact"/>
              <w:jc w:val="left"/>
            </w:pPr>
            <w:r>
              <w:t xml:space="preserve">(0.019)</w:t>
            </w:r>
          </w:p>
        </w:tc>
        <w:tc>
          <w:tcPr/>
          <w:p>
            <w:pPr>
              <w:pStyle w:val="Compact"/>
              <w:jc w:val="left"/>
            </w:pPr>
            <w:r>
              <w:t xml:space="preserve">(0.027)</w:t>
            </w:r>
          </w:p>
        </w:tc>
        <w:tc>
          <w:tcPr/>
          <w:p>
            <w:pPr>
              <w:pStyle w:val="Compact"/>
              <w:jc w:val="left"/>
            </w:pPr>
            <w:r>
              <w:t xml:space="preserve">(0.021)</w:t>
            </w:r>
          </w:p>
        </w:tc>
        <w:tc>
          <w:tcPr/>
          <w:p>
            <w:pPr>
              <w:pStyle w:val="Compact"/>
              <w:jc w:val="left"/>
            </w:pPr>
            <w:r>
              <w:t xml:space="preserve">(0.020)</w:t>
            </w:r>
          </w:p>
        </w:tc>
        <w:tc>
          <w:tcPr/>
          <w:p>
            <w:pPr>
              <w:pStyle w:val="Compact"/>
              <w:jc w:val="left"/>
            </w:pPr>
            <w:r>
              <w:t xml:space="preserve">(0.017)</w:t>
            </w:r>
          </w:p>
        </w:tc>
        <w:tc>
          <w:tcPr/>
          <w:p>
            <w:pPr>
              <w:pStyle w:val="Compact"/>
              <w:jc w:val="left"/>
            </w:pPr>
            <w:r>
              <w:t xml:space="preserve">(0.023)</w:t>
            </w:r>
          </w:p>
        </w:tc>
      </w:tr>
      <w:tr>
        <w:tc>
          <w:tcPr/>
          <w:p>
            <w:pPr>
              <w:pStyle w:val="Compact"/>
              <w:jc w:val="left"/>
            </w:pPr>
            <w:r>
              <w:t xml:space="preserve">Employed only</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-0.005</w:t>
            </w:r>
          </w:p>
        </w:tc>
        <w:tc>
          <w:tcPr/>
          <w:p>
            <w:pPr>
              <w:pStyle w:val="Compact"/>
              <w:jc w:val="left"/>
            </w:pPr>
            <w:r>
              <w:t xml:space="preserve">-0.003</w:t>
            </w:r>
          </w:p>
        </w:tc>
        <w:tc>
          <w:tcPr/>
          <w:p>
            <w:pPr>
              <w:pStyle w:val="Compact"/>
              <w:jc w:val="left"/>
            </w:pPr>
            <w:r>
              <w:t xml:space="preserve">-0.001</w:t>
            </w:r>
          </w:p>
        </w:tc>
        <w:tc>
          <w:tcPr/>
          <w:p>
            <w:pPr>
              <w:pStyle w:val="Compact"/>
              <w:jc w:val="left"/>
            </w:pPr>
            <w:r>
              <w:t xml:space="preserve">0.001</w:t>
            </w:r>
          </w:p>
        </w:tc>
      </w:tr>
      <w:tr>
        <w:tc>
          <w:tcPr/>
          <w:p>
            <w:pPr>
              <w:pStyle w:val="Compact"/>
            </w:pPr>
          </w:p>
        </w:tc>
        <w:tc>
          <w:tcPr/>
          <w:p>
            <w:pPr>
              <w:pStyle w:val="Compact"/>
              <w:jc w:val="left"/>
            </w:pPr>
            <w:r>
              <w:t xml:space="preserve">(0.006)</w:t>
            </w:r>
          </w:p>
        </w:tc>
        <w:tc>
          <w:tcPr/>
          <w:p>
            <w:pPr>
              <w:pStyle w:val="Compact"/>
              <w:jc w:val="left"/>
            </w:pPr>
            <w:r>
              <w:t xml:space="preserve">(0.009)</w:t>
            </w:r>
          </w:p>
        </w:tc>
        <w:tc>
          <w:tcPr/>
          <w:p>
            <w:pPr>
              <w:pStyle w:val="Compact"/>
              <w:jc w:val="left"/>
            </w:pPr>
            <w:r>
              <w:t xml:space="preserve">(0.016)</w:t>
            </w:r>
          </w:p>
        </w:tc>
        <w:tc>
          <w:tcPr/>
          <w:p>
            <w:pPr>
              <w:pStyle w:val="Compact"/>
              <w:jc w:val="left"/>
            </w:pPr>
            <w:r>
              <w:t xml:space="preserve">(0.025)</w:t>
            </w:r>
          </w:p>
        </w:tc>
        <w:tc>
          <w:tcPr/>
          <w:p>
            <w:pPr>
              <w:pStyle w:val="Compact"/>
              <w:jc w:val="left"/>
            </w:pPr>
            <w:r>
              <w:t xml:space="preserve">(0.009)</w:t>
            </w:r>
          </w:p>
        </w:tc>
        <w:tc>
          <w:tcPr/>
          <w:p>
            <w:pPr>
              <w:pStyle w:val="Compact"/>
              <w:jc w:val="left"/>
            </w:pPr>
            <w:r>
              <w:t xml:space="preserve">(0.015)</w:t>
            </w:r>
          </w:p>
        </w:tc>
      </w:tr>
      <w:tr>
        <w:tc>
          <w:tcPr/>
          <w:p>
            <w:pPr>
              <w:pStyle w:val="Compact"/>
              <w:jc w:val="left"/>
            </w:pPr>
            <w:r>
              <w:t xml:space="preserve">Neither enrolled nor employed</w:t>
            </w:r>
          </w:p>
        </w:tc>
        <w:tc>
          <w:tcPr/>
          <w:p>
            <w:pPr>
              <w:pStyle w:val="Compact"/>
              <w:jc w:val="left"/>
            </w:pPr>
            <w:r>
              <w:t xml:space="preserve">0.009</w:t>
            </w:r>
            <w:r>
              <w:rPr>
                <w:vertAlign w:val="superscript"/>
              </w:rPr>
              <w:t xml:space="preserve">*</w:t>
            </w:r>
          </w:p>
        </w:tc>
        <w:tc>
          <w:tcPr/>
          <w:p>
            <w:pPr>
              <w:pStyle w:val="Compact"/>
              <w:jc w:val="left"/>
            </w:pPr>
            <w:r>
              <w:t xml:space="preserve">0.002</w:t>
            </w:r>
          </w:p>
        </w:tc>
        <w:tc>
          <w:tcPr/>
          <w:p>
            <w:pPr>
              <w:pStyle w:val="Compact"/>
              <w:jc w:val="left"/>
            </w:pPr>
            <w:r>
              <w:t xml:space="preserve">0.040</w:t>
            </w:r>
            <w:r>
              <w:rPr>
                <w:vertAlign w:val="superscript"/>
              </w:rPr>
              <w:t xml:space="preserve">***</w:t>
            </w:r>
          </w:p>
        </w:tc>
        <w:tc>
          <w:tcPr/>
          <w:p>
            <w:pPr>
              <w:pStyle w:val="Compact"/>
              <w:jc w:val="left"/>
            </w:pPr>
            <w:r>
              <w:t xml:space="preserve">0.000</w:t>
            </w:r>
          </w:p>
        </w:tc>
        <w:tc>
          <w:tcPr/>
          <w:p>
            <w:pPr>
              <w:pStyle w:val="Compact"/>
              <w:jc w:val="left"/>
            </w:pPr>
            <w:r>
              <w:t xml:space="preserve">0.024</w:t>
            </w:r>
            <w:r>
              <w:rPr>
                <w:vertAlign w:val="superscript"/>
              </w:rPr>
              <w:t xml:space="preserve">***</w:t>
            </w:r>
          </w:p>
        </w:tc>
        <w:tc>
          <w:tcPr/>
          <w:p>
            <w:pPr>
              <w:pStyle w:val="Compact"/>
              <w:jc w:val="left"/>
            </w:pPr>
            <w:r>
              <w:t xml:space="preserve">0.001</w:t>
            </w:r>
          </w:p>
        </w:tc>
      </w:tr>
      <w:tr>
        <w:tc>
          <w:tcPr/>
          <w:p>
            <w:pPr>
              <w:pStyle w:val="Compact"/>
            </w:pPr>
          </w:p>
        </w:tc>
        <w:tc>
          <w:tcPr/>
          <w:p>
            <w:pPr>
              <w:pStyle w:val="Compact"/>
              <w:jc w:val="left"/>
            </w:pPr>
            <w:r>
              <w:t xml:space="preserve">(0.005)</w:t>
            </w:r>
          </w:p>
        </w:tc>
        <w:tc>
          <w:tcPr/>
          <w:p>
            <w:pPr>
              <w:pStyle w:val="Compact"/>
              <w:jc w:val="left"/>
            </w:pPr>
            <w:r>
              <w:t xml:space="preserve">(0.014)</w:t>
            </w:r>
          </w:p>
        </w:tc>
        <w:tc>
          <w:tcPr/>
          <w:p>
            <w:pPr>
              <w:pStyle w:val="Compact"/>
              <w:jc w:val="left"/>
            </w:pPr>
            <w:r>
              <w:t xml:space="preserve">(0.010)</w:t>
            </w:r>
          </w:p>
        </w:tc>
        <w:tc>
          <w:tcPr/>
          <w:p>
            <w:pPr>
              <w:pStyle w:val="Compact"/>
              <w:jc w:val="left"/>
            </w:pPr>
            <w:r>
              <w:t xml:space="preserve">(0.007)</w:t>
            </w:r>
          </w:p>
        </w:tc>
        <w:tc>
          <w:tcPr/>
          <w:p>
            <w:pPr>
              <w:pStyle w:val="Compact"/>
              <w:jc w:val="left"/>
            </w:pPr>
            <w:r>
              <w:t xml:space="preserve">(0.005)</w:t>
            </w:r>
          </w:p>
        </w:tc>
        <w:tc>
          <w:tcPr/>
          <w:p>
            <w:pPr>
              <w:pStyle w:val="Compact"/>
              <w:jc w:val="left"/>
            </w:pPr>
            <w:r>
              <w:t xml:space="preserve">(0.008)</w:t>
            </w:r>
          </w:p>
        </w:tc>
      </w:tr>
    </w:tbl>
    <w:p>
      <w:pPr>
        <w:pStyle w:val="BodyText"/>
      </w:pPr>
      <w:r>
        <w:t xml:space="preserve">Notes: White: non-Hispanic white; Non-white: Black, Hispanic and other. Specification as in Table 24.</w:t>
      </w:r>
    </w:p>
    <w:p>
      <w:pPr>
        <w:pStyle w:val="TableCaption"/>
      </w:pPr>
      <w:r>
        <w:t xml:space="preserve">Table 30: Two-way fixed effects estimates for wages and earnings by sex, school months</w:t>
      </w:r>
    </w:p>
    <w:tbl>
      <w:tblPr>
        <w:tblStyle w:val="Table"/>
        <w:tblW w:type="dxa" w:w="9360"/>
        <w:tblLook w:firstRow="0" w:lastRow="0" w:firstColumn="0" w:lastColumn="0" w:noHBand="0" w:noVBand="0" w:val="0000"/>
        <w:jc w:val="start"/>
        <w:tblCaption w:val="Table 30: Two-way fixed effects estimates for wages and earnings by sex, school month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Girls</w:t>
            </w:r>
          </w:p>
        </w:tc>
        <w:tc>
          <w:tcPr/>
          <w:p>
            <w:pPr>
              <w:pStyle w:val="Compact"/>
              <w:jc w:val="left"/>
            </w:pPr>
            <w:r>
              <w:t xml:space="preserve">Boys</w:t>
            </w:r>
          </w:p>
        </w:tc>
        <w:tc>
          <w:tcPr/>
          <w:p>
            <w:pPr>
              <w:pStyle w:val="Compact"/>
              <w:jc w:val="left"/>
            </w:pPr>
            <w:r>
              <w:t xml:space="preserve">Girls</w:t>
            </w:r>
          </w:p>
        </w:tc>
        <w:tc>
          <w:tcPr/>
          <w:p>
            <w:pPr>
              <w:pStyle w:val="Compact"/>
              <w:jc w:val="left"/>
            </w:pPr>
            <w:r>
              <w:t xml:space="preserve">Boys</w:t>
            </w:r>
          </w:p>
        </w:tc>
        <w:tc>
          <w:tcPr/>
          <w:p>
            <w:pPr>
              <w:pStyle w:val="Compact"/>
              <w:jc w:val="left"/>
            </w:pPr>
            <w:r>
              <w:t xml:space="preserve">Girls</w:t>
            </w:r>
          </w:p>
        </w:tc>
        <w:tc>
          <w:tcPr/>
          <w:p>
            <w:pPr>
              <w:pStyle w:val="Compact"/>
              <w:jc w:val="left"/>
            </w:pPr>
            <w:r>
              <w:t xml:space="preserve">Boys</w:t>
            </w:r>
          </w:p>
        </w:tc>
      </w:tr>
      <w:tr>
        <w:tc>
          <w:tcPr/>
          <w:p>
            <w:pPr>
              <w:pStyle w:val="Compact"/>
              <w:jc w:val="left"/>
            </w:pPr>
            <w:r>
              <w:t xml:space="preserve">Log hourly wage, hourly paid</w:t>
            </w:r>
          </w:p>
        </w:tc>
        <w:tc>
          <w:tcPr/>
          <w:p>
            <w:pPr>
              <w:pStyle w:val="Compact"/>
              <w:jc w:val="left"/>
            </w:pPr>
            <w:r>
              <w:t xml:space="preserve">0.214</w:t>
            </w:r>
            <w:r>
              <w:rPr>
                <w:vertAlign w:val="superscript"/>
              </w:rPr>
              <w:t xml:space="preserve">***</w:t>
            </w:r>
          </w:p>
        </w:tc>
        <w:tc>
          <w:tcPr/>
          <w:p>
            <w:pPr>
              <w:pStyle w:val="Compact"/>
              <w:jc w:val="left"/>
            </w:pPr>
            <w:r>
              <w:t xml:space="preserve">0.226</w:t>
            </w:r>
            <w:r>
              <w:rPr>
                <w:vertAlign w:val="superscript"/>
              </w:rPr>
              <w:t xml:space="preserve">***</w:t>
            </w:r>
          </w:p>
        </w:tc>
        <w:tc>
          <w:tcPr/>
          <w:p>
            <w:pPr>
              <w:pStyle w:val="Compact"/>
              <w:jc w:val="left"/>
            </w:pPr>
            <w:r>
              <w:t xml:space="preserve">0.179</w:t>
            </w:r>
            <w:r>
              <w:rPr>
                <w:vertAlign w:val="superscript"/>
              </w:rPr>
              <w:t xml:space="preserve">***</w:t>
            </w:r>
          </w:p>
        </w:tc>
        <w:tc>
          <w:tcPr/>
          <w:p>
            <w:pPr>
              <w:pStyle w:val="Compact"/>
              <w:jc w:val="left"/>
            </w:pPr>
            <w:r>
              <w:t xml:space="preserve">0.154</w:t>
            </w:r>
            <w:r>
              <w:rPr>
                <w:vertAlign w:val="superscript"/>
              </w:rPr>
              <w:t xml:space="preserve">***</w:t>
            </w:r>
          </w:p>
        </w:tc>
        <w:tc>
          <w:tcPr/>
          <w:p>
            <w:pPr>
              <w:pStyle w:val="Compact"/>
              <w:jc w:val="left"/>
            </w:pPr>
            <w:r>
              <w:t xml:space="preserve">0.197</w:t>
            </w:r>
            <w:r>
              <w:rPr>
                <w:vertAlign w:val="superscript"/>
              </w:rPr>
              <w:t xml:space="preserve">***</w:t>
            </w:r>
          </w:p>
        </w:tc>
        <w:tc>
          <w:tcPr/>
          <w:p>
            <w:pPr>
              <w:pStyle w:val="Compact"/>
              <w:jc w:val="left"/>
            </w:pPr>
            <w:r>
              <w:t xml:space="preserve">0.185</w:t>
            </w:r>
            <w:r>
              <w:rPr>
                <w:vertAlign w:val="superscript"/>
              </w:rPr>
              <w:t xml:space="preserve">***</w:t>
            </w:r>
          </w:p>
        </w:tc>
      </w:tr>
      <w:tr>
        <w:tc>
          <w:tcPr/>
          <w:p>
            <w:pPr>
              <w:pStyle w:val="Compact"/>
            </w:pPr>
          </w:p>
        </w:tc>
        <w:tc>
          <w:tcPr/>
          <w:p>
            <w:pPr>
              <w:pStyle w:val="Compact"/>
              <w:jc w:val="left"/>
            </w:pPr>
            <w:r>
              <w:t xml:space="preserve">(0.033)</w:t>
            </w:r>
          </w:p>
        </w:tc>
        <w:tc>
          <w:tcPr/>
          <w:p>
            <w:pPr>
              <w:pStyle w:val="Compact"/>
              <w:jc w:val="left"/>
            </w:pPr>
            <w:r>
              <w:t xml:space="preserve">(0.031)</w:t>
            </w:r>
          </w:p>
        </w:tc>
        <w:tc>
          <w:tcPr/>
          <w:p>
            <w:pPr>
              <w:pStyle w:val="Compact"/>
              <w:jc w:val="left"/>
            </w:pPr>
            <w:r>
              <w:t xml:space="preserve">(0.026)</w:t>
            </w:r>
          </w:p>
        </w:tc>
        <w:tc>
          <w:tcPr/>
          <w:p>
            <w:pPr>
              <w:pStyle w:val="Compact"/>
              <w:jc w:val="left"/>
            </w:pPr>
            <w:r>
              <w:t xml:space="preserve">(0.028)</w:t>
            </w:r>
          </w:p>
        </w:tc>
        <w:tc>
          <w:tcPr/>
          <w:p>
            <w:pPr>
              <w:pStyle w:val="Compact"/>
              <w:jc w:val="left"/>
            </w:pPr>
            <w:r>
              <w:t xml:space="preserve">(0.021)</w:t>
            </w:r>
          </w:p>
        </w:tc>
        <w:tc>
          <w:tcPr/>
          <w:p>
            <w:pPr>
              <w:pStyle w:val="Compact"/>
              <w:jc w:val="left"/>
            </w:pPr>
            <w:r>
              <w:t xml:space="preserve">(0.022)</w:t>
            </w:r>
          </w:p>
        </w:tc>
      </w:tr>
      <w:tr>
        <w:tc>
          <w:tcPr/>
          <w:p>
            <w:pPr>
              <w:pStyle w:val="Compact"/>
              <w:jc w:val="left"/>
            </w:pPr>
            <w:r>
              <w:t xml:space="preserve">Log weekly earnings</w:t>
            </w:r>
          </w:p>
        </w:tc>
        <w:tc>
          <w:tcPr/>
          <w:p>
            <w:pPr>
              <w:pStyle w:val="Compact"/>
              <w:jc w:val="left"/>
            </w:pPr>
            <w:r>
              <w:t xml:space="preserve">0.142</w:t>
            </w:r>
            <w:r>
              <w:rPr>
                <w:vertAlign w:val="superscript"/>
              </w:rPr>
              <w:t xml:space="preserve">*</w:t>
            </w:r>
          </w:p>
        </w:tc>
        <w:tc>
          <w:tcPr/>
          <w:p>
            <w:pPr>
              <w:pStyle w:val="Compact"/>
              <w:jc w:val="left"/>
            </w:pPr>
            <w:r>
              <w:t xml:space="preserve">0.235</w:t>
            </w:r>
            <w:r>
              <w:rPr>
                <w:vertAlign w:val="superscript"/>
              </w:rPr>
              <w:t xml:space="preserve">***</w:t>
            </w:r>
          </w:p>
        </w:tc>
        <w:tc>
          <w:tcPr/>
          <w:p>
            <w:pPr>
              <w:pStyle w:val="Compact"/>
              <w:jc w:val="left"/>
            </w:pPr>
            <w:r>
              <w:t xml:space="preserve">0.235</w:t>
            </w:r>
            <w:r>
              <w:rPr>
                <w:vertAlign w:val="superscript"/>
              </w:rPr>
              <w:t xml:space="preserve">***</w:t>
            </w:r>
          </w:p>
        </w:tc>
        <w:tc>
          <w:tcPr/>
          <w:p>
            <w:pPr>
              <w:pStyle w:val="Compact"/>
              <w:jc w:val="left"/>
            </w:pPr>
            <w:r>
              <w:t xml:space="preserve">0.107</w:t>
            </w:r>
            <w:r>
              <w:rPr>
                <w:vertAlign w:val="superscript"/>
              </w:rPr>
              <w:t xml:space="preserve">*</w:t>
            </w:r>
          </w:p>
        </w:tc>
        <w:tc>
          <w:tcPr/>
          <w:p>
            <w:pPr>
              <w:pStyle w:val="Compact"/>
              <w:jc w:val="left"/>
            </w:pPr>
            <w:r>
              <w:t xml:space="preserve">0.210</w:t>
            </w:r>
            <w:r>
              <w:rPr>
                <w:vertAlign w:val="superscript"/>
              </w:rPr>
              <w:t xml:space="preserve">***</w:t>
            </w:r>
          </w:p>
        </w:tc>
        <w:tc>
          <w:tcPr/>
          <w:p>
            <w:pPr>
              <w:pStyle w:val="Compact"/>
              <w:jc w:val="left"/>
            </w:pPr>
            <w:r>
              <w:t xml:space="preserve">0.159</w:t>
            </w:r>
            <w:r>
              <w:rPr>
                <w:vertAlign w:val="superscript"/>
              </w:rPr>
              <w:t xml:space="preserve">***</w:t>
            </w:r>
          </w:p>
        </w:tc>
      </w:tr>
      <w:tr>
        <w:tc>
          <w:tcPr/>
          <w:p>
            <w:pPr>
              <w:pStyle w:val="Compact"/>
            </w:pPr>
          </w:p>
        </w:tc>
        <w:tc>
          <w:tcPr/>
          <w:p>
            <w:pPr>
              <w:pStyle w:val="Compact"/>
              <w:jc w:val="left"/>
            </w:pPr>
            <w:r>
              <w:t xml:space="preserve">(0.076)</w:t>
            </w:r>
          </w:p>
        </w:tc>
        <w:tc>
          <w:tcPr/>
          <w:p>
            <w:pPr>
              <w:pStyle w:val="Compact"/>
              <w:jc w:val="left"/>
            </w:pPr>
            <w:r>
              <w:t xml:space="preserve">(0.075)</w:t>
            </w:r>
          </w:p>
        </w:tc>
        <w:tc>
          <w:tcPr/>
          <w:p>
            <w:pPr>
              <w:pStyle w:val="Compact"/>
              <w:jc w:val="left"/>
            </w:pPr>
            <w:r>
              <w:t xml:space="preserve">(0.080)</w:t>
            </w:r>
          </w:p>
        </w:tc>
        <w:tc>
          <w:tcPr/>
          <w:p>
            <w:pPr>
              <w:pStyle w:val="Compact"/>
              <w:jc w:val="left"/>
            </w:pPr>
            <w:r>
              <w:t xml:space="preserve">(0.061)</w:t>
            </w:r>
          </w:p>
        </w:tc>
        <w:tc>
          <w:tcPr/>
          <w:p>
            <w:pPr>
              <w:pStyle w:val="Compact"/>
              <w:jc w:val="left"/>
            </w:pPr>
            <w:r>
              <w:t xml:space="preserve">(0.067)</w:t>
            </w:r>
          </w:p>
        </w:tc>
        <w:tc>
          <w:tcPr/>
          <w:p>
            <w:pPr>
              <w:pStyle w:val="Compact"/>
              <w:jc w:val="left"/>
            </w:pPr>
            <w:r>
              <w:t xml:space="preserve">(0.050)</w:t>
            </w:r>
          </w:p>
        </w:tc>
      </w:tr>
    </w:tbl>
    <w:p>
      <w:pPr>
        <w:pStyle w:val="BodyText"/>
      </w:pPr>
      <w:r>
        <w:t xml:space="preserve">Notes: Outgoing rotation groups, earnings weights. Specification as in Table 24.</w:t>
      </w:r>
    </w:p>
    <w:p>
      <w:pPr>
        <w:pStyle w:val="TableCaption"/>
      </w:pPr>
      <w:r>
        <w:t xml:space="preserve">Table 31: Two-way fixed effects estimates for wages and earnings by race, school months</w:t>
      </w:r>
    </w:p>
    <w:tbl>
      <w:tblPr>
        <w:tblStyle w:val="Table"/>
        <w:tblW w:type="dxa" w:w="9360"/>
        <w:tblLook w:firstRow="0" w:lastRow="0" w:firstColumn="0" w:lastColumn="0" w:noHBand="0" w:noVBand="0" w:val="0000"/>
        <w:jc w:val="start"/>
        <w:tblCaption w:val="Table 31: Two-way fixed effects estimates for wages and earnings by race, school month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White</w:t>
            </w:r>
          </w:p>
        </w:tc>
        <w:tc>
          <w:tcPr/>
          <w:p>
            <w:pPr>
              <w:pStyle w:val="Compact"/>
              <w:jc w:val="left"/>
            </w:pPr>
            <w:r>
              <w:t xml:space="preserve">Non-white</w:t>
            </w:r>
          </w:p>
        </w:tc>
        <w:tc>
          <w:tcPr/>
          <w:p>
            <w:pPr>
              <w:pStyle w:val="Compact"/>
              <w:jc w:val="left"/>
            </w:pPr>
            <w:r>
              <w:t xml:space="preserve">White</w:t>
            </w:r>
          </w:p>
        </w:tc>
        <w:tc>
          <w:tcPr/>
          <w:p>
            <w:pPr>
              <w:pStyle w:val="Compact"/>
              <w:jc w:val="left"/>
            </w:pPr>
            <w:r>
              <w:t xml:space="preserve">Non-white</w:t>
            </w:r>
          </w:p>
        </w:tc>
        <w:tc>
          <w:tcPr/>
          <w:p>
            <w:pPr>
              <w:pStyle w:val="Compact"/>
              <w:jc w:val="left"/>
            </w:pPr>
            <w:r>
              <w:t xml:space="preserve">White</w:t>
            </w:r>
          </w:p>
        </w:tc>
        <w:tc>
          <w:tcPr/>
          <w:p>
            <w:pPr>
              <w:pStyle w:val="Compact"/>
              <w:jc w:val="left"/>
            </w:pPr>
            <w:r>
              <w:t xml:space="preserve">Non-white</w:t>
            </w:r>
          </w:p>
        </w:tc>
      </w:tr>
      <w:tr>
        <w:tc>
          <w:tcPr/>
          <w:p>
            <w:pPr>
              <w:pStyle w:val="Compact"/>
              <w:jc w:val="left"/>
            </w:pPr>
            <w:r>
              <w:t xml:space="preserve">Log hourly wage, hourly paid</w:t>
            </w:r>
          </w:p>
        </w:tc>
        <w:tc>
          <w:tcPr/>
          <w:p>
            <w:pPr>
              <w:pStyle w:val="Compact"/>
              <w:jc w:val="left"/>
            </w:pPr>
            <w:r>
              <w:t xml:space="preserve">0.254</w:t>
            </w:r>
            <w:r>
              <w:rPr>
                <w:vertAlign w:val="superscript"/>
              </w:rPr>
              <w:t xml:space="preserve">***</w:t>
            </w:r>
          </w:p>
        </w:tc>
        <w:tc>
          <w:tcPr/>
          <w:p>
            <w:pPr>
              <w:pStyle w:val="Compact"/>
              <w:jc w:val="left"/>
            </w:pPr>
            <w:r>
              <w:t xml:space="preserve">0.149</w:t>
            </w:r>
            <w:r>
              <w:rPr>
                <w:vertAlign w:val="superscript"/>
              </w:rPr>
              <w:t xml:space="preserve">***</w:t>
            </w:r>
          </w:p>
        </w:tc>
        <w:tc>
          <w:tcPr/>
          <w:p>
            <w:pPr>
              <w:pStyle w:val="Compact"/>
              <w:jc w:val="left"/>
            </w:pPr>
            <w:r>
              <w:t xml:space="preserve">0.172</w:t>
            </w:r>
            <w:r>
              <w:rPr>
                <w:vertAlign w:val="superscript"/>
              </w:rPr>
              <w:t xml:space="preserve">***</w:t>
            </w:r>
          </w:p>
        </w:tc>
        <w:tc>
          <w:tcPr/>
          <w:p>
            <w:pPr>
              <w:pStyle w:val="Compact"/>
              <w:jc w:val="left"/>
            </w:pPr>
            <w:r>
              <w:t xml:space="preserve">0.164</w:t>
            </w:r>
            <w:r>
              <w:rPr>
                <w:vertAlign w:val="superscript"/>
              </w:rPr>
              <w:t xml:space="preserve">***</w:t>
            </w:r>
          </w:p>
        </w:tc>
        <w:tc>
          <w:tcPr/>
          <w:p>
            <w:pPr>
              <w:pStyle w:val="Compact"/>
              <w:jc w:val="left"/>
            </w:pPr>
            <w:r>
              <w:t xml:space="preserve">0.213</w:t>
            </w:r>
            <w:r>
              <w:rPr>
                <w:vertAlign w:val="superscript"/>
              </w:rPr>
              <w:t xml:space="preserve">***</w:t>
            </w:r>
          </w:p>
        </w:tc>
        <w:tc>
          <w:tcPr/>
          <w:p>
            <w:pPr>
              <w:pStyle w:val="Compact"/>
              <w:jc w:val="left"/>
            </w:pPr>
            <w:r>
              <w:t xml:space="preserve">0.168</w:t>
            </w:r>
            <w:r>
              <w:rPr>
                <w:vertAlign w:val="superscript"/>
              </w:rPr>
              <w:t xml:space="preserve">***</w:t>
            </w:r>
          </w:p>
        </w:tc>
      </w:tr>
      <w:tr>
        <w:tc>
          <w:tcPr/>
          <w:p>
            <w:pPr>
              <w:pStyle w:val="Compact"/>
            </w:pPr>
          </w:p>
        </w:tc>
        <w:tc>
          <w:tcPr/>
          <w:p>
            <w:pPr>
              <w:pStyle w:val="Compact"/>
              <w:jc w:val="left"/>
            </w:pPr>
            <w:r>
              <w:t xml:space="preserve">(0.027)</w:t>
            </w:r>
          </w:p>
        </w:tc>
        <w:tc>
          <w:tcPr/>
          <w:p>
            <w:pPr>
              <w:pStyle w:val="Compact"/>
              <w:jc w:val="left"/>
            </w:pPr>
            <w:r>
              <w:t xml:space="preserve">(0.045)</w:t>
            </w:r>
          </w:p>
        </w:tc>
        <w:tc>
          <w:tcPr/>
          <w:p>
            <w:pPr>
              <w:pStyle w:val="Compact"/>
              <w:jc w:val="left"/>
            </w:pPr>
            <w:r>
              <w:t xml:space="preserve">(0.024)</w:t>
            </w:r>
          </w:p>
        </w:tc>
        <w:tc>
          <w:tcPr/>
          <w:p>
            <w:pPr>
              <w:pStyle w:val="Compact"/>
              <w:jc w:val="left"/>
            </w:pPr>
            <w:r>
              <w:t xml:space="preserve">(0.027)</w:t>
            </w:r>
          </w:p>
        </w:tc>
        <w:tc>
          <w:tcPr/>
          <w:p>
            <w:pPr>
              <w:pStyle w:val="Compact"/>
              <w:jc w:val="left"/>
            </w:pPr>
            <w:r>
              <w:t xml:space="preserve">(0.018)</w:t>
            </w:r>
          </w:p>
        </w:tc>
        <w:tc>
          <w:tcPr/>
          <w:p>
            <w:pPr>
              <w:pStyle w:val="Compact"/>
              <w:jc w:val="left"/>
            </w:pPr>
            <w:r>
              <w:t xml:space="preserve">(0.026)</w:t>
            </w:r>
          </w:p>
        </w:tc>
      </w:tr>
      <w:tr>
        <w:tc>
          <w:tcPr/>
          <w:p>
            <w:pPr>
              <w:pStyle w:val="Compact"/>
              <w:jc w:val="left"/>
            </w:pPr>
            <w:r>
              <w:t xml:space="preserve">Log weekly earnings</w:t>
            </w:r>
          </w:p>
        </w:tc>
        <w:tc>
          <w:tcPr/>
          <w:p>
            <w:pPr>
              <w:pStyle w:val="Compact"/>
              <w:jc w:val="left"/>
            </w:pPr>
            <w:r>
              <w:t xml:space="preserve">0.136</w:t>
            </w:r>
            <w:r>
              <w:rPr>
                <w:vertAlign w:val="superscript"/>
              </w:rPr>
              <w:t xml:space="preserve">*</w:t>
            </w:r>
          </w:p>
        </w:tc>
        <w:tc>
          <w:tcPr/>
          <w:p>
            <w:pPr>
              <w:pStyle w:val="Compact"/>
              <w:jc w:val="left"/>
            </w:pPr>
            <w:r>
              <w:t xml:space="preserve">0.231</w:t>
            </w:r>
            <w:r>
              <w:rPr>
                <w:vertAlign w:val="superscript"/>
              </w:rPr>
              <w:t xml:space="preserve">***</w:t>
            </w:r>
          </w:p>
        </w:tc>
        <w:tc>
          <w:tcPr/>
          <w:p>
            <w:pPr>
              <w:pStyle w:val="Compact"/>
              <w:jc w:val="left"/>
            </w:pPr>
            <w:r>
              <w:t xml:space="preserve">0.175</w:t>
            </w:r>
            <w:r>
              <w:rPr>
                <w:vertAlign w:val="superscript"/>
              </w:rPr>
              <w:t xml:space="preserve">***</w:t>
            </w:r>
          </w:p>
        </w:tc>
        <w:tc>
          <w:tcPr/>
          <w:p>
            <w:pPr>
              <w:pStyle w:val="Compact"/>
              <w:jc w:val="left"/>
            </w:pPr>
            <w:r>
              <w:t xml:space="preserve">0.168</w:t>
            </w:r>
            <w:r>
              <w:rPr>
                <w:vertAlign w:val="superscript"/>
              </w:rPr>
              <w:t xml:space="preserve">*</w:t>
            </w:r>
          </w:p>
        </w:tc>
        <w:tc>
          <w:tcPr/>
          <w:p>
            <w:pPr>
              <w:pStyle w:val="Compact"/>
              <w:jc w:val="left"/>
            </w:pPr>
            <w:r>
              <w:t xml:space="preserve">0.174</w:t>
            </w:r>
            <w:r>
              <w:rPr>
                <w:vertAlign w:val="superscript"/>
              </w:rPr>
              <w:t xml:space="preserve">***</w:t>
            </w:r>
          </w:p>
        </w:tc>
        <w:tc>
          <w:tcPr/>
          <w:p>
            <w:pPr>
              <w:pStyle w:val="Compact"/>
              <w:jc w:val="left"/>
            </w:pPr>
            <w:r>
              <w:t xml:space="preserve">0.200</w:t>
            </w:r>
            <w:r>
              <w:rPr>
                <w:vertAlign w:val="superscript"/>
              </w:rPr>
              <w:t xml:space="preserve">***</w:t>
            </w:r>
          </w:p>
        </w:tc>
      </w:tr>
      <w:tr>
        <w:tc>
          <w:tcPr/>
          <w:p>
            <w:pPr>
              <w:pStyle w:val="Compact"/>
            </w:pPr>
          </w:p>
        </w:tc>
        <w:tc>
          <w:tcPr/>
          <w:p>
            <w:pPr>
              <w:pStyle w:val="Compact"/>
              <w:jc w:val="left"/>
            </w:pPr>
            <w:r>
              <w:t xml:space="preserve">(0.073)</w:t>
            </w:r>
          </w:p>
        </w:tc>
        <w:tc>
          <w:tcPr/>
          <w:p>
            <w:pPr>
              <w:pStyle w:val="Compact"/>
              <w:jc w:val="left"/>
            </w:pPr>
            <w:r>
              <w:t xml:space="preserve">(0.083)</w:t>
            </w:r>
          </w:p>
        </w:tc>
        <w:tc>
          <w:tcPr/>
          <w:p>
            <w:pPr>
              <w:pStyle w:val="Compact"/>
              <w:jc w:val="left"/>
            </w:pPr>
            <w:r>
              <w:t xml:space="preserve">(0.055)</w:t>
            </w:r>
          </w:p>
        </w:tc>
        <w:tc>
          <w:tcPr/>
          <w:p>
            <w:pPr>
              <w:pStyle w:val="Compact"/>
              <w:jc w:val="left"/>
            </w:pPr>
            <w:r>
              <w:t xml:space="preserve">(0.086)</w:t>
            </w:r>
          </w:p>
        </w:tc>
        <w:tc>
          <w:tcPr/>
          <w:p>
            <w:pPr>
              <w:pStyle w:val="Compact"/>
              <w:jc w:val="left"/>
            </w:pPr>
            <w:r>
              <w:t xml:space="preserve">(0.046)</w:t>
            </w:r>
          </w:p>
        </w:tc>
        <w:tc>
          <w:tcPr/>
          <w:p>
            <w:pPr>
              <w:pStyle w:val="Compact"/>
              <w:jc w:val="left"/>
            </w:pPr>
            <w:r>
              <w:t xml:space="preserve">(0.072)</w:t>
            </w:r>
          </w:p>
        </w:tc>
      </w:tr>
    </w:tbl>
    <w:p>
      <w:pPr>
        <w:pStyle w:val="BodyText"/>
      </w:pPr>
      <w:r>
        <w:t xml:space="preserve">Notes: White: non-Hispanic white; Non-white: Black, Hispanic and other. Outgoing rotation groups, earnings weights. Specification as in Table 24.</w:t>
      </w:r>
    </w:p>
    <w:p>
      <w:pPr>
        <w:pStyle w:val="BodyText"/>
      </w:pPr>
      <w:r>
        <w:t xml:space="preserve">Table 32 re-estimates the coefficient for enrollment and for neither enrolled nor employed under variations of the sample and the fixed effects. Two variations matter. The first is the months. The CPS enrollment item asks whether the respondent attended school last week, and in June to August it records summer school; the coefficients in those three months are two to three times the all-months coefficients, and in September to May the 16–17 coefficients are a fifth of their all-months size and insignificant. The second is the comparison group. Dropping the units whose minimum never changed between 2010 and 2026, the federal-floor states, leaves the coefficients insignificant at every age, on all months and in school months (the school-months, raising-units-only coefficients are</w:t>
      </w:r>
      <w:r>
        <w:t xml:space="preserve"> </w:t>
      </w:r>
      <m:oMath>
        <m:r>
          <m:rPr>
            <m:sty m:val="p"/>
          </m:rPr>
          <m:t>−</m:t>
        </m:r>
        <m:r>
          <m:t>0.030</m:t>
        </m:r>
      </m:oMath>
      <w:r>
        <w:t xml:space="preserve"> </w:t>
      </w:r>
      <w:r>
        <w:t xml:space="preserve">(0.017) and 0.018 (0.015) at 16–17, and</w:t>
      </w:r>
      <w:r>
        <w:t xml:space="preserve"> </w:t>
      </w:r>
      <m:oMath>
        <m:r>
          <m:rPr>
            <m:sty m:val="p"/>
          </m:rPr>
          <m:t>−</m:t>
        </m:r>
        <m:r>
          <m:t>0.008</m:t>
        </m:r>
      </m:oMath>
      <w:r>
        <w:t xml:space="preserve"> </w:t>
      </w:r>
      <w:r>
        <w:t xml:space="preserve">(0.018) and 0.008 (0.010) at 16–19). Region-by-month fixed effects and dropping the pandemic years change little; restricting to 2010–2019 cuts the neither coefficient at 16–19 to a third; a 24-month lead of the log minimum has no predictive power, which is a point in the specification’s favour; and unit-specific linear trends remove the neither coefficient at 16–17 while producing implausible positive enrollment effects elsewhere, the pattern Meer and West (2016) describe when trends absorb a trending treatment.</w:t>
      </w:r>
    </w:p>
    <w:p>
      <w:pPr>
        <w:pStyle w:val="TableCaption"/>
      </w:pPr>
      <w:r>
        <w:t xml:space="preserve">Table 32: Two-way fixed effects coefficient on the log minimum wage under variations of sample and fixed effects</w:t>
      </w:r>
    </w:p>
    <w:tbl>
      <w:tblPr>
        <w:tblStyle w:val="Table"/>
        <w:tblW w:type="dxa" w:w="9360"/>
        <w:tblLook w:firstRow="0" w:lastRow="0" w:firstColumn="0" w:lastColumn="0" w:noHBand="0" w:noVBand="0" w:val="0000"/>
        <w:jc w:val="start"/>
        <w:tblCaption w:val="Table 32: Two-way fixed effects coefficient on the log minimum wage under variations of sample and fixed effects"/>
      </w:tblPr>
      <w:tblGrid>
        <w:gridCol w:w="2808"/>
        <w:gridCol w:w="1092"/>
        <w:gridCol w:w="1092"/>
        <w:gridCol w:w="1092"/>
        <w:gridCol w:w="1092"/>
        <w:gridCol w:w="1092"/>
        <w:gridCol w:w="1092"/>
      </w:tblGrid>
      <w:tr>
        <w:tc>
          <w:tcPr/>
          <w:p>
            <w:pPr>
              <w:pStyle w:val="Compact"/>
            </w:pPr>
          </w:p>
        </w:tc>
        <w:tc>
          <w:tcPr>
            <w:gridSpan w:val="3"/>
          </w:tcPr>
          <w:p>
            <w:pPr>
              <w:pStyle w:val="Compact"/>
              <w:jc w:val="center"/>
            </w:pPr>
            <w:r>
              <w:t xml:space="preserve">Enrolled</w:t>
            </w:r>
          </w:p>
        </w:tc>
        <w:tc>
          <w:tcPr>
            <w:gridSpan w:val="3"/>
          </w:tcPr>
          <w:p>
            <w:pPr>
              <w:pStyle w:val="Compact"/>
              <w:jc w:val="center"/>
            </w:pPr>
            <w:r>
              <w:t xml:space="preserve">Neither enrolled nor employed</w:t>
            </w:r>
          </w:p>
        </w:tc>
      </w:tr>
      <w:tr>
        <w:tc>
          <w:tcPr/>
          <w:p>
            <w:pPr>
              <w:pStyle w:val="Compact"/>
            </w:pPr>
          </w:p>
        </w:tc>
        <w:tc>
          <w:tcPr/>
          <w:p>
            <w:pPr>
              <w:pStyle w:val="Compact"/>
              <w:jc w:val="left"/>
            </w:pPr>
            <w:r>
              <w:t xml:space="preserve">16–17</w:t>
            </w:r>
          </w:p>
        </w:tc>
        <w:tc>
          <w:tcPr/>
          <w:p>
            <w:pPr>
              <w:pStyle w:val="Compact"/>
              <w:jc w:val="left"/>
            </w:pPr>
            <w:r>
              <w:t xml:space="preserve">18–19</w:t>
            </w:r>
          </w:p>
        </w:tc>
        <w:tc>
          <w:tcPr/>
          <w:p>
            <w:pPr>
              <w:pStyle w:val="Compact"/>
              <w:jc w:val="left"/>
            </w:pPr>
            <w:r>
              <w:t xml:space="preserve">16–19</w:t>
            </w:r>
          </w:p>
        </w:tc>
        <w:tc>
          <w:tcPr/>
          <w:p>
            <w:pPr>
              <w:pStyle w:val="Compact"/>
              <w:jc w:val="left"/>
            </w:pPr>
            <w:r>
              <w:t xml:space="preserve">16–17</w:t>
            </w:r>
          </w:p>
        </w:tc>
        <w:tc>
          <w:tcPr/>
          <w:p>
            <w:pPr>
              <w:pStyle w:val="Compact"/>
              <w:jc w:val="left"/>
            </w:pPr>
            <w:r>
              <w:t xml:space="preserve">18–19</w:t>
            </w:r>
          </w:p>
        </w:tc>
        <w:tc>
          <w:tcPr/>
          <w:p>
            <w:pPr>
              <w:pStyle w:val="Compact"/>
              <w:jc w:val="left"/>
            </w:pPr>
            <w:r>
              <w:t xml:space="preserve">16–19</w:t>
            </w:r>
          </w:p>
        </w:tc>
      </w:tr>
      <w:tr>
        <w:tc>
          <w:tcPr/>
          <w:p>
            <w:pPr>
              <w:pStyle w:val="Compact"/>
              <w:jc w:val="left"/>
            </w:pPr>
            <w:r>
              <w:t xml:space="preserve">All months (baseline)</w:t>
            </w:r>
          </w:p>
        </w:tc>
        <w:tc>
          <w:tcPr/>
          <w:p>
            <w:pPr>
              <w:pStyle w:val="Compact"/>
              <w:jc w:val="left"/>
            </w:pPr>
            <w:r>
              <w:t xml:space="preserve">-0.021</w:t>
            </w:r>
            <w:r>
              <w:rPr>
                <w:vertAlign w:val="superscript"/>
              </w:rPr>
              <w:t xml:space="preserve">**</w:t>
            </w:r>
          </w:p>
        </w:tc>
        <w:tc>
          <w:tcPr/>
          <w:p>
            <w:pPr>
              <w:pStyle w:val="Compact"/>
              <w:jc w:val="left"/>
            </w:pPr>
            <w:r>
              <w:t xml:space="preserve">-0.013</w:t>
            </w:r>
          </w:p>
        </w:tc>
        <w:tc>
          <w:tcPr/>
          <w:p>
            <w:pPr>
              <w:pStyle w:val="Compact"/>
              <w:jc w:val="left"/>
            </w:pPr>
            <w:r>
              <w:t xml:space="preserve">-0.019</w:t>
            </w:r>
          </w:p>
        </w:tc>
        <w:tc>
          <w:tcPr/>
          <w:p>
            <w:pPr>
              <w:pStyle w:val="Compact"/>
              <w:jc w:val="left"/>
            </w:pPr>
            <w:r>
              <w:t xml:space="preserve">0.022</w:t>
            </w:r>
            <w:r>
              <w:rPr>
                <w:vertAlign w:val="superscript"/>
              </w:rPr>
              <w:t xml:space="preserve">***</w:t>
            </w:r>
          </w:p>
        </w:tc>
        <w:tc>
          <w:tcPr/>
          <w:p>
            <w:pPr>
              <w:pStyle w:val="Compact"/>
              <w:jc w:val="left"/>
            </w:pPr>
            <w:r>
              <w:t xml:space="preserve">0.018</w:t>
            </w:r>
            <w:r>
              <w:rPr>
                <w:vertAlign w:val="superscript"/>
              </w:rPr>
              <w:t xml:space="preserve">**</w:t>
            </w:r>
          </w:p>
        </w:tc>
        <w:tc>
          <w:tcPr/>
          <w:p>
            <w:pPr>
              <w:pStyle w:val="Compact"/>
              <w:jc w:val="left"/>
            </w:pPr>
            <w:r>
              <w:t xml:space="preserve">0.020</w:t>
            </w:r>
            <w:r>
              <w:rPr>
                <w:vertAlign w:val="superscript"/>
              </w:rPr>
              <w:t xml:space="preserve">***</w:t>
            </w:r>
          </w:p>
        </w:tc>
      </w:tr>
      <w:tr>
        <w:tc>
          <w:tcPr/>
          <w:p>
            <w:pPr>
              <w:pStyle w:val="Compact"/>
            </w:pPr>
          </w:p>
        </w:tc>
        <w:tc>
          <w:tcPr/>
          <w:p>
            <w:pPr>
              <w:pStyle w:val="Compact"/>
              <w:jc w:val="left"/>
            </w:pPr>
            <w:r>
              <w:t xml:space="preserve">(0.010)</w:t>
            </w:r>
          </w:p>
        </w:tc>
        <w:tc>
          <w:tcPr/>
          <w:p>
            <w:pPr>
              <w:pStyle w:val="Compact"/>
              <w:jc w:val="left"/>
            </w:pPr>
            <w:r>
              <w:t xml:space="preserve">(0.020)</w:t>
            </w:r>
          </w:p>
        </w:tc>
        <w:tc>
          <w:tcPr/>
          <w:p>
            <w:pPr>
              <w:pStyle w:val="Compact"/>
              <w:jc w:val="left"/>
            </w:pPr>
            <w:r>
              <w:t xml:space="preserve">(0.013)</w:t>
            </w:r>
          </w:p>
        </w:tc>
        <w:tc>
          <w:tcPr/>
          <w:p>
            <w:pPr>
              <w:pStyle w:val="Compact"/>
              <w:jc w:val="left"/>
            </w:pPr>
            <w:r>
              <w:t xml:space="preserve">(0.007)</w:t>
            </w:r>
          </w:p>
        </w:tc>
        <w:tc>
          <w:tcPr/>
          <w:p>
            <w:pPr>
              <w:pStyle w:val="Compact"/>
              <w:jc w:val="left"/>
            </w:pPr>
            <w:r>
              <w:t xml:space="preserve">(0.008)</w:t>
            </w:r>
          </w:p>
        </w:tc>
        <w:tc>
          <w:tcPr/>
          <w:p>
            <w:pPr>
              <w:pStyle w:val="Compact"/>
              <w:jc w:val="left"/>
            </w:pPr>
            <w:r>
              <w:t xml:space="preserve">(0.005)</w:t>
            </w:r>
          </w:p>
        </w:tc>
      </w:tr>
      <w:tr>
        <w:tc>
          <w:tcPr/>
          <w:p>
            <w:pPr>
              <w:pStyle w:val="Compact"/>
              <w:jc w:val="left"/>
            </w:pPr>
            <w:r>
              <w:t xml:space="preserve">School months, September–May</w:t>
            </w:r>
          </w:p>
        </w:tc>
        <w:tc>
          <w:tcPr/>
          <w:p>
            <w:pPr>
              <w:pStyle w:val="Compact"/>
              <w:jc w:val="left"/>
            </w:pPr>
            <w:r>
              <w:t xml:space="preserve">-0.006</w:t>
            </w:r>
          </w:p>
        </w:tc>
        <w:tc>
          <w:tcPr/>
          <w:p>
            <w:pPr>
              <w:pStyle w:val="Compact"/>
              <w:jc w:val="left"/>
            </w:pPr>
            <w:r>
              <w:t xml:space="preserve">-0.016</w:t>
            </w:r>
          </w:p>
        </w:tc>
        <w:tc>
          <w:tcPr/>
          <w:p>
            <w:pPr>
              <w:pStyle w:val="Compact"/>
              <w:jc w:val="left"/>
            </w:pPr>
            <w:r>
              <w:t xml:space="preserve">-0.012</w:t>
            </w:r>
          </w:p>
        </w:tc>
        <w:tc>
          <w:tcPr/>
          <w:p>
            <w:pPr>
              <w:pStyle w:val="Compact"/>
              <w:jc w:val="left"/>
            </w:pPr>
            <w:r>
              <w:t xml:space="preserve">0.006</w:t>
            </w:r>
          </w:p>
        </w:tc>
        <w:tc>
          <w:tcPr/>
          <w:p>
            <w:pPr>
              <w:pStyle w:val="Compact"/>
              <w:jc w:val="left"/>
            </w:pPr>
            <w:r>
              <w:t xml:space="preserve">0.017</w:t>
            </w:r>
            <w:r>
              <w:rPr>
                <w:vertAlign w:val="superscript"/>
              </w:rPr>
              <w:t xml:space="preserve">***</w:t>
            </w:r>
          </w:p>
        </w:tc>
        <w:tc>
          <w:tcPr/>
          <w:p>
            <w:pPr>
              <w:pStyle w:val="Compact"/>
              <w:jc w:val="left"/>
            </w:pPr>
            <w:r>
              <w:t xml:space="preserve">0.012</w:t>
            </w:r>
            <w:r>
              <w:rPr>
                <w:vertAlign w:val="superscript"/>
              </w:rPr>
              <w:t xml:space="preserve">***</w:t>
            </w:r>
          </w:p>
        </w:tc>
      </w:tr>
      <w:tr>
        <w:tc>
          <w:tcPr/>
          <w:p>
            <w:pPr>
              <w:pStyle w:val="Compact"/>
            </w:pPr>
          </w:p>
        </w:tc>
        <w:tc>
          <w:tcPr/>
          <w:p>
            <w:pPr>
              <w:pStyle w:val="Compact"/>
              <w:jc w:val="left"/>
            </w:pPr>
            <w:r>
              <w:t xml:space="preserve">(0.010)</w:t>
            </w:r>
          </w:p>
        </w:tc>
        <w:tc>
          <w:tcPr/>
          <w:p>
            <w:pPr>
              <w:pStyle w:val="Compact"/>
              <w:jc w:val="left"/>
            </w:pPr>
            <w:r>
              <w:t xml:space="preserve">(0.017)</w:t>
            </w:r>
          </w:p>
        </w:tc>
        <w:tc>
          <w:tcPr/>
          <w:p>
            <w:pPr>
              <w:pStyle w:val="Compact"/>
              <w:jc w:val="left"/>
            </w:pPr>
            <w:r>
              <w:t xml:space="preserve">(0.010)</w:t>
            </w:r>
          </w:p>
        </w:tc>
        <w:tc>
          <w:tcPr/>
          <w:p>
            <w:pPr>
              <w:pStyle w:val="Compact"/>
              <w:jc w:val="left"/>
            </w:pPr>
            <w:r>
              <w:t xml:space="preserve">(0.008)</w:t>
            </w:r>
          </w:p>
        </w:tc>
        <w:tc>
          <w:tcPr/>
          <w:p>
            <w:pPr>
              <w:pStyle w:val="Compact"/>
              <w:jc w:val="left"/>
            </w:pPr>
            <w:r>
              <w:t xml:space="preserve">(0.006)</w:t>
            </w:r>
          </w:p>
        </w:tc>
        <w:tc>
          <w:tcPr/>
          <w:p>
            <w:pPr>
              <w:pStyle w:val="Compact"/>
              <w:jc w:val="left"/>
            </w:pPr>
            <w:r>
              <w:t xml:space="preserve">(0.003)</w:t>
            </w:r>
          </w:p>
        </w:tc>
      </w:tr>
      <w:tr>
        <w:tc>
          <w:tcPr/>
          <w:p>
            <w:pPr>
              <w:pStyle w:val="Compact"/>
              <w:jc w:val="left"/>
            </w:pPr>
            <w:r>
              <w:t xml:space="preserve">Summer months, June–August</w:t>
            </w:r>
          </w:p>
        </w:tc>
        <w:tc>
          <w:tcPr/>
          <w:p>
            <w:pPr>
              <w:pStyle w:val="Compact"/>
              <w:jc w:val="left"/>
            </w:pPr>
            <w:r>
              <w:t xml:space="preserve">-0.067</w:t>
            </w:r>
            <w:r>
              <w:rPr>
                <w:vertAlign w:val="superscript"/>
              </w:rPr>
              <w:t xml:space="preserve">**</w:t>
            </w:r>
          </w:p>
        </w:tc>
        <w:tc>
          <w:tcPr/>
          <w:p>
            <w:pPr>
              <w:pStyle w:val="Compact"/>
              <w:jc w:val="left"/>
            </w:pPr>
            <w:r>
              <w:t xml:space="preserve">-0.007</w:t>
            </w:r>
          </w:p>
        </w:tc>
        <w:tc>
          <w:tcPr/>
          <w:p>
            <w:pPr>
              <w:pStyle w:val="Compact"/>
              <w:jc w:val="left"/>
            </w:pPr>
            <w:r>
              <w:t xml:space="preserve">-0.039</w:t>
            </w:r>
          </w:p>
        </w:tc>
        <w:tc>
          <w:tcPr/>
          <w:p>
            <w:pPr>
              <w:pStyle w:val="Compact"/>
              <w:jc w:val="left"/>
            </w:pPr>
            <w:r>
              <w:t xml:space="preserve">0.067</w:t>
            </w:r>
            <w:r>
              <w:rPr>
                <w:vertAlign w:val="superscript"/>
              </w:rPr>
              <w:t xml:space="preserve">***</w:t>
            </w:r>
          </w:p>
        </w:tc>
        <w:tc>
          <w:tcPr/>
          <w:p>
            <w:pPr>
              <w:pStyle w:val="Compact"/>
              <w:jc w:val="left"/>
            </w:pPr>
            <w:r>
              <w:t xml:space="preserve">0.017</w:t>
            </w:r>
          </w:p>
        </w:tc>
        <w:tc>
          <w:tcPr/>
          <w:p>
            <w:pPr>
              <w:pStyle w:val="Compact"/>
              <w:jc w:val="left"/>
            </w:pPr>
            <w:r>
              <w:t xml:space="preserve">0.043</w:t>
            </w:r>
            <w:r>
              <w:rPr>
                <w:vertAlign w:val="superscript"/>
              </w:rPr>
              <w:t xml:space="preserve">***</w:t>
            </w:r>
          </w:p>
        </w:tc>
      </w:tr>
      <w:tr>
        <w:tc>
          <w:tcPr/>
          <w:p>
            <w:pPr>
              <w:pStyle w:val="Compact"/>
            </w:pPr>
          </w:p>
        </w:tc>
        <w:tc>
          <w:tcPr/>
          <w:p>
            <w:pPr>
              <w:pStyle w:val="Compact"/>
              <w:jc w:val="left"/>
            </w:pPr>
            <w:r>
              <w:t xml:space="preserve">(0.029)</w:t>
            </w:r>
          </w:p>
        </w:tc>
        <w:tc>
          <w:tcPr/>
          <w:p>
            <w:pPr>
              <w:pStyle w:val="Compact"/>
              <w:jc w:val="left"/>
            </w:pPr>
            <w:r>
              <w:t xml:space="preserve">(0.033)</w:t>
            </w:r>
          </w:p>
        </w:tc>
        <w:tc>
          <w:tcPr/>
          <w:p>
            <w:pPr>
              <w:pStyle w:val="Compact"/>
              <w:jc w:val="left"/>
            </w:pPr>
            <w:r>
              <w:t xml:space="preserve">(0.028)</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(0.014)</w:t>
            </w:r>
          </w:p>
        </w:tc>
      </w:tr>
      <w:tr>
        <w:tc>
          <w:tcPr/>
          <w:p>
            <w:pPr>
              <w:pStyle w:val="Compact"/>
              <w:jc w:val="left"/>
            </w:pPr>
            <w:r>
              <w:t xml:space="preserve">Raising units only (drop federal-floor states)</w:t>
            </w:r>
          </w:p>
        </w:tc>
        <w:tc>
          <w:tcPr/>
          <w:p>
            <w:pPr>
              <w:pStyle w:val="Compact"/>
              <w:jc w:val="left"/>
            </w:pPr>
            <w:r>
              <w:t xml:space="preserve">-0.019</w:t>
            </w:r>
          </w:p>
        </w:tc>
        <w:tc>
          <w:tcPr/>
          <w:p>
            <w:pPr>
              <w:pStyle w:val="Compact"/>
              <w:jc w:val="left"/>
            </w:pPr>
            <w:r>
              <w:t xml:space="preserve">0.032</w:t>
            </w:r>
          </w:p>
        </w:tc>
        <w:tc>
          <w:tcPr/>
          <w:p>
            <w:pPr>
              <w:pStyle w:val="Compact"/>
              <w:jc w:val="left"/>
            </w:pPr>
            <w:r>
              <w:t xml:space="preserve">0.003</w:t>
            </w:r>
          </w:p>
        </w:tc>
        <w:tc>
          <w:tcPr/>
          <w:p>
            <w:pPr>
              <w:pStyle w:val="Compact"/>
              <w:jc w:val="left"/>
            </w:pPr>
            <w:r>
              <w:t xml:space="preserve">0.014</w:t>
            </w:r>
          </w:p>
        </w:tc>
        <w:tc>
          <w:tcPr/>
          <w:p>
            <w:pPr>
              <w:pStyle w:val="Compact"/>
              <w:jc w:val="left"/>
            </w:pPr>
            <w:r>
              <w:t xml:space="preserve">-0.013</w:t>
            </w:r>
          </w:p>
        </w:tc>
        <w:tc>
          <w:tcPr/>
          <w:p>
            <w:pPr>
              <w:pStyle w:val="Compact"/>
              <w:jc w:val="left"/>
            </w:pPr>
            <w:r>
              <w:t xml:space="preserve">0.001</w:t>
            </w:r>
          </w:p>
        </w:tc>
      </w:tr>
      <w:tr>
        <w:tc>
          <w:tcPr/>
          <w:p>
            <w:pPr>
              <w:pStyle w:val="Compact"/>
            </w:pPr>
          </w:p>
        </w:tc>
        <w:tc>
          <w:tcPr/>
          <w:p>
            <w:pPr>
              <w:pStyle w:val="Compact"/>
              <w:jc w:val="left"/>
            </w:pPr>
            <w:r>
              <w:t xml:space="preserve">(0.016)</w:t>
            </w:r>
          </w:p>
        </w:tc>
        <w:tc>
          <w:tcPr/>
          <w:p>
            <w:pPr>
              <w:pStyle w:val="Compact"/>
              <w:jc w:val="left"/>
            </w:pPr>
            <w:r>
              <w:t xml:space="preserve">(0.026)</w:t>
            </w:r>
          </w:p>
        </w:tc>
        <w:tc>
          <w:tcPr/>
          <w:p>
            <w:pPr>
              <w:pStyle w:val="Compact"/>
              <w:jc w:val="left"/>
            </w:pPr>
            <w:r>
              <w:t xml:space="preserve">(0.015)</w:t>
            </w:r>
          </w:p>
        </w:tc>
        <w:tc>
          <w:tcPr/>
          <w:p>
            <w:pPr>
              <w:pStyle w:val="Compact"/>
              <w:jc w:val="left"/>
            </w:pPr>
            <w:r>
              <w:t xml:space="preserve">(0.011)</w:t>
            </w:r>
          </w:p>
        </w:tc>
        <w:tc>
          <w:tcPr/>
          <w:p>
            <w:pPr>
              <w:pStyle w:val="Compact"/>
              <w:jc w:val="left"/>
            </w:pPr>
            <w:r>
              <w:t xml:space="preserve">(0.015)</w:t>
            </w:r>
          </w:p>
        </w:tc>
        <w:tc>
          <w:tcPr/>
          <w:p>
            <w:pPr>
              <w:pStyle w:val="Compact"/>
              <w:jc w:val="left"/>
            </w:pPr>
            <w:r>
              <w:t xml:space="preserve">(0.008)</w:t>
            </w:r>
          </w:p>
        </w:tc>
      </w:tr>
      <w:tr>
        <w:tc>
          <w:tcPr/>
          <w:p>
            <w:pPr>
              <w:pStyle w:val="Compact"/>
              <w:jc w:val="left"/>
            </w:pPr>
            <w:r>
              <w:t xml:space="preserve">School months, raising units only</w:t>
            </w:r>
          </w:p>
        </w:tc>
        <w:tc>
          <w:tcPr/>
          <w:p>
            <w:pPr>
              <w:pStyle w:val="Compact"/>
              <w:jc w:val="left"/>
            </w:pPr>
            <w:r>
              <w:t xml:space="preserve">-0.030</w:t>
            </w:r>
            <w:r>
              <w:rPr>
                <w:vertAlign w:val="superscript"/>
              </w:rPr>
              <w:t xml:space="preserve">*</w:t>
            </w:r>
          </w:p>
        </w:tc>
        <w:tc>
          <w:tcPr/>
          <w:p>
            <w:pPr>
              <w:pStyle w:val="Compact"/>
              <w:jc w:val="left"/>
            </w:pPr>
            <w:r>
              <w:t xml:space="preserve">0.023</w:t>
            </w:r>
          </w:p>
        </w:tc>
        <w:tc>
          <w:tcPr/>
          <w:p>
            <w:pPr>
              <w:pStyle w:val="Compact"/>
              <w:jc w:val="left"/>
            </w:pPr>
            <w:r>
              <w:t xml:space="preserve">-0.008</w:t>
            </w:r>
          </w:p>
        </w:tc>
        <w:tc>
          <w:tcPr/>
          <w:p>
            <w:pPr>
              <w:pStyle w:val="Compact"/>
              <w:jc w:val="left"/>
            </w:pPr>
            <w:r>
              <w:t xml:space="preserve">0.018</w:t>
            </w:r>
          </w:p>
        </w:tc>
        <w:tc>
          <w:tcPr/>
          <w:p>
            <w:pPr>
              <w:pStyle w:val="Compact"/>
              <w:jc w:val="left"/>
            </w:pPr>
            <w:r>
              <w:t xml:space="preserve">-0.005</w:t>
            </w:r>
          </w:p>
        </w:tc>
        <w:tc>
          <w:tcPr/>
          <w:p>
            <w:pPr>
              <w:pStyle w:val="Compact"/>
              <w:jc w:val="left"/>
            </w:pPr>
            <w:r>
              <w:t xml:space="preserve">0.008</w:t>
            </w:r>
          </w:p>
        </w:tc>
      </w:tr>
      <w:tr>
        <w:tc>
          <w:tcPr/>
          <w:p>
            <w:pPr>
              <w:pStyle w:val="Compact"/>
            </w:pPr>
          </w:p>
        </w:tc>
        <w:tc>
          <w:tcPr/>
          <w:p>
            <w:pPr>
              <w:pStyle w:val="Compact"/>
              <w:jc w:val="left"/>
            </w:pPr>
            <w:r>
              <w:t xml:space="preserve">(0.017)</w:t>
            </w:r>
          </w:p>
        </w:tc>
        <w:tc>
          <w:tcPr/>
          <w:p>
            <w:pPr>
              <w:pStyle w:val="Compact"/>
              <w:jc w:val="left"/>
            </w:pPr>
            <w:r>
              <w:t xml:space="preserve">(0.031)</w:t>
            </w:r>
          </w:p>
        </w:tc>
        <w:tc>
          <w:tcPr/>
          <w:p>
            <w:pPr>
              <w:pStyle w:val="Compact"/>
              <w:jc w:val="left"/>
            </w:pPr>
            <w:r>
              <w:t xml:space="preserve">(0.018)</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(0.010)</w:t>
            </w:r>
          </w:p>
        </w:tc>
      </w:tr>
      <w:tr>
        <w:tc>
          <w:tcPr/>
          <w:p>
            <w:pPr>
              <w:pStyle w:val="Compact"/>
              <w:jc w:val="left"/>
            </w:pPr>
            <w:r>
              <w:t xml:space="preserve">Census region</w:t>
            </w:r>
            <w:r>
              <w:t xml:space="preserve"> </w:t>
            </w:r>
            <m:oMath>
              <m:r>
                <m:rPr>
                  <m:sty m:val="p"/>
                </m:rPr>
                <m:t>×</m:t>
              </m:r>
            </m:oMath>
            <w:r>
              <w:t xml:space="preserve"> </w:t>
            </w:r>
            <w:r>
              <w:t xml:space="preserve">month fixed effects</w:t>
            </w:r>
          </w:p>
        </w:tc>
        <w:tc>
          <w:tcPr/>
          <w:p>
            <w:pPr>
              <w:pStyle w:val="Compact"/>
              <w:jc w:val="left"/>
            </w:pPr>
            <w:r>
              <w:t xml:space="preserve">-0.022</w:t>
            </w:r>
            <w:r>
              <w:rPr>
                <w:vertAlign w:val="superscript"/>
              </w:rPr>
              <w:t xml:space="preserve">*</w:t>
            </w:r>
          </w:p>
        </w:tc>
        <w:tc>
          <w:tcPr/>
          <w:p>
            <w:pPr>
              <w:pStyle w:val="Compact"/>
              <w:jc w:val="left"/>
            </w:pPr>
            <w:r>
              <w:t xml:space="preserve">0.000</w:t>
            </w:r>
          </w:p>
        </w:tc>
        <w:tc>
          <w:tcPr/>
          <w:p>
            <w:pPr>
              <w:pStyle w:val="Compact"/>
              <w:jc w:val="left"/>
            </w:pPr>
            <w:r>
              <w:t xml:space="preserve">-0.012</w:t>
            </w:r>
          </w:p>
        </w:tc>
        <w:tc>
          <w:tcPr/>
          <w:p>
            <w:pPr>
              <w:pStyle w:val="Compact"/>
              <w:jc w:val="left"/>
            </w:pPr>
            <w:r>
              <w:t xml:space="preserve">0.021</w:t>
            </w:r>
            <w:r>
              <w:rPr>
                <w:vertAlign w:val="superscript"/>
              </w:rPr>
              <w:t xml:space="preserve">**</w:t>
            </w:r>
          </w:p>
        </w:tc>
        <w:tc>
          <w:tcPr/>
          <w:p>
            <w:pPr>
              <w:pStyle w:val="Compact"/>
              <w:jc w:val="left"/>
            </w:pPr>
            <w:r>
              <w:t xml:space="preserve">0.013</w:t>
            </w:r>
            <w:r>
              <w:rPr>
                <w:vertAlign w:val="superscript"/>
              </w:rPr>
              <w:t xml:space="preserve">*</w:t>
            </w:r>
          </w:p>
        </w:tc>
        <w:tc>
          <w:tcPr/>
          <w:p>
            <w:pPr>
              <w:pStyle w:val="Compact"/>
              <w:jc w:val="left"/>
            </w:pPr>
            <w:r>
              <w:t xml:space="preserve">0.018</w:t>
            </w:r>
            <w:r>
              <w:rPr>
                <w:vertAlign w:val="superscript"/>
              </w:rPr>
              <w:t xml:space="preserve">***</w:t>
            </w:r>
          </w:p>
        </w:tc>
      </w:tr>
      <w:tr>
        <w:tc>
          <w:tcPr/>
          <w:p>
            <w:pPr>
              <w:pStyle w:val="Compact"/>
            </w:pPr>
          </w:p>
        </w:tc>
        <w:tc>
          <w:tcPr/>
          <w:p>
            <w:pPr>
              <w:pStyle w:val="Compact"/>
              <w:jc w:val="left"/>
            </w:pPr>
            <w:r>
              <w:t xml:space="preserve">(0.012)</w:t>
            </w:r>
          </w:p>
        </w:tc>
        <w:tc>
          <w:tcPr/>
          <w:p>
            <w:pPr>
              <w:pStyle w:val="Compact"/>
              <w:jc w:val="left"/>
            </w:pPr>
            <w:r>
              <w:t xml:space="preserve">(0.022)</w:t>
            </w:r>
          </w:p>
        </w:tc>
        <w:tc>
          <w:tcPr/>
          <w:p>
            <w:pPr>
              <w:pStyle w:val="Compact"/>
              <w:jc w:val="left"/>
            </w:pPr>
            <w:r>
              <w:t xml:space="preserve">(0.014)</w:t>
            </w:r>
          </w:p>
        </w:tc>
        <w:tc>
          <w:tcPr/>
          <w:p>
            <w:pPr>
              <w:pStyle w:val="Compact"/>
              <w:jc w:val="left"/>
            </w:pPr>
            <w:r>
              <w:t xml:space="preserve">(0.009)</w:t>
            </w:r>
          </w:p>
        </w:tc>
        <w:tc>
          <w:tcPr/>
          <w:p>
            <w:pPr>
              <w:pStyle w:val="Compact"/>
              <w:jc w:val="left"/>
            </w:pPr>
            <w:r>
              <w:t xml:space="preserve">(0.007)</w:t>
            </w:r>
          </w:p>
        </w:tc>
        <w:tc>
          <w:tcPr/>
          <w:p>
            <w:pPr>
              <w:pStyle w:val="Compact"/>
              <w:jc w:val="left"/>
            </w:pPr>
            <w:r>
              <w:t xml:space="preserve">(0.006)</w:t>
            </w:r>
          </w:p>
        </w:tc>
      </w:tr>
      <w:tr>
        <w:tc>
          <w:tcPr/>
          <w:p>
            <w:pPr>
              <w:pStyle w:val="Compact"/>
              <w:jc w:val="left"/>
            </w:pPr>
            <w:r>
              <w:t xml:space="preserve">2010–2019</w:t>
            </w:r>
          </w:p>
        </w:tc>
        <w:tc>
          <w:tcPr/>
          <w:p>
            <w:pPr>
              <w:pStyle w:val="Compact"/>
              <w:jc w:val="left"/>
            </w:pPr>
            <w:r>
              <w:t xml:space="preserve">-0.023</w:t>
            </w:r>
          </w:p>
        </w:tc>
        <w:tc>
          <w:tcPr/>
          <w:p>
            <w:pPr>
              <w:pStyle w:val="Compact"/>
              <w:jc w:val="left"/>
            </w:pPr>
            <w:r>
              <w:t xml:space="preserve">-0.010</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-0.001</w:t>
            </w:r>
          </w:p>
        </w:tc>
        <w:tc>
          <w:tcPr/>
          <w:p>
            <w:pPr>
              <w:pStyle w:val="Compact"/>
              <w:jc w:val="left"/>
            </w:pPr>
            <w:r>
              <w:t xml:space="preserve">0.007</w:t>
            </w:r>
          </w:p>
        </w:tc>
      </w:tr>
      <w:tr>
        <w:tc>
          <w:tcPr/>
          <w:p>
            <w:pPr>
              <w:pStyle w:val="Compact"/>
            </w:pPr>
          </w:p>
        </w:tc>
        <w:tc>
          <w:tcPr/>
          <w:p>
            <w:pPr>
              <w:pStyle w:val="Compact"/>
              <w:jc w:val="left"/>
            </w:pPr>
            <w:r>
              <w:t xml:space="preserve">(0.016)</w:t>
            </w:r>
          </w:p>
        </w:tc>
        <w:tc>
          <w:tcPr/>
          <w:p>
            <w:pPr>
              <w:pStyle w:val="Compact"/>
              <w:jc w:val="left"/>
            </w:pPr>
            <w:r>
              <w:t xml:space="preserve">(0.035)</w:t>
            </w:r>
          </w:p>
        </w:tc>
        <w:tc>
          <w:tcPr/>
          <w:p>
            <w:pPr>
              <w:pStyle w:val="Compact"/>
              <w:jc w:val="left"/>
            </w:pPr>
            <w:r>
              <w:t xml:space="preserve">(0.024)</w:t>
            </w:r>
          </w:p>
        </w:tc>
        <w:tc>
          <w:tcPr/>
          <w:p>
            <w:pPr>
              <w:pStyle w:val="Compact"/>
              <w:jc w:val="left"/>
            </w:pPr>
            <w:r>
              <w:t xml:space="preserve">(0.010)</w:t>
            </w:r>
          </w:p>
        </w:tc>
        <w:tc>
          <w:tcPr/>
          <w:p>
            <w:pPr>
              <w:pStyle w:val="Compact"/>
              <w:jc w:val="left"/>
            </w:pPr>
            <w:r>
              <w:t xml:space="preserve">(0.017)</w:t>
            </w:r>
          </w:p>
        </w:tc>
        <w:tc>
          <w:tcPr/>
          <w:p>
            <w:pPr>
              <w:pStyle w:val="Compact"/>
              <w:jc w:val="left"/>
            </w:pPr>
            <w:r>
              <w:t xml:space="preserve">(0.011)</w:t>
            </w:r>
          </w:p>
        </w:tc>
      </w:tr>
      <w:tr>
        <w:tc>
          <w:tcPr/>
          <w:p>
            <w:pPr>
              <w:pStyle w:val="Compact"/>
              <w:jc w:val="left"/>
            </w:pPr>
            <w:r>
              <w:t xml:space="preserve">Drop 2020–2021</w:t>
            </w:r>
          </w:p>
        </w:tc>
        <w:tc>
          <w:tcPr/>
          <w:p>
            <w:pPr>
              <w:pStyle w:val="Compact"/>
              <w:jc w:val="left"/>
            </w:pPr>
            <w:r>
              <w:t xml:space="preserve">-0.019</w:t>
            </w:r>
            <w:r>
              <w:rPr>
                <w:vertAlign w:val="superscript"/>
              </w:rPr>
              <w:t xml:space="preserve">**</w:t>
            </w:r>
          </w:p>
        </w:tc>
        <w:tc>
          <w:tcPr/>
          <w:p>
            <w:pPr>
              <w:pStyle w:val="Compact"/>
              <w:jc w:val="left"/>
            </w:pPr>
            <w:r>
              <w:t xml:space="preserve">-0.014</w:t>
            </w:r>
          </w:p>
        </w:tc>
        <w:tc>
          <w:tcPr/>
          <w:p>
            <w:pPr>
              <w:pStyle w:val="Compact"/>
              <w:jc w:val="left"/>
            </w:pPr>
            <w:r>
              <w:t xml:space="preserve">-0.018</w:t>
            </w:r>
          </w:p>
        </w:tc>
        <w:tc>
          <w:tcPr/>
          <w:p>
            <w:pPr>
              <w:pStyle w:val="Compact"/>
              <w:jc w:val="left"/>
            </w:pPr>
            <w:r>
              <w:t xml:space="preserve">0.020</w:t>
            </w:r>
            <w:r>
              <w:rPr>
                <w:vertAlign w:val="superscript"/>
              </w:rPr>
              <w:t xml:space="preserve">***</w:t>
            </w:r>
          </w:p>
        </w:tc>
        <w:tc>
          <w:tcPr/>
          <w:p>
            <w:pPr>
              <w:pStyle w:val="Compact"/>
              <w:jc w:val="left"/>
            </w:pPr>
            <w:r>
              <w:t xml:space="preserve">0.018</w:t>
            </w:r>
            <w:r>
              <w:rPr>
                <w:vertAlign w:val="superscript"/>
              </w:rPr>
              <w:t xml:space="preserve">**</w:t>
            </w:r>
          </w:p>
        </w:tc>
        <w:tc>
          <w:tcPr/>
          <w:p>
            <w:pPr>
              <w:pStyle w:val="Compact"/>
              <w:jc w:val="left"/>
            </w:pPr>
            <w:r>
              <w:t xml:space="preserve">0.019</w:t>
            </w:r>
            <w:r>
              <w:rPr>
                <w:vertAlign w:val="superscript"/>
              </w:rPr>
              <w:t xml:space="preserve">***</w:t>
            </w:r>
          </w:p>
        </w:tc>
      </w:tr>
      <w:tr>
        <w:tc>
          <w:tcPr/>
          <w:p>
            <w:pPr>
              <w:pStyle w:val="Compact"/>
            </w:pPr>
          </w:p>
        </w:tc>
        <w:tc>
          <w:tcPr/>
          <w:p>
            <w:pPr>
              <w:pStyle w:val="Compact"/>
              <w:jc w:val="left"/>
            </w:pPr>
            <w:r>
              <w:t xml:space="preserve">(0.009)</w:t>
            </w:r>
          </w:p>
        </w:tc>
        <w:tc>
          <w:tcPr/>
          <w:p>
            <w:pPr>
              <w:pStyle w:val="Compact"/>
              <w:jc w:val="left"/>
            </w:pPr>
            <w:r>
              <w:t xml:space="preserve">(0.019)</w:t>
            </w:r>
          </w:p>
        </w:tc>
        <w:tc>
          <w:tcPr/>
          <w:p>
            <w:pPr>
              <w:pStyle w:val="Compact"/>
              <w:jc w:val="left"/>
            </w:pPr>
            <w:r>
              <w:t xml:space="preserve">(0.012)</w:t>
            </w:r>
          </w:p>
        </w:tc>
        <w:tc>
          <w:tcPr/>
          <w:p>
            <w:pPr>
              <w:pStyle w:val="Compact"/>
              <w:jc w:val="left"/>
            </w:pPr>
            <w:r>
              <w:t xml:space="preserve">(0.007)</w:t>
            </w:r>
          </w:p>
        </w:tc>
        <w:tc>
          <w:tcPr/>
          <w:p>
            <w:pPr>
              <w:pStyle w:val="Compact"/>
              <w:jc w:val="left"/>
            </w:pPr>
            <w:r>
              <w:t xml:space="preserve">(0.007)</w:t>
            </w:r>
          </w:p>
        </w:tc>
        <w:tc>
          <w:tcPr/>
          <w:p>
            <w:pPr>
              <w:pStyle w:val="Compact"/>
              <w:jc w:val="left"/>
            </w:pPr>
            <w:r>
              <w:t xml:space="preserve">(0.005)</w:t>
            </w:r>
          </w:p>
        </w:tc>
      </w:tr>
      <w:tr>
        <w:tc>
          <w:tcPr/>
          <w:p>
            <w:pPr>
              <w:pStyle w:val="Compact"/>
              <w:jc w:val="left"/>
            </w:pPr>
            <w:r>
              <w:t xml:space="preserve">24-month lead of log minimum (coefficient on the lead)</w:t>
            </w:r>
          </w:p>
        </w:tc>
        <w:tc>
          <w:tcPr/>
          <w:p>
            <w:pPr>
              <w:pStyle w:val="Compact"/>
              <w:jc w:val="left"/>
            </w:pPr>
            <w:r>
              <w:t xml:space="preserve">0.005</w:t>
            </w:r>
          </w:p>
        </w:tc>
        <w:tc>
          <w:tcPr/>
          <w:p>
            <w:pPr>
              <w:pStyle w:val="Compact"/>
              <w:jc w:val="left"/>
            </w:pPr>
            <w:r>
              <w:t xml:space="preserve">-0.019</w:t>
            </w:r>
          </w:p>
        </w:tc>
        <w:tc>
          <w:tcPr/>
          <w:p>
            <w:pPr>
              <w:pStyle w:val="Compact"/>
              <w:jc w:val="left"/>
            </w:pPr>
            <w:r>
              <w:t xml:space="preserve">-0.006</w:t>
            </w:r>
          </w:p>
        </w:tc>
        <w:tc>
          <w:tcPr/>
          <w:p>
            <w:pPr>
              <w:pStyle w:val="Compact"/>
              <w:jc w:val="left"/>
            </w:pPr>
            <w:r>
              <w:t xml:space="preserve">-0.014</w:t>
            </w:r>
          </w:p>
        </w:tc>
        <w:tc>
          <w:tcPr/>
          <w:p>
            <w:pPr>
              <w:pStyle w:val="Compact"/>
              <w:jc w:val="left"/>
            </w:pPr>
            <w:r>
              <w:t xml:space="preserve">0.003</w:t>
            </w:r>
          </w:p>
        </w:tc>
        <w:tc>
          <w:tcPr/>
          <w:p>
            <w:pPr>
              <w:pStyle w:val="Compact"/>
              <w:jc w:val="left"/>
            </w:pPr>
            <w:r>
              <w:t xml:space="preserve">-0.005</w:t>
            </w:r>
          </w:p>
        </w:tc>
      </w:tr>
      <w:tr>
        <w:tc>
          <w:tcPr/>
          <w:p>
            <w:pPr>
              <w:pStyle w:val="Compact"/>
            </w:pPr>
          </w:p>
        </w:tc>
        <w:tc>
          <w:tcPr/>
          <w:p>
            <w:pPr>
              <w:pStyle w:val="Compact"/>
              <w:jc w:val="left"/>
            </w:pPr>
            <w:r>
              <w:t xml:space="preserve">(0.019)</w:t>
            </w:r>
          </w:p>
        </w:tc>
        <w:tc>
          <w:tcPr/>
          <w:p>
            <w:pPr>
              <w:pStyle w:val="Compact"/>
              <w:jc w:val="left"/>
            </w:pPr>
            <w:r>
              <w:t xml:space="preserve">(0.037)</w:t>
            </w:r>
          </w:p>
        </w:tc>
        <w:tc>
          <w:tcPr/>
          <w:p>
            <w:pPr>
              <w:pStyle w:val="Compact"/>
              <w:jc w:val="left"/>
            </w:pPr>
            <w:r>
              <w:t xml:space="preserve">(0.021)</w:t>
            </w:r>
          </w:p>
        </w:tc>
        <w:tc>
          <w:tcPr/>
          <w:p>
            <w:pPr>
              <w:pStyle w:val="Compact"/>
              <w:jc w:val="left"/>
            </w:pPr>
            <w:r>
              <w:t xml:space="preserve">(0.013)</w:t>
            </w:r>
          </w:p>
        </w:tc>
        <w:tc>
          <w:tcPr/>
          <w:p>
            <w:pPr>
              <w:pStyle w:val="Compact"/>
              <w:jc w:val="left"/>
            </w:pPr>
            <w:r>
              <w:t xml:space="preserve">(0.015)</w:t>
            </w:r>
          </w:p>
        </w:tc>
        <w:tc>
          <w:tcPr/>
          <w:p>
            <w:pPr>
              <w:pStyle w:val="Compact"/>
              <w:jc w:val="left"/>
            </w:pPr>
            <w:r>
              <w:t xml:space="preserve">(0.010)</w:t>
            </w:r>
          </w:p>
        </w:tc>
      </w:tr>
      <w:tr>
        <w:tc>
          <w:tcPr/>
          <w:p>
            <w:pPr>
              <w:pStyle w:val="Compact"/>
              <w:jc w:val="left"/>
            </w:pPr>
            <w:r>
              <w:t xml:space="preserve">Unit-specific linear trends</w:t>
            </w:r>
          </w:p>
        </w:tc>
        <w:tc>
          <w:tcPr/>
          <w:p>
            <w:pPr>
              <w:pStyle w:val="Compact"/>
              <w:jc w:val="left"/>
            </w:pPr>
            <w:r>
              <w:t xml:space="preserve">0.018</w:t>
            </w:r>
            <w:r>
              <w:rPr>
                <w:vertAlign w:val="superscript"/>
              </w:rPr>
              <w:t xml:space="preserve">**</w:t>
            </w:r>
          </w:p>
        </w:tc>
        <w:tc>
          <w:tcPr/>
          <w:p>
            <w:pPr>
              <w:pStyle w:val="Compact"/>
              <w:jc w:val="left"/>
            </w:pPr>
            <w:r>
              <w:t xml:space="preserve">0.117</w:t>
            </w:r>
            <w:r>
              <w:rPr>
                <w:vertAlign w:val="superscript"/>
              </w:rPr>
              <w:t xml:space="preserve">***</w:t>
            </w:r>
          </w:p>
        </w:tc>
        <w:tc>
          <w:tcPr/>
          <w:p>
            <w:pPr>
              <w:pStyle w:val="Compact"/>
              <w:jc w:val="left"/>
            </w:pPr>
            <w:r>
              <w:t xml:space="preserve">0.065</w:t>
            </w:r>
            <w:r>
              <w:rPr>
                <w:vertAlign w:val="superscript"/>
              </w:rPr>
              <w:t xml:space="preserve">***</w:t>
            </w:r>
          </w:p>
        </w:tc>
        <w:tc>
          <w:tcPr/>
          <w:p>
            <w:pPr>
              <w:pStyle w:val="Compact"/>
              <w:jc w:val="left"/>
            </w:pPr>
            <w:r>
              <w:t xml:space="preserve">0.001</w:t>
            </w:r>
          </w:p>
        </w:tc>
        <w:tc>
          <w:tcPr/>
          <w:p>
            <w:pPr>
              <w:pStyle w:val="Compact"/>
              <w:jc w:val="left"/>
            </w:pPr>
            <w:r>
              <w:t xml:space="preserve">-0.026</w:t>
            </w:r>
            <w:r>
              <w:rPr>
                <w:vertAlign w:val="superscript"/>
              </w:rPr>
              <w:t xml:space="preserve">***</w:t>
            </w:r>
          </w:p>
        </w:tc>
        <w:tc>
          <w:tcPr/>
          <w:p>
            <w:pPr>
              <w:pStyle w:val="Compact"/>
              <w:jc w:val="left"/>
            </w:pPr>
            <w:r>
              <w:t xml:space="preserve">-0.011</w:t>
            </w:r>
            <w:r>
              <w:rPr>
                <w:vertAlign w:val="superscript"/>
              </w:rPr>
              <w:t xml:space="preserve">**</w:t>
            </w:r>
          </w:p>
        </w:tc>
      </w:tr>
      <w:tr>
        <w:tc>
          <w:tcPr/>
          <w:p>
            <w:pPr>
              <w:pStyle w:val="Compact"/>
            </w:pPr>
          </w:p>
        </w:tc>
        <w:tc>
          <w:tcPr/>
          <w:p>
            <w:pPr>
              <w:pStyle w:val="Compact"/>
              <w:jc w:val="left"/>
            </w:pPr>
            <w:r>
              <w:t xml:space="preserve">(0.008)</w:t>
            </w:r>
          </w:p>
        </w:tc>
        <w:tc>
          <w:tcPr/>
          <w:p>
            <w:pPr>
              <w:pStyle w:val="Compact"/>
              <w:jc w:val="left"/>
            </w:pPr>
            <w:r>
              <w:t xml:space="preserve">(0.033)</w:t>
            </w:r>
          </w:p>
        </w:tc>
        <w:tc>
          <w:tcPr/>
          <w:p>
            <w:pPr>
              <w:pStyle w:val="Compact"/>
              <w:jc w:val="left"/>
            </w:pPr>
            <w:r>
              <w:t xml:space="preserve">(0.019)</w:t>
            </w:r>
          </w:p>
        </w:tc>
        <w:tc>
          <w:tcPr/>
          <w:p>
            <w:pPr>
              <w:pStyle w:val="Compact"/>
              <w:jc w:val="left"/>
            </w:pPr>
            <w:r>
              <w:t xml:space="preserve">(0.005)</w:t>
            </w:r>
          </w:p>
        </w:tc>
        <w:tc>
          <w:tcPr/>
          <w:p>
            <w:pPr>
              <w:pStyle w:val="Compact"/>
              <w:jc w:val="left"/>
            </w:pPr>
            <w:r>
              <w:t xml:space="preserve">(0.007)</w:t>
            </w:r>
          </w:p>
        </w:tc>
        <w:tc>
          <w:tcPr/>
          <w:p>
            <w:pPr>
              <w:pStyle w:val="Compact"/>
              <w:jc w:val="left"/>
            </w:pPr>
            <w:r>
              <w:t xml:space="preserve">(0.006)</w:t>
            </w:r>
          </w:p>
        </w:tc>
      </w:tr>
    </w:tbl>
    <w:p>
      <w:pPr>
        <w:pStyle w:val="BodyText"/>
      </w:pPr>
      <w:r>
        <w:t xml:space="preserve">Notes: Regression (7): unit and year-month fixed effects, controls for age, sex, race and Hispanic origin, survey weights, standard errors clustered by state in parentheses. Raising units: units whose effective minimum changed between January 2010 and August 2026 (the federal-floor states and their counties are dropped). The lead row adds the log minimum 24 months ahead to the regression and reports its coefficient.</w:t>
      </w:r>
      <w:r>
        <w:t xml:space="preserve"> </w:t>
      </w:r>
      <w:r>
        <w:rPr>
          <w:vertAlign w:val="superscript"/>
        </w:rPr>
        <w:t xml:space="preserve">*</w:t>
      </w:r>
      <w:r>
        <w:t xml:space="preserve">,</w:t>
      </w:r>
      <w:r>
        <w:t xml:space="preserve"> </w:t>
      </w:r>
      <w:r>
        <w:rPr>
          <w:vertAlign w:val="superscript"/>
        </w:rPr>
        <w:t xml:space="preserve">**</w:t>
      </w:r>
      <w:r>
        <w:t xml:space="preserve">,</w:t>
      </w:r>
      <w:r>
        <w:t xml:space="preserve"> </w:t>
      </w:r>
      <w:r>
        <w:rPr>
          <w:vertAlign w:val="superscript"/>
        </w:rPr>
        <w:t xml:space="preserve">***</w:t>
      </w:r>
      <w:r>
        <w:t xml:space="preserve">: significant at 10, 5 and 1 percent.</w:t>
      </w:r>
    </w:p>
    <w:bookmarkEnd w:id="83"/>
    <w:bookmarkStart w:id="87" w:name="Xe215b0c998fad8d12685ef88fdc35d7a038316a"/>
    <w:p>
      <w:pPr>
        <w:pStyle w:val="Heading1"/>
      </w:pPr>
      <w:r>
        <w:t xml:space="preserve">D Socioeconomic standing: within-year median split</w:t>
      </w:r>
    </w:p>
    <w:p>
      <w:pPr>
        <w:pStyle w:val="FirstParagraph"/>
      </w:pPr>
      <w:r>
        <w:t xml:space="preserve">Tables 33 and 34 and Figure 14 repeat Section 5’s income split with the threshold set at the weighted median household income category among 16–19 year olds in each survey year, so that the low-income group is the poorer half of teens in every year rather than a nominal band. The results are the same as with the $50,000 split: the wage gain is 5.0 percent (s.e. 1.9) at 16–17 and 4.2 (1.3) at 18–19 for the poorer half against 5.2 (1.4) and 2.2 (0.8) for the richer half, and no school–work share moves in either group at either age.</w:t>
      </w:r>
    </w:p>
    <w:p>
      <w:pPr>
        <w:pStyle w:val="TableCaption"/>
      </w:pPr>
      <w:r>
        <w:t xml:space="preserve">Table 33: School–work status by family income, within-year median split, post-event averages</w:t>
      </w:r>
    </w:p>
    <w:tbl>
      <w:tblPr>
        <w:tblStyle w:val="Table"/>
        <w:tblW w:type="dxa" w:w="9360"/>
        <w:tblLook w:firstRow="0" w:lastRow="0" w:firstColumn="0" w:lastColumn="0" w:noHBand="0" w:noVBand="0" w:val="0000"/>
        <w:jc w:val="start"/>
        <w:tblCaption w:val="Table 33: School–work status by family income, within-year median split, post-event average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Enrolled and employed</w:t>
            </w:r>
          </w:p>
        </w:tc>
        <w:tc>
          <w:tcPr/>
          <w:p>
            <w:pPr>
              <w:pStyle w:val="Compact"/>
              <w:jc w:val="left"/>
            </w:pPr>
            <w:r>
              <w:t xml:space="preserve">0.006</w:t>
            </w:r>
          </w:p>
        </w:tc>
        <w:tc>
          <w:tcPr/>
          <w:p>
            <w:pPr>
              <w:pStyle w:val="Compact"/>
              <w:jc w:val="left"/>
            </w:pPr>
            <w:r>
              <w:t xml:space="preserve">-0.009</w:t>
            </w:r>
            <w:r>
              <w:rPr>
                <w:vertAlign w:val="superscript"/>
              </w:rPr>
              <w:t xml:space="preserve">**</w:t>
            </w:r>
          </w:p>
        </w:tc>
        <w:tc>
          <w:tcPr/>
          <w:p>
            <w:pPr>
              <w:pStyle w:val="Compact"/>
              <w:jc w:val="left"/>
            </w:pPr>
            <w:r>
              <w:t xml:space="preserve">0.006</w:t>
            </w:r>
          </w:p>
        </w:tc>
        <w:tc>
          <w:tcPr/>
          <w:p>
            <w:pPr>
              <w:pStyle w:val="Compact"/>
              <w:jc w:val="left"/>
            </w:pPr>
            <w:r>
              <w:t xml:space="preserve">0.009</w:t>
            </w:r>
          </w:p>
        </w:tc>
        <w:tc>
          <w:tcPr/>
          <w:p>
            <w:pPr>
              <w:pStyle w:val="Compact"/>
              <w:jc w:val="left"/>
            </w:pPr>
            <w:r>
              <w:t xml:space="preserve">0.006</w:t>
            </w:r>
          </w:p>
        </w:tc>
        <w:tc>
          <w:tcPr/>
          <w:p>
            <w:pPr>
              <w:pStyle w:val="Compact"/>
              <w:jc w:val="left"/>
            </w:pPr>
            <w:r>
              <w:t xml:space="preserve">-0.002</w:t>
            </w:r>
          </w:p>
        </w:tc>
      </w:tr>
      <w:tr>
        <w:tc>
          <w:tcPr/>
          <w:p>
            <w:pPr>
              <w:pStyle w:val="Compact"/>
            </w:pPr>
          </w:p>
        </w:tc>
        <w:tc>
          <w:tcPr/>
          <w:p>
            <w:pPr>
              <w:pStyle w:val="Compact"/>
              <w:jc w:val="left"/>
            </w:pPr>
            <w:r>
              <w:t xml:space="preserve">(0.008)</w:t>
            </w:r>
          </w:p>
        </w:tc>
        <w:tc>
          <w:tcPr/>
          <w:p>
            <w:pPr>
              <w:pStyle w:val="Compact"/>
              <w:jc w:val="left"/>
            </w:pPr>
            <w:r>
              <w:t xml:space="preserve">(0.005)</w:t>
            </w:r>
          </w:p>
        </w:tc>
        <w:tc>
          <w:tcPr/>
          <w:p>
            <w:pPr>
              <w:pStyle w:val="Compact"/>
              <w:jc w:val="left"/>
            </w:pPr>
            <w:r>
              <w:t xml:space="preserve">(0.006)</w:t>
            </w:r>
          </w:p>
        </w:tc>
        <w:tc>
          <w:tcPr/>
          <w:p>
            <w:pPr>
              <w:pStyle w:val="Compact"/>
              <w:jc w:val="left"/>
            </w:pPr>
            <w:r>
              <w:t xml:space="preserve">(0.010)</w:t>
            </w:r>
          </w:p>
        </w:tc>
        <w:tc>
          <w:tcPr/>
          <w:p>
            <w:pPr>
              <w:pStyle w:val="Compact"/>
              <w:jc w:val="left"/>
            </w:pPr>
            <w:r>
              <w:t xml:space="preserve">(0.005)</w:t>
            </w:r>
          </w:p>
        </w:tc>
        <w:tc>
          <w:tcPr/>
          <w:p>
            <w:pPr>
              <w:pStyle w:val="Compact"/>
              <w:jc w:val="left"/>
            </w:pPr>
            <w:r>
              <w:t xml:space="preserve">(0.005)</w:t>
            </w:r>
          </w:p>
        </w:tc>
      </w:tr>
      <w:tr>
        <w:tc>
          <w:tcPr/>
          <w:p>
            <w:pPr>
              <w:pStyle w:val="Compact"/>
              <w:jc w:val="left"/>
            </w:pPr>
            <w:r>
              <w:t xml:space="preserve">Enrolled only</w:t>
            </w:r>
          </w:p>
        </w:tc>
        <w:tc>
          <w:tcPr/>
          <w:p>
            <w:pPr>
              <w:pStyle w:val="Compact"/>
              <w:jc w:val="left"/>
            </w:pPr>
            <w:r>
              <w:t xml:space="preserve">-0.008</w:t>
            </w:r>
          </w:p>
        </w:tc>
        <w:tc>
          <w:tcPr/>
          <w:p>
            <w:pPr>
              <w:pStyle w:val="Compact"/>
              <w:jc w:val="left"/>
            </w:pPr>
            <w:r>
              <w:t xml:space="preserve">0.006</w:t>
            </w:r>
          </w:p>
        </w:tc>
        <w:tc>
          <w:tcPr/>
          <w:p>
            <w:pPr>
              <w:pStyle w:val="Compact"/>
              <w:jc w:val="left"/>
            </w:pPr>
            <w:r>
              <w:t xml:space="preserve">-0.001</w:t>
            </w:r>
          </w:p>
        </w:tc>
        <w:tc>
          <w:tcPr/>
          <w:p>
            <w:pPr>
              <w:pStyle w:val="Compact"/>
              <w:jc w:val="left"/>
            </w:pPr>
            <w:r>
              <w:t xml:space="preserve">-0.009</w:t>
            </w:r>
          </w:p>
        </w:tc>
        <w:tc>
          <w:tcPr/>
          <w:p>
            <w:pPr>
              <w:pStyle w:val="Compact"/>
              <w:jc w:val="left"/>
            </w:pPr>
            <w:r>
              <w:t xml:space="preserve">-0.006</w:t>
            </w:r>
          </w:p>
        </w:tc>
        <w:tc>
          <w:tcPr/>
          <w:p>
            <w:pPr>
              <w:pStyle w:val="Compact"/>
              <w:jc w:val="left"/>
            </w:pPr>
            <w:r>
              <w:t xml:space="preserve">0.003</w:t>
            </w:r>
          </w:p>
        </w:tc>
      </w:tr>
      <w:tr>
        <w:tc>
          <w:tcPr/>
          <w:p>
            <w:pPr>
              <w:pStyle w:val="Compact"/>
            </w:pPr>
          </w:p>
        </w:tc>
        <w:tc>
          <w:tcPr/>
          <w:p>
            <w:pPr>
              <w:pStyle w:val="Compact"/>
              <w:jc w:val="left"/>
            </w:pPr>
            <w:r>
              <w:t xml:space="preserve">(0.011)</w:t>
            </w:r>
          </w:p>
        </w:tc>
        <w:tc>
          <w:tcPr/>
          <w:p>
            <w:pPr>
              <w:pStyle w:val="Compact"/>
              <w:jc w:val="left"/>
            </w:pPr>
            <w:r>
              <w:t xml:space="preserve">(0.005)</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(0.006)</w:t>
            </w:r>
          </w:p>
        </w:tc>
        <w:tc>
          <w:tcPr/>
          <w:p>
            <w:pPr>
              <w:pStyle w:val="Compact"/>
              <w:jc w:val="left"/>
            </w:pPr>
            <w:r>
              <w:t xml:space="preserve">(0.004)</w:t>
            </w:r>
          </w:p>
        </w:tc>
      </w:tr>
      <w:tr>
        <w:tc>
          <w:tcPr/>
          <w:p>
            <w:pPr>
              <w:pStyle w:val="Compact"/>
              <w:jc w:val="left"/>
            </w:pPr>
            <w:r>
              <w:t xml:space="preserve">Employed only</w:t>
            </w:r>
          </w:p>
        </w:tc>
        <w:tc>
          <w:tcPr/>
          <w:p>
            <w:pPr>
              <w:pStyle w:val="Compact"/>
              <w:jc w:val="left"/>
            </w:pPr>
            <w:r>
              <w:t xml:space="preserve">-0.001</w:t>
            </w:r>
          </w:p>
        </w:tc>
        <w:tc>
          <w:tcPr/>
          <w:p>
            <w:pPr>
              <w:pStyle w:val="Compact"/>
              <w:jc w:val="left"/>
            </w:pPr>
            <w:r>
              <w:t xml:space="preserve">0.004</w:t>
            </w:r>
          </w:p>
        </w:tc>
        <w:tc>
          <w:tcPr/>
          <w:p>
            <w:pPr>
              <w:pStyle w:val="Compact"/>
              <w:jc w:val="left"/>
            </w:pPr>
            <w:r>
              <w:t xml:space="preserve">0.001</w:t>
            </w:r>
          </w:p>
        </w:tc>
        <w:tc>
          <w:tcPr/>
          <w:p>
            <w:pPr>
              <w:pStyle w:val="Compact"/>
              <w:jc w:val="left"/>
            </w:pPr>
            <w:r>
              <w:t xml:space="preserve">0.006</w:t>
            </w:r>
          </w:p>
        </w:tc>
        <w:tc>
          <w:tcPr/>
          <w:p>
            <w:pPr>
              <w:pStyle w:val="Compact"/>
              <w:jc w:val="left"/>
            </w:pPr>
            <w:r>
              <w:t xml:space="preserve">0.001</w:t>
            </w:r>
          </w:p>
        </w:tc>
        <w:tc>
          <w:tcPr/>
          <w:p>
            <w:pPr>
              <w:pStyle w:val="Compact"/>
              <w:jc w:val="left"/>
            </w:pPr>
            <w:r>
              <w:t xml:space="preserve">0.003</w:t>
            </w:r>
          </w:p>
        </w:tc>
      </w:tr>
      <w:tr>
        <w:tc>
          <w:tcPr/>
          <w:p>
            <w:pPr>
              <w:pStyle w:val="Compact"/>
            </w:pPr>
          </w:p>
        </w:tc>
        <w:tc>
          <w:tcPr/>
          <w:p>
            <w:pPr>
              <w:pStyle w:val="Compact"/>
              <w:jc w:val="left"/>
            </w:pPr>
            <w:r>
              <w:t xml:space="preserve">(0.004)</w:t>
            </w:r>
          </w:p>
        </w:tc>
        <w:tc>
          <w:tcPr/>
          <w:p>
            <w:pPr>
              <w:pStyle w:val="Compact"/>
              <w:jc w:val="left"/>
            </w:pPr>
            <w:r>
              <w:t xml:space="preserve">(0.003)</w:t>
            </w:r>
          </w:p>
        </w:tc>
        <w:tc>
          <w:tcPr/>
          <w:p>
            <w:pPr>
              <w:pStyle w:val="Compact"/>
              <w:jc w:val="left"/>
            </w:pPr>
            <w:r>
              <w:t xml:space="preserve">(0.009)</w:t>
            </w:r>
          </w:p>
        </w:tc>
        <w:tc>
          <w:tcPr/>
          <w:p>
            <w:pPr>
              <w:pStyle w:val="Compact"/>
              <w:jc w:val="left"/>
            </w:pPr>
            <w:r>
              <w:t xml:space="preserve">(0.009)</w:t>
            </w:r>
          </w:p>
        </w:tc>
        <w:tc>
          <w:tcPr/>
          <w:p>
            <w:pPr>
              <w:pStyle w:val="Compact"/>
              <w:jc w:val="left"/>
            </w:pPr>
            <w:r>
              <w:t xml:space="preserve">(0.005)</w:t>
            </w:r>
          </w:p>
        </w:tc>
        <w:tc>
          <w:tcPr/>
          <w:p>
            <w:pPr>
              <w:pStyle w:val="Compact"/>
              <w:jc w:val="left"/>
            </w:pPr>
            <w:r>
              <w:t xml:space="preserve">(0.005)</w:t>
            </w:r>
          </w:p>
        </w:tc>
      </w:tr>
      <w:tr>
        <w:tc>
          <w:tcPr/>
          <w:p>
            <w:pPr>
              <w:pStyle w:val="Compact"/>
              <w:jc w:val="left"/>
            </w:pPr>
            <w:r>
              <w:t xml:space="preserve">Neither enrolled nor employed</w:t>
            </w:r>
          </w:p>
        </w:tc>
        <w:tc>
          <w:tcPr/>
          <w:p>
            <w:pPr>
              <w:pStyle w:val="Compact"/>
              <w:jc w:val="left"/>
            </w:pPr>
            <w:r>
              <w:t xml:space="preserve">0.003</w:t>
            </w:r>
          </w:p>
        </w:tc>
        <w:tc>
          <w:tcPr/>
          <w:p>
            <w:pPr>
              <w:pStyle w:val="Compact"/>
              <w:jc w:val="left"/>
            </w:pPr>
            <w:r>
              <w:t xml:space="preserve">-0.001</w:t>
            </w:r>
          </w:p>
        </w:tc>
        <w:tc>
          <w:tcPr/>
          <w:p>
            <w:pPr>
              <w:pStyle w:val="Compact"/>
              <w:jc w:val="left"/>
            </w:pPr>
            <w:r>
              <w:t xml:space="preserve">-0.007</w:t>
            </w:r>
          </w:p>
        </w:tc>
        <w:tc>
          <w:tcPr/>
          <w:p>
            <w:pPr>
              <w:pStyle w:val="Compact"/>
              <w:jc w:val="left"/>
            </w:pPr>
            <w:r>
              <w:t xml:space="preserve">-0.007</w:t>
            </w:r>
          </w:p>
        </w:tc>
        <w:tc>
          <w:tcPr/>
          <w:p>
            <w:pPr>
              <w:pStyle w:val="Compact"/>
              <w:jc w:val="left"/>
            </w:pPr>
            <w:r>
              <w:t xml:space="preserve">-0.001</w:t>
            </w:r>
          </w:p>
        </w:tc>
        <w:tc>
          <w:tcPr/>
          <w:p>
            <w:pPr>
              <w:pStyle w:val="Compact"/>
              <w:jc w:val="left"/>
            </w:pPr>
            <w:r>
              <w:t xml:space="preserve">-0.004</w:t>
            </w:r>
          </w:p>
        </w:tc>
      </w:tr>
      <w:tr>
        <w:tc>
          <w:tcPr/>
          <w:p>
            <w:pPr>
              <w:pStyle w:val="Compact"/>
            </w:pPr>
          </w:p>
        </w:tc>
        <w:tc>
          <w:tcPr/>
          <w:p>
            <w:pPr>
              <w:pStyle w:val="Compact"/>
              <w:jc w:val="left"/>
            </w:pPr>
            <w:r>
              <w:t xml:space="preserve">(0.005)</w:t>
            </w:r>
          </w:p>
        </w:tc>
        <w:tc>
          <w:tcPr/>
          <w:p>
            <w:pPr>
              <w:pStyle w:val="Compact"/>
              <w:jc w:val="left"/>
            </w:pPr>
            <w:r>
              <w:t xml:space="preserve">(0.004)</w:t>
            </w:r>
          </w:p>
        </w:tc>
        <w:tc>
          <w:tcPr/>
          <w:p>
            <w:pPr>
              <w:pStyle w:val="Compact"/>
              <w:jc w:val="left"/>
            </w:pPr>
            <w:r>
              <w:t xml:space="preserve">(0.007)</w:t>
            </w:r>
          </w:p>
        </w:tc>
        <w:tc>
          <w:tcPr/>
          <w:p>
            <w:pPr>
              <w:pStyle w:val="Compact"/>
              <w:jc w:val="left"/>
            </w:pPr>
            <w:r>
              <w:t xml:space="preserve">(0.006)</w:t>
            </w:r>
          </w:p>
        </w:tc>
        <w:tc>
          <w:tcPr/>
          <w:p>
            <w:pPr>
              <w:pStyle w:val="Compact"/>
              <w:jc w:val="left"/>
            </w:pPr>
            <w:r>
              <w:t xml:space="preserve">(0.004)</w:t>
            </w:r>
          </w:p>
        </w:tc>
        <w:tc>
          <w:tcPr/>
          <w:p>
            <w:pPr>
              <w:pStyle w:val="Compact"/>
              <w:jc w:val="left"/>
            </w:pPr>
            <w:r>
              <w:t xml:space="preserve">(0.004)</w:t>
            </w:r>
          </w:p>
        </w:tc>
      </w:tr>
      <w:tr>
        <w:tc>
          <w:tcPr/>
          <w:p>
            <w:pPr>
              <w:pStyle w:val="Compact"/>
              <w:jc w:val="left"/>
            </w:pPr>
            <w:r>
              <w:t xml:space="preserve">Enrolled (first two rows)</w:t>
            </w:r>
          </w:p>
        </w:tc>
        <w:tc>
          <w:tcPr/>
          <w:p>
            <w:pPr>
              <w:pStyle w:val="Compact"/>
              <w:jc w:val="left"/>
            </w:pPr>
            <w:r>
              <w:t xml:space="preserve">-0.002</w:t>
            </w:r>
          </w:p>
        </w:tc>
        <w:tc>
          <w:tcPr/>
          <w:p>
            <w:pPr>
              <w:pStyle w:val="Compact"/>
              <w:jc w:val="left"/>
            </w:pPr>
            <w:r>
              <w:t xml:space="preserve">-0.003</w:t>
            </w:r>
          </w:p>
        </w:tc>
        <w:tc>
          <w:tcPr/>
          <w:p>
            <w:pPr>
              <w:pStyle w:val="Compact"/>
              <w:jc w:val="left"/>
            </w:pPr>
            <w:r>
              <w:t xml:space="preserve">0.006</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0.001</w:t>
            </w:r>
          </w:p>
        </w:tc>
      </w:tr>
      <w:tr>
        <w:tc>
          <w:tcPr/>
          <w:p>
            <w:pPr>
              <w:pStyle w:val="Compact"/>
            </w:pPr>
          </w:p>
        </w:tc>
        <w:tc>
          <w:tcPr/>
          <w:p>
            <w:pPr>
              <w:pStyle w:val="Compact"/>
              <w:jc w:val="left"/>
            </w:pPr>
            <w:r>
              <w:t xml:space="preserve">(0.006)</w:t>
            </w:r>
          </w:p>
        </w:tc>
        <w:tc>
          <w:tcPr/>
          <w:p>
            <w:pPr>
              <w:pStyle w:val="Compact"/>
              <w:jc w:val="left"/>
            </w:pPr>
            <w:r>
              <w:t xml:space="preserve">(0.004)</w:t>
            </w:r>
          </w:p>
        </w:tc>
        <w:tc>
          <w:tcPr/>
          <w:p>
            <w:pPr>
              <w:pStyle w:val="Compact"/>
              <w:jc w:val="left"/>
            </w:pPr>
            <w:r>
              <w:t xml:space="preserve">(0.010)</w:t>
            </w:r>
          </w:p>
        </w:tc>
        <w:tc>
          <w:tcPr/>
          <w:p>
            <w:pPr>
              <w:pStyle w:val="Compact"/>
              <w:jc w:val="left"/>
            </w:pPr>
            <w:r>
              <w:t xml:space="preserve">(0.012)</w:t>
            </w:r>
          </w:p>
        </w:tc>
        <w:tc>
          <w:tcPr/>
          <w:p>
            <w:pPr>
              <w:pStyle w:val="Compact"/>
              <w:jc w:val="left"/>
            </w:pPr>
            <w:r>
              <w:t xml:space="preserve">(0.005)</w:t>
            </w:r>
          </w:p>
        </w:tc>
        <w:tc>
          <w:tcPr/>
          <w:p>
            <w:pPr>
              <w:pStyle w:val="Compact"/>
              <w:jc w:val="left"/>
            </w:pPr>
            <w:r>
              <w:t xml:space="preserve">(0.007)</w:t>
            </w:r>
          </w:p>
        </w:tc>
      </w:tr>
      <w:tr>
        <w:tc>
          <w:tcPr/>
          <w:p>
            <w:pPr>
              <w:pStyle w:val="Compact"/>
              <w:jc w:val="left"/>
            </w:pPr>
            <w:r>
              <w:t xml:space="preserve">Employed (first and third rows)</w:t>
            </w:r>
          </w:p>
        </w:tc>
        <w:tc>
          <w:tcPr/>
          <w:p>
            <w:pPr>
              <w:pStyle w:val="Compact"/>
              <w:jc w:val="left"/>
            </w:pPr>
            <w:r>
              <w:t xml:space="preserve">0.005</w:t>
            </w:r>
          </w:p>
        </w:tc>
        <w:tc>
          <w:tcPr/>
          <w:p>
            <w:pPr>
              <w:pStyle w:val="Compact"/>
              <w:jc w:val="left"/>
            </w:pPr>
            <w:r>
              <w:t xml:space="preserve">-0.005</w:t>
            </w:r>
          </w:p>
        </w:tc>
        <w:tc>
          <w:tcPr/>
          <w:p>
            <w:pPr>
              <w:pStyle w:val="Compact"/>
              <w:jc w:val="left"/>
            </w:pPr>
            <w:r>
              <w:t xml:space="preserve">0.007</w:t>
            </w:r>
          </w:p>
        </w:tc>
        <w:tc>
          <w:tcPr/>
          <w:p>
            <w:pPr>
              <w:pStyle w:val="Compact"/>
              <w:jc w:val="left"/>
            </w:pPr>
            <w:r>
              <w:t xml:space="preserve">0.016</w:t>
            </w:r>
          </w:p>
        </w:tc>
        <w:tc>
          <w:tcPr/>
          <w:p>
            <w:pPr>
              <w:pStyle w:val="Compact"/>
              <w:jc w:val="left"/>
            </w:pPr>
            <w:r>
              <w:t xml:space="preserve">0.007</w:t>
            </w:r>
          </w:p>
        </w:tc>
        <w:tc>
          <w:tcPr/>
          <w:p>
            <w:pPr>
              <w:pStyle w:val="Compact"/>
              <w:jc w:val="left"/>
            </w:pPr>
            <w:r>
              <w:t xml:space="preserve">0.001</w:t>
            </w:r>
          </w:p>
        </w:tc>
      </w:tr>
      <w:tr>
        <w:tc>
          <w:tcPr/>
          <w:p>
            <w:pPr>
              <w:pStyle w:val="Compact"/>
            </w:pPr>
          </w:p>
        </w:tc>
        <w:tc>
          <w:tcPr/>
          <w:p>
            <w:pPr>
              <w:pStyle w:val="Compact"/>
              <w:jc w:val="left"/>
            </w:pPr>
            <w:r>
              <w:t xml:space="preserve">(0.010)</w:t>
            </w:r>
          </w:p>
        </w:tc>
        <w:tc>
          <w:tcPr/>
          <w:p>
            <w:pPr>
              <w:pStyle w:val="Compact"/>
              <w:jc w:val="left"/>
            </w:pPr>
            <w:r>
              <w:t xml:space="preserve">(0.005)</w:t>
            </w:r>
          </w:p>
        </w:tc>
        <w:tc>
          <w:tcPr/>
          <w:p>
            <w:pPr>
              <w:pStyle w:val="Compact"/>
              <w:jc w:val="left"/>
            </w:pPr>
            <w:r>
              <w:t xml:space="preserve">(0.010)</w:t>
            </w:r>
          </w:p>
        </w:tc>
        <w:tc>
          <w:tcPr/>
          <w:p>
            <w:pPr>
              <w:pStyle w:val="Compact"/>
              <w:jc w:val="left"/>
            </w:pPr>
            <w:r>
              <w:t xml:space="preserve">(0.010)</w:t>
            </w:r>
          </w:p>
        </w:tc>
        <w:tc>
          <w:tcPr/>
          <w:p>
            <w:pPr>
              <w:pStyle w:val="Compact"/>
              <w:jc w:val="left"/>
            </w:pPr>
            <w:r>
              <w:t xml:space="preserve">(0.008)</w:t>
            </w:r>
          </w:p>
        </w:tc>
        <w:tc>
          <w:tcPr/>
          <w:p>
            <w:pPr>
              <w:pStyle w:val="Compact"/>
              <w:jc w:val="left"/>
            </w:pPr>
            <w:r>
              <w:t xml:space="preserve">(0.005)</w:t>
            </w:r>
          </w:p>
        </w:tc>
      </w:tr>
    </w:tbl>
    <w:p/>
    <w:p>
      <w:pPr>
        <w:pStyle w:val="TableCaption"/>
      </w:pPr>
      <w:r>
        <w:t xml:space="preserve">Table 34: Wages and earnings by family income, within-year median split, post-event averages</w:t>
      </w:r>
    </w:p>
    <w:tbl>
      <w:tblPr>
        <w:tblStyle w:val="Table"/>
        <w:tblW w:type="dxa" w:w="9360"/>
        <w:tblLook w:firstRow="0" w:lastRow="0" w:firstColumn="0" w:lastColumn="0" w:noHBand="0" w:noVBand="0" w:val="0000"/>
        <w:jc w:val="start"/>
        <w:tblCaption w:val="Table 34: Wages and earnings by family income, within-year median split, post-event averages"/>
      </w:tblPr>
      <w:tblGrid>
        <w:gridCol w:w="2808"/>
        <w:gridCol w:w="1092"/>
        <w:gridCol w:w="1092"/>
        <w:gridCol w:w="1092"/>
        <w:gridCol w:w="1092"/>
        <w:gridCol w:w="1092"/>
        <w:gridCol w:w="1092"/>
      </w:tblGrid>
      <w:tr>
        <w:tc>
          <w:tcPr/>
          <w:p>
            <w:pPr>
              <w:pStyle w:val="Compact"/>
            </w:pPr>
          </w:p>
        </w:tc>
        <w:tc>
          <w:tcPr>
            <w:gridSpan w:val="2"/>
          </w:tcPr>
          <w:p>
            <w:pPr>
              <w:pStyle w:val="Compact"/>
              <w:jc w:val="center"/>
            </w:pPr>
            <w:r>
              <w:t xml:space="preserve">Ages 16–17</w:t>
            </w:r>
          </w:p>
        </w:tc>
        <w:tc>
          <w:tcPr>
            <w:gridSpan w:val="2"/>
          </w:tcPr>
          <w:p>
            <w:pPr>
              <w:pStyle w:val="Compact"/>
              <w:jc w:val="center"/>
            </w:pPr>
            <w:r>
              <w:t xml:space="preserve">Ages 18–19</w:t>
            </w:r>
          </w:p>
        </w:tc>
        <w:tc>
          <w:tcPr>
            <w:gridSpan w:val="2"/>
          </w:tcPr>
          <w:p>
            <w:pPr>
              <w:pStyle w:val="Compact"/>
              <w:jc w:val="center"/>
            </w:pPr>
            <w:r>
              <w:t xml:space="preserve">Ages 16–19</w:t>
            </w:r>
          </w:p>
        </w:tc>
      </w:tr>
      <w:tr>
        <w:tc>
          <w:tcPr/>
          <w:p>
            <w:pPr>
              <w:pStyle w:val="Compact"/>
            </w:pP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Log hourly wage, hourly-paid teens</w:t>
            </w:r>
          </w:p>
        </w:tc>
        <w:tc>
          <w:tcPr/>
          <w:p>
            <w:pPr>
              <w:pStyle w:val="Compact"/>
              <w:jc w:val="left"/>
            </w:pPr>
            <w:r>
              <w:t xml:space="preserve">0.050</w:t>
            </w:r>
            <w:r>
              <w:rPr>
                <w:vertAlign w:val="superscript"/>
              </w:rPr>
              <w:t xml:space="preserve">***</w:t>
            </w:r>
          </w:p>
        </w:tc>
        <w:tc>
          <w:tcPr/>
          <w:p>
            <w:pPr>
              <w:pStyle w:val="Compact"/>
              <w:jc w:val="left"/>
            </w:pPr>
            <w:r>
              <w:t xml:space="preserve">0.052</w:t>
            </w:r>
            <w:r>
              <w:rPr>
                <w:vertAlign w:val="superscript"/>
              </w:rPr>
              <w:t xml:space="preserve">***</w:t>
            </w:r>
          </w:p>
        </w:tc>
        <w:tc>
          <w:tcPr/>
          <w:p>
            <w:pPr>
              <w:pStyle w:val="Compact"/>
              <w:jc w:val="left"/>
            </w:pPr>
            <w:r>
              <w:t xml:space="preserve">0.042</w:t>
            </w:r>
            <w:r>
              <w:rPr>
                <w:vertAlign w:val="superscript"/>
              </w:rPr>
              <w:t xml:space="preserve">***</w:t>
            </w:r>
          </w:p>
        </w:tc>
        <w:tc>
          <w:tcPr/>
          <w:p>
            <w:pPr>
              <w:pStyle w:val="Compact"/>
              <w:jc w:val="left"/>
            </w:pPr>
            <w:r>
              <w:t xml:space="preserve">0.022</w:t>
            </w:r>
            <w:r>
              <w:rPr>
                <w:vertAlign w:val="superscript"/>
              </w:rPr>
              <w:t xml:space="preserve">***</w:t>
            </w:r>
          </w:p>
        </w:tc>
        <w:tc>
          <w:tcPr/>
          <w:p>
            <w:pPr>
              <w:pStyle w:val="Compact"/>
              <w:jc w:val="left"/>
            </w:pPr>
            <w:r>
              <w:t xml:space="preserve">0.043</w:t>
            </w:r>
            <w:r>
              <w:rPr>
                <w:vertAlign w:val="superscript"/>
              </w:rPr>
              <w:t xml:space="preserve">***</w:t>
            </w:r>
          </w:p>
        </w:tc>
        <w:tc>
          <w:tcPr/>
          <w:p>
            <w:pPr>
              <w:pStyle w:val="Compact"/>
              <w:jc w:val="left"/>
            </w:pPr>
            <w:r>
              <w:t xml:space="preserve">0.034</w:t>
            </w:r>
            <w:r>
              <w:rPr>
                <w:vertAlign w:val="superscript"/>
              </w:rPr>
              <w:t xml:space="preserve">***</w:t>
            </w:r>
          </w:p>
        </w:tc>
      </w:tr>
      <w:tr>
        <w:tc>
          <w:tcPr/>
          <w:p>
            <w:pPr>
              <w:pStyle w:val="Compact"/>
            </w:pPr>
          </w:p>
        </w:tc>
        <w:tc>
          <w:tcPr/>
          <w:p>
            <w:pPr>
              <w:pStyle w:val="Compact"/>
              <w:jc w:val="left"/>
            </w:pPr>
            <w:r>
              <w:t xml:space="preserve">(0.019)</w:t>
            </w:r>
          </w:p>
        </w:tc>
        <w:tc>
          <w:tcPr/>
          <w:p>
            <w:pPr>
              <w:pStyle w:val="Compact"/>
              <w:jc w:val="left"/>
            </w:pPr>
            <w:r>
              <w:t xml:space="preserve">(0.014)</w:t>
            </w:r>
          </w:p>
        </w:tc>
        <w:tc>
          <w:tcPr/>
          <w:p>
            <w:pPr>
              <w:pStyle w:val="Compact"/>
              <w:jc w:val="left"/>
            </w:pPr>
            <w:r>
              <w:t xml:space="preserve">(0.013)</w:t>
            </w:r>
          </w:p>
        </w:tc>
        <w:tc>
          <w:tcPr/>
          <w:p>
            <w:pPr>
              <w:pStyle w:val="Compact"/>
              <w:jc w:val="left"/>
            </w:pPr>
            <w:r>
              <w:t xml:space="preserve">(0.008)</w:t>
            </w:r>
          </w:p>
        </w:tc>
        <w:tc>
          <w:tcPr/>
          <w:p>
            <w:pPr>
              <w:pStyle w:val="Compact"/>
              <w:jc w:val="left"/>
            </w:pPr>
            <w:r>
              <w:t xml:space="preserve">(0.012)</w:t>
            </w:r>
          </w:p>
        </w:tc>
        <w:tc>
          <w:tcPr/>
          <w:p>
            <w:pPr>
              <w:pStyle w:val="Compact"/>
              <w:jc w:val="left"/>
            </w:pPr>
            <w:r>
              <w:t xml:space="preserve">(0.009)</w:t>
            </w:r>
          </w:p>
        </w:tc>
      </w:tr>
      <w:tr>
        <w:tc>
          <w:tcPr/>
          <w:p>
            <w:pPr>
              <w:pStyle w:val="Compact"/>
              <w:jc w:val="left"/>
            </w:pPr>
            <w:r>
              <w:t xml:space="preserve">Log weekly earnings, all teen workers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4103076"/>
            <wp:effectExtent b="0" l="0" r="0" t="0"/>
            <wp:docPr descr="" title="" id="85" name="Picture"/>
            <a:graphic>
              <a:graphicData uri="http://schemas.openxmlformats.org/drawingml/2006/picture">
                <pic:pic>
                  <pic:nvPicPr>
                    <pic:cNvPr descr="figures/figA_groups_sesrel.png" id="86" name="Picture"/>
                    <pic:cNvPicPr>
                      <a:picLocks noChangeArrowheads="1" noChangeAspect="1"/>
                    </pic:cNvPicPr>
                  </pic:nvPicPr>
                  <pic:blipFill>
                    <a:blip r:embed="rId84"/>
                    <a:stretch>
                      <a:fillRect/>
                    </a:stretch>
                  </pic:blipFill>
                  <pic:spPr bwMode="auto">
                    <a:xfrm>
                      <a:off x="0" y="0"/>
                      <a:ext cx="5334000" cy="4103076"/>
                    </a:xfrm>
                    <a:prstGeom prst="rect">
                      <a:avLst/>
                    </a:prstGeom>
                    <a:noFill/>
                    <a:ln w="9525">
                      <a:noFill/>
                      <a:headEnd/>
                      <a:tailEnd/>
                    </a:ln>
                  </pic:spPr>
                </pic:pic>
              </a:graphicData>
            </a:graphic>
          </wp:inline>
        </w:drawing>
      </w:r>
    </w:p>
    <w:p>
      <w:pPr>
        <w:pStyle w:val="ImageCaption"/>
      </w:pPr>
      <w:r>
        <w:t xml:space="preserve">Figure 14: Event-time effects on the four school–work shares by family income, within-year median split, ages 16–19</w:t>
      </w:r>
    </w:p>
    <w:bookmarkEnd w:id="87"/>
    <w:bookmarkStart w:id="88" w:name="e-high-school-dropout"/>
    <w:p>
      <w:pPr>
        <w:pStyle w:val="Heading1"/>
      </w:pPr>
      <w:r>
        <w:t xml:space="preserve">E High school dropout</w:t>
      </w:r>
    </w:p>
    <w:p>
      <w:pPr>
        <w:pStyle w:val="FirstParagraph"/>
      </w:pPr>
      <w:r>
        <w:t xml:space="preserve">Table 35 reports the effect on high school dropout, defined as in Smith (2021): not enrolled and without a diploma or GED. Because the basic monthly enrollment item records attendance last week, the measure is inflated in June, July and August (34 percent of 16–18 year olds against 6.4 percent in school months), so the table uses September to May, with the all-month estimate in the last column. Dropout does not fall. At ages 16–18, Smith’s age range, the post-event average is</w:t>
      </w:r>
      <w:r>
        <w:t xml:space="preserve"> </w:t>
      </w:r>
      <m:oMath>
        <m:r>
          <m:rPr>
            <m:sty m:val="p"/>
          </m:rPr>
          <m:t>+</m:t>
        </m:r>
        <m:r>
          <m:t>0.5</m:t>
        </m:r>
      </m:oMath>
      <w:r>
        <w:t xml:space="preserve"> </w:t>
      </w:r>
      <w:r>
        <w:t xml:space="preserve">points (s.e. 0.4) on a base of 6.4 percent, with a pre-event average of</w:t>
      </w:r>
      <w:r>
        <w:t xml:space="preserve"> </w:t>
      </w:r>
      <m:oMath>
        <m:r>
          <m:rPr>
            <m:sty m:val="p"/>
          </m:rPr>
          <m:t>+</m:t>
        </m:r>
        <m:r>
          <m:t>0.3</m:t>
        </m:r>
      </m:oMath>
      <w:r>
        <w:t xml:space="preserve">; at 16–17 it is</w:t>
      </w:r>
      <w:r>
        <w:t xml:space="preserve"> </w:t>
      </w:r>
      <m:oMath>
        <m:r>
          <m:rPr>
            <m:sty m:val="p"/>
          </m:rPr>
          <m:t>+</m:t>
        </m:r>
        <m:r>
          <m:t>0.7</m:t>
        </m:r>
      </m:oMath>
      <w:r>
        <w:t xml:space="preserve"> </w:t>
      </w:r>
      <w:r>
        <w:t xml:space="preserve">(0.3) with a pre-event average of</w:t>
      </w:r>
      <w:r>
        <w:t xml:space="preserve"> </w:t>
      </w:r>
      <m:oMath>
        <m:r>
          <m:rPr>
            <m:sty m:val="p"/>
          </m:rPr>
          <m:t>+</m:t>
        </m:r>
        <m:r>
          <m:t>0.5</m:t>
        </m:r>
      </m:oMath>
      <w:r>
        <w:t xml:space="preserve">, and at 18–19</w:t>
      </w:r>
      <w:r>
        <w:t xml:space="preserve"> </w:t>
      </w:r>
      <m:oMath>
        <m:r>
          <m:rPr>
            <m:sty m:val="p"/>
          </m:rPr>
          <m:t>+</m:t>
        </m:r>
        <m:r>
          <m:t>0.1</m:t>
        </m:r>
      </m:oMath>
      <w:r>
        <w:t xml:space="preserve"> </w:t>
      </w:r>
      <w:r>
        <w:t xml:space="preserve">(0.4). By family income the estimates are</w:t>
      </w:r>
      <w:r>
        <w:t xml:space="preserve"> </w:t>
      </w:r>
      <m:oMath>
        <m:r>
          <m:rPr>
            <m:sty m:val="p"/>
          </m:rPr>
          <m:t>+</m:t>
        </m:r>
        <m:r>
          <m:t>0.9</m:t>
        </m:r>
      </m:oMath>
      <w:r>
        <w:t xml:space="preserve"> </w:t>
      </w:r>
      <w:r>
        <w:t xml:space="preserve">(0.5) for low-income and</w:t>
      </w:r>
      <w:r>
        <w:t xml:space="preserve"> </w:t>
      </w:r>
      <m:oMath>
        <m:r>
          <m:rPr>
            <m:sty m:val="p"/>
          </m:rPr>
          <m:t>+</m:t>
        </m:r>
        <m:r>
          <m:t>0.6</m:t>
        </m:r>
      </m:oMath>
      <w:r>
        <w:t xml:space="preserve"> </w:t>
      </w:r>
      <w:r>
        <w:t xml:space="preserve">(0.4) for high-income 16–17 year olds, each with a pre-event average of about</w:t>
      </w:r>
      <w:r>
        <w:t xml:space="preserve"> </w:t>
      </w:r>
      <m:oMath>
        <m:r>
          <m:rPr>
            <m:sty m:val="p"/>
          </m:rPr>
          <m:t>+</m:t>
        </m:r>
        <m:r>
          <m:t>0.5</m:t>
        </m:r>
      </m:oMath>
      <w:r>
        <w:t xml:space="preserve">, and</w:t>
      </w:r>
      <w:r>
        <w:t xml:space="preserve"> </w:t>
      </w:r>
      <m:oMath>
        <m:r>
          <m:rPr>
            <m:sty m:val="p"/>
          </m:rPr>
          <m:t>−</m:t>
        </m:r>
        <m:r>
          <m:t>0.6</m:t>
        </m:r>
      </m:oMath>
      <w:r>
        <w:t xml:space="preserve"> </w:t>
      </w:r>
      <w:r>
        <w:t xml:space="preserve">(0.8) and</w:t>
      </w:r>
      <w:r>
        <w:t xml:space="preserve"> </w:t>
      </w:r>
      <m:oMath>
        <m:r>
          <m:rPr>
            <m:sty m:val="p"/>
          </m:rPr>
          <m:t>+</m:t>
        </m:r>
        <m:r>
          <m:t>0.2</m:t>
        </m:r>
      </m:oMath>
      <w:r>
        <w:t xml:space="preserve"> </w:t>
      </w:r>
      <w:r>
        <w:t xml:space="preserve">(0.4) at 18–19; the within-year median split gives the same. Net of the pre-event trend the post-event change is within a quarter of a point of zero in every cell. Smith’s estimate, a 0.5 to 1.0 point fall in low-SES dropout per 10 percent rise in the minimum, implies a fall of 2 to 4 points for the increases studied here; the low-income intervals exclude a fall larger than about 0.5 points at 16–17 and 2 points at 18–19.</w:t>
      </w:r>
    </w:p>
    <w:p>
      <w:pPr>
        <w:pStyle w:val="TableCaption"/>
      </w:pPr>
      <w:r>
        <w:t xml:space="preserve">Table 35: High school dropout (not enrolled, no diploma or GED): post-event averages, 73 events from 2010</w:t>
      </w:r>
    </w:p>
    <w:tbl>
      <w:tblPr>
        <w:tblStyle w:val="Table"/>
        <w:tblW w:type="dxa" w:w="9360"/>
        <w:tblLook w:firstRow="0" w:lastRow="0" w:firstColumn="0" w:lastColumn="0" w:noHBand="0" w:noVBand="0" w:val="0000"/>
        <w:jc w:val="start"/>
        <w:tblCaption w:val="Table 35: High school dropout (not enrolled, no diploma or GED): post-event averages, 73 events from 2010"/>
      </w:tblPr>
      <w:tblGrid>
        <w:gridCol w:w="2808"/>
        <w:gridCol w:w="1092"/>
        <w:gridCol w:w="1092"/>
        <w:gridCol w:w="1092"/>
        <w:gridCol w:w="1092"/>
        <w:gridCol w:w="1092"/>
        <w:gridCol w:w="1092"/>
      </w:tblGrid>
      <w:tr>
        <w:tc>
          <w:tcPr/>
          <w:p>
            <w:pPr>
              <w:pStyle w:val="Compact"/>
            </w:pPr>
          </w:p>
        </w:tc>
        <w:tc>
          <w:tcPr/>
          <w:p>
            <w:pPr>
              <w:pStyle w:val="Compact"/>
              <w:jc w:val="left"/>
            </w:pPr>
            <w:r>
              <w:t xml:space="preserve">All</w:t>
            </w:r>
          </w:p>
        </w:tc>
        <w:tc>
          <w:tcPr>
            <w:gridSpan w:val="2"/>
          </w:tcPr>
          <w:p>
            <w:pPr>
              <w:pStyle w:val="Compact"/>
              <w:jc w:val="center"/>
            </w:pPr>
            <w:r>
              <w:t xml:space="preserve">Below / at or above $50,000</w:t>
            </w:r>
          </w:p>
        </w:tc>
        <w:tc>
          <w:tcPr>
            <w:gridSpan w:val="2"/>
          </w:tcPr>
          <w:p>
            <w:pPr>
              <w:pStyle w:val="Compact"/>
              <w:jc w:val="center"/>
            </w:pPr>
            <w:r>
              <w:t xml:space="preserve">Below / at or above median</w:t>
            </w:r>
          </w:p>
        </w:tc>
        <w:tc>
          <w:tcPr/>
          <w:p>
            <w:pPr>
              <w:pStyle w:val="Compact"/>
              <w:jc w:val="left"/>
            </w:pPr>
            <w:r>
              <w:t xml:space="preserve">All months</w:t>
            </w:r>
          </w:p>
        </w:tc>
      </w:tr>
      <w:tr>
        <w:tc>
          <w:tcPr/>
          <w:p>
            <w:pPr>
              <w:pStyle w:val="Compact"/>
            </w:pPr>
          </w:p>
        </w:tc>
        <w:tc>
          <w:tcPr/>
          <w:p>
            <w:pPr>
              <w:pStyle w:val="Compact"/>
              <w:jc w:val="left"/>
            </w:pPr>
            <w:r>
              <w:t xml:space="preserve">Sept–May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pPr>
          </w:p>
        </w:tc>
      </w:tr>
      <w:tr>
        <w:tc>
          <w:tcPr/>
          <w:p>
            <w:pPr>
              <w:pStyle w:val="Compact"/>
              <w:jc w:val="left"/>
            </w:pPr>
            <w:r>
              <w:t xml:space="preserve">Ages 16–17</w:t>
            </w:r>
          </w:p>
        </w:tc>
        <w:tc>
          <w:tcPr/>
          <w:p>
            <w:pPr>
              <w:pStyle w:val="Compact"/>
              <w:jc w:val="left"/>
            </w:pPr>
            <w:r>
              <w:t xml:space="preserve">0.007</w:t>
            </w:r>
            <w:r>
              <w:rPr>
                <w:vertAlign w:val="superscript"/>
              </w:rPr>
              <w:t xml:space="preserve">**</w:t>
            </w:r>
          </w:p>
        </w:tc>
        <w:tc>
          <w:tcPr/>
          <w:p>
            <w:pPr>
              <w:pStyle w:val="Compact"/>
              <w:jc w:val="left"/>
            </w:pPr>
            <w:r>
              <w:t xml:space="preserve">0.009</w:t>
            </w:r>
            <w:r>
              <w:rPr>
                <w:vertAlign w:val="superscript"/>
              </w:rPr>
              <w:t xml:space="preserve">*</w:t>
            </w:r>
          </w:p>
        </w:tc>
        <w:tc>
          <w:tcPr/>
          <w:p>
            <w:pPr>
              <w:pStyle w:val="Compact"/>
              <w:jc w:val="left"/>
            </w:pPr>
            <w:r>
              <w:t xml:space="preserve">0.006</w:t>
            </w:r>
          </w:p>
        </w:tc>
        <w:tc>
          <w:tcPr/>
          <w:p>
            <w:pPr>
              <w:pStyle w:val="Compact"/>
              <w:jc w:val="left"/>
            </w:pPr>
            <w:r>
              <w:t xml:space="preserve">0.008</w:t>
            </w:r>
          </w:p>
        </w:tc>
        <w:tc>
          <w:tcPr/>
          <w:p>
            <w:pPr>
              <w:pStyle w:val="Compact"/>
              <w:jc w:val="left"/>
            </w:pPr>
            <w:r>
              <w:t xml:space="preserve">0.006</w:t>
            </w:r>
          </w:p>
        </w:tc>
        <w:tc>
          <w:tcPr/>
          <w:p>
            <w:pPr>
              <w:pStyle w:val="Compact"/>
              <w:jc w:val="left"/>
            </w:pPr>
            <w:r>
              <w:t xml:space="preserve">0.004</w:t>
            </w:r>
          </w:p>
        </w:tc>
      </w:tr>
      <w:tr>
        <w:tc>
          <w:tcPr/>
          <w:p>
            <w:pPr>
              <w:pStyle w:val="Compact"/>
            </w:pPr>
          </w:p>
        </w:tc>
        <w:tc>
          <w:tcPr/>
          <w:p>
            <w:pPr>
              <w:pStyle w:val="Compact"/>
              <w:jc w:val="left"/>
            </w:pPr>
            <w:r>
              <w:t xml:space="preserve">(0.003)</w:t>
            </w:r>
          </w:p>
        </w:tc>
        <w:tc>
          <w:tcPr/>
          <w:p>
            <w:pPr>
              <w:pStyle w:val="Compact"/>
              <w:jc w:val="left"/>
            </w:pPr>
            <w:r>
              <w:t xml:space="preserve">(0.005)</w:t>
            </w:r>
          </w:p>
        </w:tc>
        <w:tc>
          <w:tcPr/>
          <w:p>
            <w:pPr>
              <w:pStyle w:val="Compact"/>
              <w:jc w:val="left"/>
            </w:pPr>
            <w:r>
              <w:t xml:space="preserve">(0.004)</w:t>
            </w:r>
          </w:p>
        </w:tc>
        <w:tc>
          <w:tcPr/>
          <w:p>
            <w:pPr>
              <w:pStyle w:val="Compact"/>
              <w:jc w:val="left"/>
            </w:pPr>
            <w:r>
              <w:t xml:space="preserve">(0.005)</w:t>
            </w:r>
          </w:p>
        </w:tc>
        <w:tc>
          <w:tcPr/>
          <w:p>
            <w:pPr>
              <w:pStyle w:val="Compact"/>
              <w:jc w:val="left"/>
            </w:pPr>
            <w:r>
              <w:t xml:space="preserve">(0.004)</w:t>
            </w:r>
          </w:p>
        </w:tc>
        <w:tc>
          <w:tcPr/>
          <w:p>
            <w:pPr>
              <w:pStyle w:val="Compact"/>
              <w:jc w:val="left"/>
            </w:pPr>
            <w:r>
              <w:t xml:space="preserve">(0.005)</w:t>
            </w:r>
          </w:p>
        </w:tc>
      </w:tr>
      <w:tr>
        <w:tc>
          <w:tcPr/>
          <w:p>
            <w:pPr>
              <w:pStyle w:val="Compact"/>
              <w:jc w:val="left"/>
            </w:pPr>
            <w:r>
              <w:t xml:space="preserve">Ages 18–19</w:t>
            </w:r>
          </w:p>
        </w:tc>
        <w:tc>
          <w:tcPr/>
          <w:p>
            <w:pPr>
              <w:pStyle w:val="Compact"/>
              <w:jc w:val="left"/>
            </w:pPr>
            <w:r>
              <w:t xml:space="preserve">0.001</w:t>
            </w:r>
          </w:p>
        </w:tc>
        <w:tc>
          <w:tcPr/>
          <w:p>
            <w:pPr>
              <w:pStyle w:val="Compact"/>
              <w:jc w:val="left"/>
            </w:pPr>
            <w:r>
              <w:t xml:space="preserve">-0.006</w:t>
            </w:r>
          </w:p>
        </w:tc>
        <w:tc>
          <w:tcPr/>
          <w:p>
            <w:pPr>
              <w:pStyle w:val="Compact"/>
              <w:jc w:val="left"/>
            </w:pPr>
            <w:r>
              <w:t xml:space="preserve">0.002</w:t>
            </w:r>
          </w:p>
        </w:tc>
        <w:tc>
          <w:tcPr/>
          <w:p>
            <w:pPr>
              <w:pStyle w:val="Compact"/>
              <w:jc w:val="left"/>
            </w:pPr>
            <w:r>
              <w:t xml:space="preserve">-0.004</w:t>
            </w:r>
          </w:p>
        </w:tc>
        <w:tc>
          <w:tcPr/>
          <w:p>
            <w:pPr>
              <w:pStyle w:val="Compact"/>
              <w:jc w:val="left"/>
            </w:pPr>
            <w:r>
              <w:t xml:space="preserve">0.003</w:t>
            </w:r>
          </w:p>
        </w:tc>
        <w:tc>
          <w:tcPr/>
          <w:p>
            <w:pPr>
              <w:pStyle w:val="Compact"/>
              <w:jc w:val="left"/>
            </w:pPr>
            <w:r>
              <w:t xml:space="preserve">-0.000</w:t>
            </w:r>
          </w:p>
        </w:tc>
      </w:tr>
      <w:tr>
        <w:tc>
          <w:tcPr/>
          <w:p>
            <w:pPr>
              <w:pStyle w:val="Compact"/>
            </w:pPr>
          </w:p>
        </w:tc>
        <w:tc>
          <w:tcPr/>
          <w:p>
            <w:pPr>
              <w:pStyle w:val="Compact"/>
              <w:jc w:val="left"/>
            </w:pPr>
            <w:r>
              <w:t xml:space="preserve">(0.004)</w:t>
            </w:r>
          </w:p>
        </w:tc>
        <w:tc>
          <w:tcPr/>
          <w:p>
            <w:pPr>
              <w:pStyle w:val="Compact"/>
              <w:jc w:val="left"/>
            </w:pPr>
            <w:r>
              <w:t xml:space="preserve">(0.008)</w:t>
            </w:r>
          </w:p>
        </w:tc>
        <w:tc>
          <w:tcPr/>
          <w:p>
            <w:pPr>
              <w:pStyle w:val="Compact"/>
              <w:jc w:val="left"/>
            </w:pPr>
            <w:r>
              <w:t xml:space="preserve">(0.004)</w:t>
            </w:r>
          </w:p>
        </w:tc>
        <w:tc>
          <w:tcPr/>
          <w:p>
            <w:pPr>
              <w:pStyle w:val="Compact"/>
              <w:jc w:val="left"/>
            </w:pPr>
            <w:r>
              <w:t xml:space="preserve">(0.007)</w:t>
            </w:r>
          </w:p>
        </w:tc>
        <w:tc>
          <w:tcPr/>
          <w:p>
            <w:pPr>
              <w:pStyle w:val="Compact"/>
              <w:jc w:val="left"/>
            </w:pPr>
            <w:r>
              <w:t xml:space="preserve">(0.004)</w:t>
            </w:r>
          </w:p>
        </w:tc>
        <w:tc>
          <w:tcPr/>
          <w:p>
            <w:pPr>
              <w:pStyle w:val="Compact"/>
              <w:jc w:val="left"/>
            </w:pPr>
            <w:r>
              <w:t xml:space="preserve">(0.004)</w:t>
            </w:r>
          </w:p>
        </w:tc>
      </w:tr>
      <w:tr>
        <w:tc>
          <w:tcPr/>
          <w:p>
            <w:pPr>
              <w:pStyle w:val="Compact"/>
              <w:jc w:val="left"/>
            </w:pPr>
            <w:r>
              <w:t xml:space="preserve">Ages 16–18</w:t>
            </w:r>
          </w:p>
        </w:tc>
        <w:tc>
          <w:tcPr/>
          <w:p>
            <w:pPr>
              <w:pStyle w:val="Compact"/>
              <w:jc w:val="left"/>
            </w:pPr>
            <w:r>
              <w:t xml:space="preserve">0.004</w:t>
            </w:r>
          </w:p>
        </w:tc>
        <w:tc>
          <w:tcPr/>
          <w:p>
            <w:pPr>
              <w:pStyle w:val="Compact"/>
              <w:jc w:val="left"/>
            </w:pPr>
            <w:r>
              <w:t xml:space="preserve">0.005</w:t>
            </w:r>
          </w:p>
        </w:tc>
        <w:tc>
          <w:tcPr/>
          <w:p>
            <w:pPr>
              <w:pStyle w:val="Compact"/>
              <w:jc w:val="left"/>
            </w:pPr>
            <w:r>
              <w:t xml:space="preserve">0.005</w:t>
            </w:r>
          </w:p>
        </w:tc>
        <w:tc>
          <w:tcPr/>
          <w:p>
            <w:pPr>
              <w:pStyle w:val="Compact"/>
              <w:jc w:val="left"/>
            </w:pPr>
            <w:r>
              <w:t xml:space="preserve">0.004</w:t>
            </w:r>
          </w:p>
        </w:tc>
        <w:tc>
          <w:tcPr/>
          <w:p>
            <w:pPr>
              <w:pStyle w:val="Compact"/>
              <w:jc w:val="left"/>
            </w:pPr>
            <w:r>
              <w:t xml:space="preserve">0.005</w:t>
            </w:r>
            <w:r>
              <w:rPr>
                <w:vertAlign w:val="superscript"/>
              </w:rPr>
              <w:t xml:space="preserve">*</w:t>
            </w:r>
          </w:p>
        </w:tc>
        <w:tc>
          <w:tcPr/>
          <w:p>
            <w:pPr>
              <w:pStyle w:val="Compact"/>
              <w:jc w:val="left"/>
            </w:pPr>
            <w:r>
              <w:t xml:space="preserve">0.002</w:t>
            </w:r>
          </w:p>
        </w:tc>
      </w:tr>
      <w:tr>
        <w:tc>
          <w:tcPr/>
          <w:p>
            <w:pPr>
              <w:pStyle w:val="Compact"/>
            </w:pPr>
          </w:p>
        </w:tc>
        <w:tc>
          <w:tcPr/>
          <w:p>
            <w:pPr>
              <w:pStyle w:val="Compact"/>
              <w:jc w:val="left"/>
            </w:pPr>
            <w:r>
              <w:t xml:space="preserve">(0.003)</w:t>
            </w:r>
          </w:p>
        </w:tc>
        <w:tc>
          <w:tcPr/>
          <w:p>
            <w:pPr>
              <w:pStyle w:val="Compact"/>
              <w:jc w:val="left"/>
            </w:pPr>
            <w:r>
              <w:t xml:space="preserve">(0.006)</w:t>
            </w:r>
          </w:p>
        </w:tc>
        <w:tc>
          <w:tcPr/>
          <w:p>
            <w:pPr>
              <w:pStyle w:val="Compact"/>
              <w:jc w:val="left"/>
            </w:pPr>
            <w:r>
              <w:t xml:space="preserve">(0.003)</w:t>
            </w:r>
          </w:p>
        </w:tc>
        <w:tc>
          <w:tcPr/>
          <w:p>
            <w:pPr>
              <w:pStyle w:val="Compact"/>
              <w:jc w:val="left"/>
            </w:pPr>
            <w:r>
              <w:t xml:space="preserve">(0.006)</w:t>
            </w:r>
          </w:p>
        </w:tc>
        <w:tc>
          <w:tcPr/>
          <w:p>
            <w:pPr>
              <w:pStyle w:val="Compact"/>
              <w:jc w:val="left"/>
            </w:pPr>
            <w:r>
              <w:t xml:space="preserve">(0.003)</w:t>
            </w:r>
          </w:p>
        </w:tc>
        <w:tc>
          <w:tcPr/>
          <w:p>
            <w:pPr>
              <w:pStyle w:val="Compact"/>
              <w:jc w:val="left"/>
            </w:pPr>
            <w:r>
              <w:t xml:space="preserve">(0.004)</w:t>
            </w:r>
          </w:p>
        </w:tc>
      </w:tr>
      <w:tr>
        <w:tc>
          <w:tcPr/>
          <w:p>
            <w:pPr>
              <w:pStyle w:val="Compact"/>
              <w:jc w:val="left"/>
            </w:pPr>
            <w:r>
              <w:t xml:space="preserve">Ages 16–19</w:t>
            </w:r>
          </w:p>
        </w:tc>
        <w:tc>
          <w:tcPr/>
          <w:p>
            <w:pPr>
              <w:pStyle w:val="Compact"/>
              <w:jc w:val="left"/>
            </w:pPr>
            <w:r>
              <w:t xml:space="preserve">0.004</w:t>
            </w:r>
          </w:p>
        </w:tc>
        <w:tc>
          <w:tcPr/>
          <w:p>
            <w:pPr>
              <w:pStyle w:val="Compact"/>
              <w:jc w:val="left"/>
            </w:pPr>
            <w:r>
              <w:t xml:space="preserve">0.002</w:t>
            </w:r>
          </w:p>
        </w:tc>
        <w:tc>
          <w:tcPr/>
          <w:p>
            <w:pPr>
              <w:pStyle w:val="Compact"/>
              <w:jc w:val="left"/>
            </w:pPr>
            <w:r>
              <w:t xml:space="preserve">0.004</w:t>
            </w:r>
          </w:p>
        </w:tc>
        <w:tc>
          <w:tcPr/>
          <w:p>
            <w:pPr>
              <w:pStyle w:val="Compact"/>
              <w:jc w:val="left"/>
            </w:pPr>
            <w:r>
              <w:t xml:space="preserve">0.003</w:t>
            </w:r>
          </w:p>
        </w:tc>
        <w:tc>
          <w:tcPr/>
          <w:p>
            <w:pPr>
              <w:pStyle w:val="Compact"/>
              <w:jc w:val="left"/>
            </w:pPr>
            <w:r>
              <w:t xml:space="preserve">0.005</w:t>
            </w:r>
            <w:r>
              <w:rPr>
                <w:vertAlign w:val="superscript"/>
              </w:rPr>
              <w:t xml:space="preserve">**</w:t>
            </w:r>
          </w:p>
        </w:tc>
        <w:tc>
          <w:tcPr/>
          <w:p>
            <w:pPr>
              <w:pStyle w:val="Compact"/>
              <w:jc w:val="left"/>
            </w:pPr>
            <w:r>
              <w:t xml:space="preserve">0.002</w:t>
            </w:r>
          </w:p>
        </w:tc>
      </w:tr>
      <w:tr>
        <w:tc>
          <w:tcPr/>
          <w:p>
            <w:pPr>
              <w:pStyle w:val="Compact"/>
            </w:pPr>
          </w:p>
        </w:tc>
        <w:tc>
          <w:tcPr/>
          <w:p>
            <w:pPr>
              <w:pStyle w:val="Compact"/>
              <w:jc w:val="left"/>
            </w:pPr>
            <w:r>
              <w:t xml:space="preserve">(0.002)</w:t>
            </w:r>
          </w:p>
        </w:tc>
        <w:tc>
          <w:tcPr/>
          <w:p>
            <w:pPr>
              <w:pStyle w:val="Compact"/>
              <w:jc w:val="left"/>
            </w:pPr>
            <w:r>
              <w:t xml:space="preserve">(0.004)</w:t>
            </w:r>
          </w:p>
        </w:tc>
        <w:tc>
          <w:tcPr/>
          <w:p>
            <w:pPr>
              <w:pStyle w:val="Compact"/>
              <w:jc w:val="left"/>
            </w:pPr>
            <w:r>
              <w:t xml:space="preserve">(0.003)</w:t>
            </w:r>
          </w:p>
        </w:tc>
        <w:tc>
          <w:tcPr/>
          <w:p>
            <w:pPr>
              <w:pStyle w:val="Compact"/>
              <w:jc w:val="left"/>
            </w:pPr>
            <w:r>
              <w:t xml:space="preserve">(0.005)</w:t>
            </w:r>
          </w:p>
        </w:tc>
        <w:tc>
          <w:tcPr/>
          <w:p>
            <w:pPr>
              <w:pStyle w:val="Compact"/>
              <w:jc w:val="left"/>
            </w:pPr>
            <w:r>
              <w:t xml:space="preserve">(0.002)</w:t>
            </w:r>
          </w:p>
        </w:tc>
        <w:tc>
          <w:tcPr/>
          <w:p>
            <w:pPr>
              <w:pStyle w:val="Compact"/>
              <w:jc w:val="left"/>
            </w:pPr>
            <w:r>
              <w:t xml:space="preserve">(0.003)</w:t>
            </w:r>
          </w:p>
        </w:tc>
      </w:tr>
    </w:tbl>
    <w:p>
      <w:pPr>
        <w:pStyle w:val="BodyText"/>
      </w:pPr>
      <w:r>
        <w:t xml:space="preserve">Notes: School months are September to May; the last column uses all months, in which summer non-attendance inflates the measure. Family income splits as in the main text and Appendix D. Block-bootstrap standard errors in parentheses.</w:t>
      </w:r>
    </w:p>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Pace</w:t>
      </w:r>
      <w:r>
        <w:t xml:space="preserve"> </w:t>
      </w:r>
      <w:r>
        <w:t xml:space="preserve">University,</w:t>
      </w:r>
      <w:r>
        <w:t xml:space="preserve"> </w:t>
      </w:r>
      <w:r>
        <w:t xml:space="preserve">eosbornechristenson@pace.edu.</w:t>
      </w:r>
      <w:r>
        <w:t xml:space="preserve"> </w:t>
      </w:r>
      <w:r>
        <w:t xml:space="preserve">Data:</w:t>
      </w:r>
      <w:r>
        <w:t xml:space="preserve"> </w:t>
      </w:r>
      <w:r>
        <w:t xml:space="preserve">IPUMS-CPS</w:t>
      </w:r>
      <w:r>
        <w:t xml:space="preserve"> </w:t>
      </w:r>
      <w:r>
        <w:t xml:space="preserve">basic</w:t>
      </w:r>
      <w:r>
        <w:t xml:space="preserve"> </w:t>
      </w:r>
      <w:r>
        <w:t xml:space="preserve">monthly</w:t>
      </w:r>
      <w:r>
        <w:t xml:space="preserve"> </w:t>
      </w:r>
      <w:r>
        <w:t xml:space="preserve">files,</w:t>
      </w:r>
      <w:r>
        <w:t xml:space="preserve"> </w:t>
      </w:r>
      <w:r>
        <w:t xml:space="preserve">1994–2026;</w:t>
      </w:r>
      <w:r>
        <w:t xml:space="preserve"> </w:t>
      </w:r>
      <w:r>
        <w:t xml:space="preserve">state</w:t>
      </w:r>
      <w:r>
        <w:t xml:space="preserve"> </w:t>
      </w:r>
      <w:r>
        <w:t xml:space="preserve">and</w:t>
      </w:r>
      <w:r>
        <w:t xml:space="preserve"> </w:t>
      </w:r>
      <w:r>
        <w:t xml:space="preserve">local</w:t>
      </w:r>
      <w:r>
        <w:t xml:space="preserve"> </w:t>
      </w:r>
      <w:r>
        <w:t xml:space="preserve">minimum</w:t>
      </w:r>
      <w:r>
        <w:t xml:space="preserve"> </w:t>
      </w:r>
      <w:r>
        <w:t xml:space="preserve">wage</w:t>
      </w:r>
      <w:r>
        <w:t xml:space="preserve"> </w:t>
      </w:r>
      <w:r>
        <w:t xml:space="preserve">histories</w:t>
      </w:r>
      <w:r>
        <w:t xml:space="preserve"> </w:t>
      </w:r>
      <w:r>
        <w:t xml:space="preserve">from</w:t>
      </w:r>
      <w:r>
        <w:t xml:space="preserve"> </w:t>
      </w:r>
      <w:r>
        <w:t xml:space="preserve">Vaghul</w:t>
      </w:r>
      <w:r>
        <w:t xml:space="preserve"> </w:t>
      </w:r>
      <w:r>
        <w:t xml:space="preserve">and</w:t>
      </w:r>
      <w:r>
        <w:t xml:space="preserve"> </w:t>
      </w:r>
      <w:r>
        <w:t xml:space="preserve">Zipperer</w:t>
      </w:r>
      <w:r>
        <w:t xml:space="preserve"> </w:t>
      </w:r>
      <w:r>
        <w:t xml:space="preserve">(2016),</w:t>
      </w:r>
      <w:r>
        <w:t xml:space="preserve"> </w:t>
      </w:r>
      <w:r>
        <w:t xml:space="preserve">extended</w:t>
      </w:r>
      <w:r>
        <w:t xml:space="preserve"> </w:t>
      </w:r>
      <w:r>
        <w:t xml:space="preserve">by</w:t>
      </w:r>
      <w:r>
        <w:t xml:space="preserve"> </w:t>
      </w:r>
      <w:r>
        <w:t xml:space="preserve">the</w:t>
      </w:r>
      <w:r>
        <w:t xml:space="preserve"> </w:t>
      </w:r>
      <w:r>
        <w:t xml:space="preserve">author.</w:t>
      </w:r>
      <w:r>
        <w:t xml:space="preserve"> </w:t>
      </w:r>
      <w:r>
        <w:t xml:space="preserve">Replication</w:t>
      </w:r>
      <w:r>
        <w:t xml:space="preserve"> </w:t>
      </w:r>
      <w:r>
        <w:t xml:space="preserve">code</w:t>
      </w:r>
      <w:r>
        <w:t xml:space="preserve"> </w:t>
      </w:r>
      <w:r>
        <w:t xml:space="preserve">is</w:t>
      </w:r>
      <w:r>
        <w:t xml:space="preserve"> </w:t>
      </w:r>
      <w:r>
        <w:t xml:space="preserve">in</w:t>
      </w:r>
      <w:r>
        <w:t xml:space="preserve"> </w:t>
      </w:r>
      <w:r>
        <w:t xml:space="preserve">the</w:t>
      </w:r>
      <w:r>
        <w:t xml:space="preserve"> </w:t>
      </w:r>
      <w:r>
        <w:t xml:space="preserve">accompanying</w:t>
      </w:r>
      <w:r>
        <w:t xml:space="preserve"> </w:t>
      </w:r>
      <w:r>
        <w:t xml:space="preserve">repository.</w:t>
      </w:r>
      <w:r>
        <w:t xml:space="preserve"> </w:t>
      </w:r>
      <w:r>
        <w:t xml:space="preserve">Draft;</w:t>
      </w:r>
      <w:r>
        <w:t xml:space="preserve"> </w:t>
      </w:r>
      <w:r>
        <w:t xml:space="preserve">comments</w:t>
      </w:r>
      <w:r>
        <w:t xml:space="preserve"> </w:t>
      </w:r>
      <w:r>
        <w:t xml:space="preserve">welcome.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74" Target="media/rId7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84" Target="media/rId84.png" /><Relationship Type="http://schemas.openxmlformats.org/officeDocument/2006/relationships/image" Id="rId35" Target="media/rId35.png" /><Relationship Type="http://schemas.openxmlformats.org/officeDocument/2006/relationships/image" Id="rId47" Target="media/rId47.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63" Target="media/rId63.png" /><Relationship Type="http://schemas.openxmlformats.org/officeDocument/2006/relationships/image" Id="rId55" Target="media/rId55.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Minimum Wage and Teen Time Allocation: School, Work, and Wages in Stacked Event Studies</dc:title>
  <dc:creator>Eric J. Osborne-Christenson</dc:creator>
  <cp:keywords/>
  <dcterms:created xsi:type="dcterms:W3CDTF">2026-09-16T14:51:39Z</dcterms:created>
  <dcterms:modified xsi:type="dcterms:W3CDTF">2026-09-16T14:51:39Z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Teen employment effects are central to the minimum wage debate, and the claim that rising minimum wages priced teenagers out of work and into school has been offered as the leading explanation for the fall in teen employment since 2000. I investigate the effect of minimum wage increases on how teenagers divide their time between school and work, and on their wages, using the event design the employment literature now uses. Every county with its own minimum wage is a geographic unit with its own wage floor, the rest of each state is another, and an event is a rise of at least 5 percent in a unit’s minimum after three quiet years: 73 events in 2010–2025, compared with clean control units in other states, in monthly Current Population Survey data on 5.5 million 16–24 year olds. The increases raised the hourly wages of hourly-paid teens by 3 to 5 percent, growing to 5 to 7 percent by the third year, for teens from low- and high-income families alike. They did not change the share of teens enrolled and employed, enrolled only, employed only, or neither, at ages 16–17 or 18–19, for either income group, with intervals that exclude changes larger than one to two points. A two-period schooling model shows why: the enrollment decision turns on the skilled–unskilled wage premium, which a 5 percent rise in the teen wage barely moves, and if employers set teen wages below the competitive level the increase raises pay without reducing the chance of a job. The results are consistent with the second case. The minimum wage raised the pay of working teens and left their allocation of time unchanged.</vt:lpwstr>
  </property>
  <property fmtid="{D5CDD505-2E9C-101B-9397-08002B2CF9AE}" pid="3" name="date">
    <vt:lpwstr>September 2026</vt:lpwstr>
  </property>
</Properties>
</file>