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34.jpg" ContentType="image/jpeg"/>
  <Override PartName="/word/media/rId26.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Subtitle"/>
      </w:pPr>
      <w:r>
        <w:t xml:space="preserve">Project:</w:t>
      </w:r>
      <w:r>
        <w:t xml:space="preserve"> </w:t>
      </w:r>
      <w:r>
        <w:t xml:space="preserve">Part</w:t>
      </w:r>
      <w:r>
        <w:t xml:space="preserve"> </w:t>
      </w:r>
      <w:r>
        <w:t xml:space="preserve">4</w:t>
      </w:r>
    </w:p>
    <w:p>
      <w:pPr>
        <w:pStyle w:val="Author"/>
      </w:pPr>
      <w:r>
        <w:t xml:space="preserve">Erick</w:t>
      </w:r>
      <w:r>
        <w:t xml:space="preserve"> </w:t>
      </w:r>
      <w:r>
        <w:t xml:space="preserve">E.</w:t>
      </w:r>
      <w:r>
        <w:t xml:space="preserve"> </w:t>
      </w:r>
      <w:r>
        <w:t xml:space="preserve">Mollinedo</w:t>
      </w:r>
    </w:p>
    <w:p>
      <w:pPr>
        <w:pStyle w:val="Date"/>
      </w:pPr>
      <w:r>
        <w:t xml:space="preserve">2024-04-05</w:t>
      </w:r>
    </w:p>
    <w:bookmarkStart w:id="20" w:name="introduction"/>
    <w:p>
      <w:pPr>
        <w:pStyle w:val="Heading2"/>
      </w:pPr>
      <w:r>
        <w:t xml:space="preserve">1 Introduction</w:t>
      </w:r>
    </w:p>
    <w:p>
      <w:pPr>
        <w:pStyle w:val="FirstParagraph"/>
      </w:pPr>
      <w:r>
        <w:t xml:space="preserve">Household air pollution (HAP), due to the combustion of solid fuels for cooking and heating, is one of the most prominent environmental health issues in low- and middle-income countries (LMICs)</w:t>
      </w:r>
      <w:r>
        <w:t xml:space="preserve"> </w:t>
      </w:r>
      <w:r>
        <w:t xml:space="preserve">[1]</w:t>
      </w:r>
      <w:r>
        <w:t xml:space="preserve">. HAP has been listed as the second environmental health risk factor worldwide, just after outdoor air pollution. Exposure to HAP has been linked to more than 2.31 million deaths in 2019 and it is associated with adverse cardiovascular and respiratory health outcomes</w:t>
      </w:r>
      <w:r>
        <w:t xml:space="preserve"> </w:t>
      </w:r>
      <w:r>
        <w:t xml:space="preserve">[2, 3]</w:t>
      </w:r>
      <w:r>
        <w:t xml:space="preserve">. 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t xml:space="preserve"> </w:t>
      </w:r>
      <w:r>
        <w:t xml:space="preserve">[4, 5]</w:t>
      </w:r>
      <w:r>
        <w:t xml:space="preserve">.</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t xml:space="preserve"> </w:t>
      </w:r>
      <w:r>
        <w:t xml:space="preserve">[6]</w:t>
      </w:r>
      <w:r>
        <w:t xml:space="preserve">. 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Said requirement to know the potential sources is associated with the profiles of chemical species, given that the concentration of certain organic and inorganic species alongside their uncertainties can be a good estimate of the point sources</w:t>
      </w:r>
      <w:r>
        <w:t xml:space="preserve"> </w:t>
      </w:r>
      <w:r>
        <w:t xml:space="preserve">[7]</w:t>
      </w:r>
      <w:r>
        <w:t xml:space="preserve">.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t xml:space="preserve"> </w:t>
      </w:r>
      <w:r>
        <w:t xml:space="preserve">[8–10]</w:t>
      </w:r>
      <w:r>
        <w:t xml:space="preserve">.</w:t>
      </w:r>
    </w:p>
    <w:p>
      <w:pPr>
        <w:pStyle w:val="BodyText"/>
      </w:pPr>
      <w:r>
        <w:t xml:space="preserve">The Household Air Pollution Intervention Network (HAPIN) trial was a randomized controlled trial conducted in four different LMICs,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t xml:space="preserve"> </w:t>
      </w:r>
      <w:r>
        <w:t xml:space="preserve">[4, 11]</w:t>
      </w:r>
      <w:r>
        <w:t xml:space="preserve">. 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t xml:space="preserve"> </w:t>
      </w:r>
      <w:r>
        <w:t xml:space="preserve">[12]</w:t>
      </w:r>
      <w:r>
        <w:t xml:space="preserve">.</w:t>
      </w:r>
    </w:p>
    <w:p>
      <w:pPr>
        <w:pStyle w:val="BodyText"/>
      </w:pPr>
      <w:r>
        <w:t xml:space="preserve">The following study aims to produce the clean dataset from the HAPIN trial in Guatemala, needed for PMF analysis and to conduct the exploratory and main data analysis to answer some questions before the PMF modelling: 1.) What chemical species are correlated among each other from these filter samples?, 2.) What are the differences in concentrations of the chemical species if the samples are categorized by type of fuel and by study arm? and 3.) What exposures are associated with the variations in concentrations of the most significant chemical species?</w:t>
      </w:r>
    </w:p>
    <w:bookmarkEnd w:id="20"/>
    <w:bookmarkStart w:id="25" w:name="methods"/>
    <w:p>
      <w:pPr>
        <w:pStyle w:val="Heading2"/>
      </w:pPr>
      <w:r>
        <w:t xml:space="preserve">2 Methods</w:t>
      </w:r>
    </w:p>
    <w:bookmarkStart w:id="21" w:name="data-collection"/>
    <w:p>
      <w:pPr>
        <w:pStyle w:val="Heading3"/>
      </w:pPr>
      <w:r>
        <w:t xml:space="preserve">2.1 Data collection</w:t>
      </w:r>
    </w:p>
    <w:p>
      <w:pPr>
        <w:pStyle w:val="FirstParagraph"/>
      </w:pPr>
      <w:r>
        <w:t xml:space="preserve">The main exposure data comes from filter samples of PM</w:t>
      </w:r>
      <w:r>
        <w:rPr>
          <w:vertAlign w:val="subscript"/>
        </w:rPr>
        <w:t xml:space="preserve">2.5</w:t>
      </w:r>
      <w:r>
        <w:t xml:space="preserve"> </w:t>
      </w:r>
      <w:r>
        <w:t xml:space="preserve">personal exposure measurements in pregnant women participants from the HAPIN trial, in Guatemala. The Enhanced Children’s MicroPEM (ECM) was the instrument used for the measurement of PM</w:t>
      </w:r>
      <w:r>
        <w:rPr>
          <w:vertAlign w:val="subscript"/>
        </w:rPr>
        <w:t xml:space="preserve">2.5</w:t>
      </w:r>
      <w:r>
        <w:t xml:space="preserve"> </w:t>
      </w:r>
      <w:r>
        <w:t xml:space="preserve">exposures. In summary, the instrument works as an air pump with a standard flow of 0.3 liters per minute, so the particles get into an inlet and get collected into the filter. In total, six hundred and forty eight sample filters are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on incense or coil, kerosene and others.</w:t>
      </w:r>
    </w:p>
    <w:bookmarkEnd w:id="21"/>
    <w:bookmarkStart w:id="22" w:name="concentration-estimates"/>
    <w:p>
      <w:pPr>
        <w:pStyle w:val="Heading3"/>
      </w:pPr>
      <w:r>
        <w:t xml:space="preserve">2.2 Concentration estimates</w:t>
      </w:r>
    </w:p>
    <w:p>
      <w:pPr>
        <w:pStyle w:val="FirstParagraph"/>
      </w:pPr>
      <w:r>
        <w:t xml:space="preserve">The filters were pre-weighed (before sampling) in a Sartorius cubis microbalance, and then post-weighed in the same instrument after sampling. The difference in mass deposition was calculated as the post-pre weigh difference. 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Black carbon was estimated measuring transmissometry via a Magee Sootscan instrument. 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22 chemical species (elements) on the filters were determined using X-Ray Fluorescence (XRF), and the uncertainties were estimated also based on the XRF instrument.</w:t>
      </w:r>
    </w:p>
    <w:bookmarkEnd w:id="22"/>
    <w:bookmarkStart w:id="23" w:name="X07894d0043f92825184102776dd59fcc669bd90"/>
    <w:p>
      <w:pPr>
        <w:pStyle w:val="Heading3"/>
      </w:pPr>
      <w:r>
        <w:t xml:space="preserve">2.3 Concentration and Uncertainties data processing</w:t>
      </w:r>
    </w:p>
    <w:p>
      <w:pPr>
        <w:pStyle w:val="FirstParagraph"/>
      </w:pPr>
      <w:r>
        <w:t xml:space="preserve">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3"/>
    <w:bookmarkStart w:id="24" w:name="statistical-analysis"/>
    <w:p>
      <w:pPr>
        <w:pStyle w:val="Heading3"/>
      </w:pPr>
      <w:r>
        <w:t xml:space="preserve">2.4 Statistical analysis</w:t>
      </w:r>
    </w:p>
    <w:p>
      <w:pPr>
        <w:pStyle w:val="FirstParagraph"/>
      </w:pPr>
      <w:r>
        <w:t xml:space="preserve">The correlation (r</w:t>
      </w:r>
      <w:r>
        <w:rPr>
          <w:vertAlign w:val="superscript"/>
        </w:rPr>
        <w:t xml:space="preserve">2</w:t>
      </w:r>
      <w:r>
        <w:t xml:space="preserve">) between chemical species were determined using paired correlations in a correlation plot matrix. To assess differences in concentrations between samples by type of fuel, a Welch two-sample T-test was computed. Additional plots were presented to visualize those differences between samples.</w:t>
      </w:r>
    </w:p>
    <w:p>
      <w:pPr>
        <w:pStyle w:val="BodyText"/>
      </w:pPr>
      <w:r>
        <w:t xml:space="preserve">Multivariate regression models were computed for each one of the key chemical species to assess which exposures are likely to explain the variations in their concentrations. Given that there is low variability in the answers for some of the categorical exposures, in addition to computing a multivariate model with all the predictors, another model was evaluated. This second model considers other stoves and fueltype as predictors, alongside a new combined variable called</w:t>
      </w:r>
      <w:r>
        <w:t xml:space="preserve"> </w:t>
      </w:r>
      <w:r>
        <w:t xml:space="preserve">‘</w:t>
      </w:r>
      <w:r>
        <w:t xml:space="preserve">micro exposures</w:t>
      </w:r>
      <w:r>
        <w:t xml:space="preserve">’</w:t>
      </w:r>
      <w:r>
        <w:t xml:space="preserve"> </w:t>
      </w:r>
      <w:r>
        <w:t xml:space="preserve">that englobes exposures to kerosene, cigarette, coils and incense and the variable</w:t>
      </w:r>
      <w:r>
        <w:t xml:space="preserve"> </w:t>
      </w:r>
      <w:r>
        <w:t xml:space="preserve">‘</w:t>
      </w:r>
      <w:r>
        <w:t xml:space="preserve">macro exposures</w:t>
      </w:r>
      <w:r>
        <w:t xml:space="preserve">’</w:t>
      </w:r>
      <w:r>
        <w:t xml:space="preserve"> </w:t>
      </w:r>
      <w:r>
        <w:t xml:space="preserve">which englobes exposures to trash burning and crop residues. Given that the concentrations can be approximated to a gamma distribution, the generalized linear model with gamma distribution was used to compute the models. The root mean square error (RMSE) and R-squared were the metric parameters to evaluate which one of both models for all chemical species fits best.</w:t>
      </w:r>
    </w:p>
    <w:bookmarkEnd w:id="24"/>
    <w:bookmarkEnd w:id="25"/>
    <w:bookmarkStart w:id="45" w:name="results"/>
    <w:p>
      <w:pPr>
        <w:pStyle w:val="Heading2"/>
      </w:pPr>
      <w:r>
        <w:t xml:space="preserve">3 Results</w:t>
      </w:r>
    </w:p>
    <w:p>
      <w:pPr>
        <w:pStyle w:val="FirstParagraph"/>
      </w:pPr>
      <w:r>
        <w:t xml:space="preserve">Six hundred and twenty-nine filter samples were considered in the final analyses.</w:t>
      </w:r>
      <w:r>
        <w:t xml:space="preserve"> </w:t>
      </w:r>
      <w:hyperlink w:anchor="fig-stats1">
        <w:r>
          <w:rPr>
            <w:rStyle w:val="Hyperlink"/>
          </w:rPr>
          <w:t xml:space="preserve">Figure 1</w:t>
        </w:r>
      </w:hyperlink>
      <w:r>
        <w:t xml:space="preserve"> </w:t>
      </w:r>
      <w:r>
        <w:t xml:space="preserve">presents a summary of the concentrations from the biomass fueltype samples. Meanwhile</w:t>
      </w:r>
      <w:r>
        <w:t xml:space="preserve"> </w:t>
      </w:r>
      <w:hyperlink w:anchor="fig-stats2">
        <w:r>
          <w:rPr>
            <w:rStyle w:val="Hyperlink"/>
          </w:rPr>
          <w:t xml:space="preserve">Figure 2</w:t>
        </w:r>
      </w:hyperlink>
      <w:r>
        <w:t xml:space="preserve"> </w:t>
      </w:r>
      <w:r>
        <w:t xml:space="preserve">shows the summary of concentrations from the LPG observations. As a note, all the observations of the baseline measurements were categorized as biomass fuel type, since at this point, the LPG intervention was not yet allocated.</w:t>
      </w:r>
    </w:p>
    <w:tbl>
      <w:tblPr>
        <w:tblStyle w:val="Table"/>
        <w:tblW w:type="pct" w:w="5000"/>
        <w:tblLook w:firstRow="0" w:lastRow="0" w:firstColumn="0" w:lastColumn="0" w:noHBand="0" w:noVBand="0" w:val="0000"/>
        <w:jc w:val="start"/>
        <w:tblLayout w:type="fixed"/>
      </w:tblPr>
      <w:tblGrid>
        <w:gridCol w:w="7920"/>
      </w:tblGrid>
      <w:tr>
        <w:tc>
          <w:tcPr/>
          <w:bookmarkStart w:id="29" w:name="fig-stats1"/>
          <w:p>
            <w:pPr>
              <w:pStyle w:val="Compact"/>
              <w:jc w:val="center"/>
            </w:pPr>
            <w:r>
              <w:drawing>
                <wp:inline>
                  <wp:extent cx="5334000" cy="2695832"/>
                  <wp:effectExtent b="0" l="0" r="0" t="0"/>
                  <wp:docPr descr="" title="" id="27" name="Picture"/>
                  <a:graphic>
                    <a:graphicData uri="http://schemas.openxmlformats.org/drawingml/2006/picture">
                      <pic:pic>
                        <pic:nvPicPr>
                          <pic:cNvPr descr="../../results/tables/table1.jpeg" id="28" name="Picture"/>
                          <pic:cNvPicPr>
                            <a:picLocks noChangeArrowheads="1" noChangeAspect="1"/>
                          </pic:cNvPicPr>
                        </pic:nvPicPr>
                        <pic:blipFill>
                          <a:blip r:embed="rId26"/>
                          <a:stretch>
                            <a:fillRect/>
                          </a:stretch>
                        </pic:blipFill>
                        <pic:spPr bwMode="auto">
                          <a:xfrm>
                            <a:off x="0" y="0"/>
                            <a:ext cx="5334000" cy="2695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statistics of the concentrations in the biomass group</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fig-stats2"/>
          <w:p>
            <w:pPr>
              <w:pStyle w:val="Compact"/>
              <w:jc w:val="center"/>
            </w:pPr>
            <w:r>
              <w:drawing>
                <wp:inline>
                  <wp:extent cx="5334000" cy="2390608"/>
                  <wp:effectExtent b="0" l="0" r="0" t="0"/>
                  <wp:docPr descr="" title="" id="31" name="Picture"/>
                  <a:graphic>
                    <a:graphicData uri="http://schemas.openxmlformats.org/drawingml/2006/picture">
                      <pic:pic>
                        <pic:nvPicPr>
                          <pic:cNvPr descr="../../results/tables/table2.jpeg" id="32" name="Picture"/>
                          <pic:cNvPicPr>
                            <a:picLocks noChangeArrowheads="1" noChangeAspect="1"/>
                          </pic:cNvPicPr>
                        </pic:nvPicPr>
                        <pic:blipFill>
                          <a:blip r:embed="rId30"/>
                          <a:stretch>
                            <a:fillRect/>
                          </a:stretch>
                        </pic:blipFill>
                        <pic:spPr bwMode="auto">
                          <a:xfrm>
                            <a:off x="0" y="0"/>
                            <a:ext cx="5334000" cy="2390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statistics of the concentrations in the LPG group</w:t>
            </w:r>
          </w:p>
          <w:bookmarkEnd w:id="33"/>
        </w:tc>
      </w:tr>
    </w:tbl>
    <w:bookmarkStart w:id="38" w:name="chemical-species-correlations"/>
    <w:p>
      <w:pPr>
        <w:pStyle w:val="Heading3"/>
      </w:pPr>
      <w:r>
        <w:t xml:space="preserve">3.1 Chemical Species correlations</w:t>
      </w:r>
    </w:p>
    <w:p>
      <w:pPr>
        <w:pStyle w:val="FirstParagraph"/>
      </w:pPr>
      <w:r>
        <w:t xml:space="preserve">In terms of correlations, Spearman correlation was estimated between all the chemical species and</w:t>
      </w:r>
      <w:r>
        <w:t xml:space="preserve"> </w:t>
      </w:r>
      <w:hyperlink w:anchor="fig-correlations">
        <w:r>
          <w:rPr>
            <w:rStyle w:val="Hyperlink"/>
          </w:rPr>
          <w:t xml:space="preserve">Figure 3</w:t>
        </w:r>
      </w:hyperlink>
      <w:r>
        <w:t xml:space="preserve"> </w:t>
      </w:r>
      <w:r>
        <w:t xml:space="preserve">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sources, so it will probably be easier to identify using the PMF software after the conclusion of this project.</w:t>
      </w:r>
    </w:p>
    <w:tbl>
      <w:tblPr>
        <w:tblStyle w:val="Table"/>
        <w:tblW w:type="pct" w:w="5000"/>
        <w:tblLook w:firstRow="0" w:lastRow="0" w:firstColumn="0" w:lastColumn="0" w:noHBand="0" w:noVBand="0" w:val="0000"/>
        <w:jc w:val="start"/>
        <w:tblLayout w:type="fixed"/>
      </w:tblPr>
      <w:tblGrid>
        <w:gridCol w:w="7920"/>
      </w:tblGrid>
      <w:tr>
        <w:tc>
          <w:tcPr/>
          <w:bookmarkStart w:id="37" w:name="fig-correlations"/>
          <w:p>
            <w:pPr>
              <w:pStyle w:val="Compact"/>
              <w:jc w:val="center"/>
            </w:pPr>
            <w:r>
              <w:drawing>
                <wp:inline>
                  <wp:extent cx="5334000" cy="3291876"/>
                  <wp:effectExtent b="0" l="0" r="0" t="0"/>
                  <wp:docPr descr="" title="" id="35" name="Picture"/>
                  <a:graphic>
                    <a:graphicData uri="http://schemas.openxmlformats.org/drawingml/2006/picture">
                      <pic:pic>
                        <pic:nvPicPr>
                          <pic:cNvPr descr="../../results/figures/corplot.jpg" id="36" name="Picture"/>
                          <pic:cNvPicPr>
                            <a:picLocks noChangeArrowheads="1" noChangeAspect="1"/>
                          </pic:cNvPicPr>
                        </pic:nvPicPr>
                        <pic:blipFill>
                          <a:blip r:embed="rId34"/>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Correlation plot for chemical species</w:t>
            </w:r>
          </w:p>
          <w:bookmarkEnd w:id="37"/>
        </w:tc>
      </w:tr>
    </w:tbl>
    <w:bookmarkEnd w:id="38"/>
    <w:bookmarkStart w:id="43" w:name="chemical-species-concentrations"/>
    <w:p>
      <w:pPr>
        <w:pStyle w:val="Heading3"/>
      </w:pPr>
      <w:r>
        <w:t xml:space="preserve">3.2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100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4</w:t>
        </w:r>
      </w:hyperlink>
      <w:r>
        <w:t xml:space="preserve">). When conducting the two-sided T-test, it was determined that all of the chemical species, except Fe, Al and Zn were significantly different between type of fuel. The differences in concentrations were also analyzed by study arm, however, given that all baseline measurements belonged to biomass fueltype observations, these results were not presented but can be observed in the Supplementary material.</w:t>
      </w:r>
    </w:p>
    <w:tbl>
      <w:tblPr>
        <w:tblStyle w:val="Table"/>
        <w:tblW w:type="pct" w:w="5000"/>
        <w:tblLook w:firstRow="0" w:lastRow="0" w:firstColumn="0" w:lastColumn="0" w:noHBand="0" w:noVBand="0" w:val="0000"/>
        <w:jc w:val="start"/>
        <w:tblLayout w:type="fixed"/>
      </w:tblPr>
      <w:tblGrid>
        <w:gridCol w:w="7920"/>
      </w:tblGrid>
      <w:tr>
        <w:tc>
          <w:tcPr/>
          <w:bookmarkStart w:id="42" w:name="fig-concentrations"/>
          <w:p>
            <w:pPr>
              <w:pStyle w:val="Compact"/>
              <w:jc w:val="center"/>
            </w:pPr>
            <w:r>
              <w:drawing>
                <wp:inline>
                  <wp:extent cx="5334000" cy="3295650"/>
                  <wp:effectExtent b="0" l="0" r="0" t="0"/>
                  <wp:docPr descr="" title="" id="40" name="Picture"/>
                  <a:graphic>
                    <a:graphicData uri="http://schemas.openxmlformats.org/drawingml/2006/picture">
                      <pic:pic>
                        <pic:nvPicPr>
                          <pic:cNvPr descr="../../results/figures/boxplot-fueltype.jpg" id="41" name="Picture"/>
                          <pic:cNvPicPr>
                            <a:picLocks noChangeArrowheads="1" noChangeAspect="1"/>
                          </pic:cNvPicPr>
                        </pic:nvPicPr>
                        <pic:blipFill>
                          <a:blip r:embed="rId39"/>
                          <a:stretch>
                            <a:fillRect/>
                          </a:stretch>
                        </pic:blipFill>
                        <pic:spPr bwMode="auto">
                          <a:xfrm>
                            <a:off x="0" y="0"/>
                            <a:ext cx="5334000" cy="3295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Chemical species concentrations by type of fuel</w:t>
            </w:r>
          </w:p>
          <w:bookmarkEnd w:id="42"/>
        </w:tc>
      </w:tr>
    </w:tbl>
    <w:bookmarkEnd w:id="43"/>
    <w:bookmarkStart w:id="44" w:name="chemical-species-models"/>
    <w:p>
      <w:pPr>
        <w:pStyle w:val="Heading3"/>
      </w:pPr>
      <w:r>
        <w:t xml:space="preserve">3.3 Chemical species models</w:t>
      </w:r>
    </w:p>
    <w:p>
      <w:pPr>
        <w:pStyle w:val="FirstParagraph"/>
      </w:pPr>
      <w:r>
        <w:t xml:space="preserve">Model 1, for each one of the chemical species, was computed to determine which of the exposures could better explain the variations in the concentrations (Supplementary Material). Given that none of the observations recorded to have used a generator machine for corn mill grinding, this categorical variable was left out. When computing this model, none of the predictors were significant to predict the concentrations of Aluminim (Al), Iron (Fe) and Zinc (Zn). Kerosene was found a significant predictor of Black carbon (BC) and Magnesium (Mg) concentrations (p &lt; 0.05). Exposure to smoke emitted from a biomass stove other than the one in their homes was also found as a significant predictor (p &lt; 0.05) for BC and potassium (K). Also, exposure to cigarette smoke in the homes was associated to K concentration. Meanwhile, the strongest predictor was found to be type of fuel (p &lt; 0.01), where exposure to biomass fuel was associated to an increase of the concentration of BC, Ca, K, Mg, Mn, S, Si and Ti. These last results are consistent to what was observed in terms of significant differences among samples by type of fuel (</w:t>
      </w:r>
      <w:hyperlink w:anchor="fig-concentrations">
        <w:r>
          <w:rPr>
            <w:rStyle w:val="Hyperlink"/>
          </w:rPr>
          <w:t xml:space="preserve">Figure 4</w:t>
        </w:r>
      </w:hyperlink>
      <w:r>
        <w:t xml:space="preserve">).</w:t>
      </w:r>
    </w:p>
    <w:p>
      <w:pPr>
        <w:pStyle w:val="BodyText"/>
      </w:pPr>
      <w:r>
        <w:t xml:space="preserve">Model 2 was tested as another way to evaluate which predictors could explain the variations in concentrations by grouping certain exposures. Similar results were observed as from Model 1. Micro exposures, which is a category that includes smoking, incense use, kerosene and mosquito coils explained the variations in BC concentrations (p &lt; 0.05). Exposure to other biomass stoves was a predictor for BC and K (p &lt; 0.05). Fueltype was still the strongest predictor (p &lt; 0.01) for the variations in concentrations for BC, Ca, K, Mg, Mn, S, Si and Ti.</w:t>
      </w:r>
    </w:p>
    <w:p>
      <w:pPr>
        <w:pStyle w:val="BodyText"/>
      </w:pPr>
      <w:r>
        <w:t xml:space="preserve">In terms of comparison between models, both models seem to under-perform in terms of predictions (Table 1, Supplementary Material). The lowest RMSE was observed in Model 2 for all the chemical species, meanwhile the highest R-square was observed in Model 1. In this case, Model 2 with grouping of variables could be a better model to explain the effect of certain exposures to the concentrations of the selected chemical species.</w:t>
      </w:r>
    </w:p>
    <w:bookmarkEnd w:id="44"/>
    <w:bookmarkEnd w:id="45"/>
    <w:bookmarkStart w:id="46" w:name="discussion"/>
    <w:p>
      <w:pPr>
        <w:pStyle w:val="Heading2"/>
      </w:pPr>
      <w:r>
        <w:t xml:space="preserve">4 Discussion</w:t>
      </w:r>
    </w:p>
    <w:bookmarkEnd w:id="46"/>
    <w:bookmarkStart w:id="47" w:name="conclusions"/>
    <w:p>
      <w:pPr>
        <w:pStyle w:val="Heading2"/>
      </w:pPr>
      <w:r>
        <w:t xml:space="preserve">5 Conclusions</w:t>
      </w:r>
    </w:p>
    <w:p>
      <w:r>
        <w:br w:type="page"/>
      </w:r>
    </w:p>
    <w:bookmarkEnd w:id="47"/>
    <w:bookmarkStart w:id="71" w:name="references"/>
    <w:p>
      <w:pPr>
        <w:pStyle w:val="Heading2"/>
      </w:pPr>
      <w:r>
        <w:t xml:space="preserve">6 References</w:t>
      </w:r>
    </w:p>
    <w:bookmarkStart w:id="70" w:name="refs"/>
    <w:bookmarkStart w:id="49" w:name="ref-gordon_respiratory_2014"/>
    <w:p>
      <w:pPr>
        <w:pStyle w:val="Bibliography"/>
      </w:pPr>
      <w:r>
        <w:t xml:space="preserve">1.</w:t>
      </w:r>
      <w:r>
        <w:t xml:space="preserve"> </w:t>
      </w:r>
      <w:r>
        <w:t xml:space="preserve">	</w:t>
      </w:r>
      <w:r>
        <w:t xml:space="preserve">Gordon SB, Bruce NG, Grigg J, et al (2014) Respiratory risks from household air pollution in low and middle income countries. The Lancet Respiratory Medicine 2(10):823–860.</w:t>
      </w:r>
      <w:r>
        <w:t xml:space="preserve"> </w:t>
      </w:r>
      <w:hyperlink r:id="rId48">
        <w:r>
          <w:rPr>
            <w:rStyle w:val="Hyperlink"/>
          </w:rPr>
          <w:t xml:space="preserve">https://doi.org/10.1016/S2213-2600(14)70168-7</w:t>
        </w:r>
      </w:hyperlink>
    </w:p>
    <w:bookmarkEnd w:id="49"/>
    <w:bookmarkStart w:id="51" w:name="ref-murray_global_2020"/>
    <w:p>
      <w:pPr>
        <w:pStyle w:val="Bibliography"/>
      </w:pPr>
      <w:r>
        <w:t xml:space="preserve">2.</w:t>
      </w:r>
      <w:r>
        <w:t xml:space="preserve"> </w:t>
      </w:r>
      <w:r>
        <w:t xml:space="preserve">	</w:t>
      </w:r>
      <w:r>
        <w:t xml:space="preserve">Murray CJL, Aravkin AY, Zheng P, et al (2020) Global burden of 87 risk factors in 204 countries and territories, 1990–2019: A systematic analysis for the</w:t>
      </w:r>
      <w:r>
        <w:t xml:space="preserve"> </w:t>
      </w:r>
      <w:r>
        <w:t xml:space="preserve">Global</w:t>
      </w:r>
      <w:r>
        <w:t xml:space="preserve"> </w:t>
      </w:r>
      <w:r>
        <w:t xml:space="preserve">Burden</w:t>
      </w:r>
      <w:r>
        <w:t xml:space="preserve"> </w:t>
      </w:r>
      <w:r>
        <w:t xml:space="preserve">of</w:t>
      </w:r>
      <w:r>
        <w:t xml:space="preserve"> </w:t>
      </w:r>
      <w:r>
        <w:t xml:space="preserve">Disease</w:t>
      </w:r>
      <w:r>
        <w:t xml:space="preserve"> </w:t>
      </w:r>
      <w:r>
        <w:t xml:space="preserve">Study</w:t>
      </w:r>
      <w:r>
        <w:t xml:space="preserve"> </w:t>
      </w:r>
      <w:r>
        <w:t xml:space="preserve">2019. The Lancet 396(10258):1223–1249.</w:t>
      </w:r>
      <w:r>
        <w:t xml:space="preserve"> </w:t>
      </w:r>
      <w:hyperlink r:id="rId50">
        <w:r>
          <w:rPr>
            <w:rStyle w:val="Hyperlink"/>
          </w:rPr>
          <w:t xml:space="preserve">https://doi.org/10.1016/S0140-6736(20)30752-2</w:t>
        </w:r>
      </w:hyperlink>
    </w:p>
    <w:bookmarkEnd w:id="51"/>
    <w:bookmarkStart w:id="53" w:name="ref-pope_health_2006"/>
    <w:p>
      <w:pPr>
        <w:pStyle w:val="Bibliography"/>
      </w:pPr>
      <w:r>
        <w:t xml:space="preserve">3.</w:t>
      </w:r>
      <w:r>
        <w:t xml:space="preserve"> </w:t>
      </w:r>
      <w:r>
        <w:t xml:space="preserve">	</w:t>
      </w:r>
      <w:r>
        <w:t xml:space="preserve">Pope CA, Dockery DW (2006) Health</w:t>
      </w:r>
      <w:r>
        <w:t xml:space="preserve"> </w:t>
      </w:r>
      <w:r>
        <w:t xml:space="preserve">Effects</w:t>
      </w:r>
      <w:r>
        <w:t xml:space="preserve"> </w:t>
      </w:r>
      <w:r>
        <w:t xml:space="preserve">of</w:t>
      </w:r>
      <w:r>
        <w:t xml:space="preserve"> </w:t>
      </w:r>
      <w:r>
        <w:t xml:space="preserve">Fine</w:t>
      </w:r>
      <w:r>
        <w:t xml:space="preserve"> </w:t>
      </w:r>
      <w:r>
        <w:t xml:space="preserve">Particulate</w:t>
      </w:r>
      <w:r>
        <w:t xml:space="preserve"> </w:t>
      </w:r>
      <w:r>
        <w:t xml:space="preserve">Air</w:t>
      </w:r>
      <w:r>
        <w:t xml:space="preserve"> </w:t>
      </w:r>
      <w:r>
        <w:t xml:space="preserve">Pollution</w:t>
      </w:r>
      <w:r>
        <w:t xml:space="preserve">:</w:t>
      </w:r>
      <w:r>
        <w:t xml:space="preserve"> </w:t>
      </w:r>
      <w:r>
        <w:t xml:space="preserve">Lines</w:t>
      </w:r>
      <w:r>
        <w:t xml:space="preserve"> </w:t>
      </w:r>
      <w:r>
        <w:t xml:space="preserve">that</w:t>
      </w:r>
      <w:r>
        <w:t xml:space="preserve"> </w:t>
      </w:r>
      <w:r>
        <w:t xml:space="preserve">Connect</w:t>
      </w:r>
      <w:r>
        <w:t xml:space="preserve">. Journal of the Air &amp; Waste Management Association 56(6):709–742.</w:t>
      </w:r>
      <w:r>
        <w:t xml:space="preserve"> </w:t>
      </w:r>
      <w:hyperlink r:id="rId52">
        <w:r>
          <w:rPr>
            <w:rStyle w:val="Hyperlink"/>
          </w:rPr>
          <w:t xml:space="preserve">https://doi.org/10.1080/10473289.2006.10464485</w:t>
        </w:r>
      </w:hyperlink>
    </w:p>
    <w:bookmarkEnd w:id="53"/>
    <w:bookmarkStart w:id="55" w:name="ref-clasen_design_2020"/>
    <w:p>
      <w:pPr>
        <w:pStyle w:val="Bibliography"/>
      </w:pPr>
      <w:r>
        <w:t xml:space="preserve">4.</w:t>
      </w:r>
      <w:r>
        <w:t xml:space="preserve"> </w:t>
      </w:r>
      <w:r>
        <w:t xml:space="preserve">	</w:t>
      </w:r>
      <w:r>
        <w:t xml:space="preserve">Clasen T, Checkley W, Peel JL, et al (2020) Design and</w:t>
      </w:r>
      <w:r>
        <w:t xml:space="preserve"> </w:t>
      </w:r>
      <w:r>
        <w:t xml:space="preserve">Rationale</w:t>
      </w:r>
      <w:r>
        <w:t xml:space="preserve"> </w:t>
      </w:r>
      <w:r>
        <w:t xml:space="preserve">of the</w:t>
      </w:r>
      <w:r>
        <w:t xml:space="preserve"> </w:t>
      </w:r>
      <w:r>
        <w:t xml:space="preserve">HAPIN</w:t>
      </w:r>
      <w:r>
        <w:t xml:space="preserve"> </w:t>
      </w:r>
      <w:r>
        <w:t xml:space="preserve">Study</w:t>
      </w:r>
      <w:r>
        <w:t xml:space="preserve">:</w:t>
      </w:r>
      <w:r>
        <w:t xml:space="preserve"> </w:t>
      </w:r>
      <w:r>
        <w:t xml:space="preserve">A</w:t>
      </w:r>
      <w:r>
        <w:t xml:space="preserve"> </w:t>
      </w:r>
      <w:r>
        <w:t xml:space="preserve">Multicountry</w:t>
      </w:r>
      <w:r>
        <w:t xml:space="preserve"> </w:t>
      </w:r>
      <w:r>
        <w:t xml:space="preserve">Randomized</w:t>
      </w:r>
      <w:r>
        <w:t xml:space="preserve"> </w:t>
      </w:r>
      <w:r>
        <w:t xml:space="preserve">Controlled</w:t>
      </w:r>
      <w:r>
        <w:t xml:space="preserve"> </w:t>
      </w:r>
      <w:r>
        <w:t xml:space="preserve">Trial</w:t>
      </w:r>
      <w:r>
        <w:t xml:space="preserve"> </w:t>
      </w:r>
      <w:r>
        <w:t xml:space="preserve">to</w:t>
      </w:r>
      <w:r>
        <w:t xml:space="preserve"> </w:t>
      </w:r>
      <w:r>
        <w:t xml:space="preserve">Assess</w:t>
      </w:r>
      <w:r>
        <w:t xml:space="preserve"> </w:t>
      </w:r>
      <w:r>
        <w:t xml:space="preserve">the</w:t>
      </w:r>
      <w:r>
        <w:t xml:space="preserve"> </w:t>
      </w:r>
      <w:r>
        <w:t xml:space="preserve">Effect</w:t>
      </w:r>
      <w:r>
        <w:t xml:space="preserve"> </w:t>
      </w:r>
      <w:r>
        <w:t xml:space="preserve">of</w:t>
      </w:r>
      <w:r>
        <w:t xml:space="preserve"> </w:t>
      </w:r>
      <w:r>
        <w:t xml:space="preserve">Liquefied</w:t>
      </w:r>
      <w:r>
        <w:t xml:space="preserve"> </w:t>
      </w:r>
      <w:r>
        <w:t xml:space="preserve">Petroleum</w:t>
      </w:r>
      <w:r>
        <w:t xml:space="preserve"> </w:t>
      </w:r>
      <w:r>
        <w:t xml:space="preserve">Gas</w:t>
      </w:r>
      <w:r>
        <w:t xml:space="preserve"> </w:t>
      </w:r>
      <w:r>
        <w:t xml:space="preserve">Stove</w:t>
      </w:r>
      <w:r>
        <w:t xml:space="preserve"> </w:t>
      </w:r>
      <w:r>
        <w:t xml:space="preserve">and</w:t>
      </w:r>
      <w:r>
        <w:t xml:space="preserve"> </w:t>
      </w:r>
      <w:r>
        <w:t xml:space="preserve">Continuous</w:t>
      </w:r>
      <w:r>
        <w:t xml:space="preserve"> </w:t>
      </w:r>
      <w:r>
        <w:t xml:space="preserve">Fuel</w:t>
      </w:r>
      <w:r>
        <w:t xml:space="preserve"> </w:t>
      </w:r>
      <w:r>
        <w:t xml:space="preserve">Distribution</w:t>
      </w:r>
      <w:r>
        <w:t xml:space="preserve">. Environmental Health Perspectives 128(4):047008.</w:t>
      </w:r>
      <w:r>
        <w:t xml:space="preserve"> </w:t>
      </w:r>
      <w:hyperlink r:id="rId54">
        <w:r>
          <w:rPr>
            <w:rStyle w:val="Hyperlink"/>
          </w:rPr>
          <w:t xml:space="preserve">https://doi.org/10.1289/EHP6407</w:t>
        </w:r>
      </w:hyperlink>
    </w:p>
    <w:bookmarkEnd w:id="55"/>
    <w:bookmarkStart w:id="56" w:name="ref-mohammed_potential_nodate"/>
    <w:p>
      <w:pPr>
        <w:pStyle w:val="Bibliography"/>
      </w:pPr>
      <w:r>
        <w:t xml:space="preserve">5.</w:t>
      </w:r>
      <w:r>
        <w:t xml:space="preserve"> </w:t>
      </w:r>
      <w:r>
        <w:t xml:space="preserve">	</w:t>
      </w:r>
      <w:r>
        <w:t xml:space="preserve">Mohammed MOA, Wei SW, Li MW, et al Potential</w:t>
      </w:r>
      <w:r>
        <w:t xml:space="preserve"> </w:t>
      </w:r>
      <w:r>
        <w:t xml:space="preserve">Toxicological</w:t>
      </w:r>
      <w:r>
        <w:t xml:space="preserve"> </w:t>
      </w:r>
      <w:r>
        <w:t xml:space="preserve">and</w:t>
      </w:r>
      <w:r>
        <w:t xml:space="preserve"> </w:t>
      </w:r>
      <w:r>
        <w:t xml:space="preserve">Cardiopulmonary</w:t>
      </w:r>
      <w:r>
        <w:t xml:space="preserve"> </w:t>
      </w:r>
      <w:r>
        <w:t xml:space="preserve">Effects</w:t>
      </w:r>
      <w:r>
        <w:t xml:space="preserve"> </w:t>
      </w:r>
      <w:r>
        <w:t xml:space="preserve">of</w:t>
      </w:r>
      <w:r>
        <w:t xml:space="preserve"> </w:t>
      </w:r>
      <w:r>
        <w:t xml:space="preserve">PM2</w:t>
      </w:r>
      <w:r>
        <w:t xml:space="preserve">.5</w:t>
      </w:r>
      <w:r>
        <w:t xml:space="preserve"> </w:t>
      </w:r>
      <w:r>
        <w:t xml:space="preserve">Exposure</w:t>
      </w:r>
      <w:r>
        <w:t xml:space="preserve"> </w:t>
      </w:r>
      <w:r>
        <w:t xml:space="preserve">and</w:t>
      </w:r>
      <w:r>
        <w:t xml:space="preserve"> </w:t>
      </w:r>
      <w:r>
        <w:t xml:space="preserve">Related</w:t>
      </w:r>
      <w:r>
        <w:t xml:space="preserve"> </w:t>
      </w:r>
      <w:r>
        <w:t xml:space="preserve">Mortality</w:t>
      </w:r>
      <w:r>
        <w:t xml:space="preserve">:</w:t>
      </w:r>
      <w:r>
        <w:t xml:space="preserve"> </w:t>
      </w:r>
      <w:r>
        <w:t xml:space="preserve">Findings</w:t>
      </w:r>
      <w:r>
        <w:t xml:space="preserve"> </w:t>
      </w:r>
      <w:r>
        <w:t xml:space="preserve">of</w:t>
      </w:r>
      <w:r>
        <w:t xml:space="preserve"> </w:t>
      </w:r>
      <w:r>
        <w:t xml:space="preserve">Recent</w:t>
      </w:r>
      <w:r>
        <w:t xml:space="preserve"> </w:t>
      </w:r>
      <w:r>
        <w:t xml:space="preserve">Studies</w:t>
      </w:r>
      <w:r>
        <w:t xml:space="preserve"> </w:t>
      </w:r>
      <w:r>
        <w:t xml:space="preserve">Published</w:t>
      </w:r>
      <w:r>
        <w:t xml:space="preserve"> </w:t>
      </w:r>
      <w:r>
        <w:t xml:space="preserve">during 2003-2013. Biomed Environ Sci</w:t>
      </w:r>
    </w:p>
    <w:bookmarkEnd w:id="56"/>
    <w:bookmarkStart w:id="58" w:name="ref-viana_source_2008"/>
    <w:p>
      <w:pPr>
        <w:pStyle w:val="Bibliography"/>
      </w:pPr>
      <w:r>
        <w:t xml:space="preserve">6.</w:t>
      </w:r>
      <w:r>
        <w:t xml:space="preserve"> </w:t>
      </w:r>
      <w:r>
        <w:t xml:space="preserve">	</w:t>
      </w:r>
      <w:r>
        <w:t xml:space="preserve">Viana M, Kuhlbusch TAJ, Querol X, et al (2008) Source apportionment of particulate matter in</w:t>
      </w:r>
      <w:r>
        <w:t xml:space="preserve"> </w:t>
      </w:r>
      <w:r>
        <w:t xml:space="preserve">Europe</w:t>
      </w:r>
      <w:r>
        <w:t xml:space="preserve">:</w:t>
      </w:r>
      <w:r>
        <w:t xml:space="preserve"> </w:t>
      </w:r>
      <w:r>
        <w:t xml:space="preserve">A</w:t>
      </w:r>
      <w:r>
        <w:t xml:space="preserve"> </w:t>
      </w:r>
      <w:r>
        <w:t xml:space="preserve">review of methods and results. Journal of Aerosol Science 39(10):827–849.</w:t>
      </w:r>
      <w:r>
        <w:t xml:space="preserve"> </w:t>
      </w:r>
      <w:hyperlink r:id="rId57">
        <w:r>
          <w:rPr>
            <w:rStyle w:val="Hyperlink"/>
          </w:rPr>
          <w:t xml:space="preserve">https://doi.org/10.1016/j.jaerosci.2008.05.007</w:t>
        </w:r>
      </w:hyperlink>
    </w:p>
    <w:bookmarkEnd w:id="58"/>
    <w:bookmarkStart w:id="60" w:name="ref-reff_receptor_2007"/>
    <w:p>
      <w:pPr>
        <w:pStyle w:val="Bibliography"/>
      </w:pPr>
      <w:r>
        <w:t xml:space="preserve">7.</w:t>
      </w:r>
      <w:r>
        <w:t xml:space="preserve"> </w:t>
      </w:r>
      <w:r>
        <w:t xml:space="preserve">	</w:t>
      </w:r>
      <w:r>
        <w:t xml:space="preserve">Reff A, Eberly SI, Bhave PV (2007) Receptor</w:t>
      </w:r>
      <w:r>
        <w:t xml:space="preserve"> </w:t>
      </w:r>
      <w:r>
        <w:t xml:space="preserve">Modeling</w:t>
      </w:r>
      <w:r>
        <w:t xml:space="preserve"> </w:t>
      </w:r>
      <w:r>
        <w:t xml:space="preserve">of</w:t>
      </w:r>
      <w:r>
        <w:t xml:space="preserve"> </w:t>
      </w:r>
      <w:r>
        <w:t xml:space="preserve">Ambient</w:t>
      </w:r>
      <w:r>
        <w:t xml:space="preserve"> </w:t>
      </w:r>
      <w:r>
        <w:t xml:space="preserve">Particulate</w:t>
      </w:r>
      <w:r>
        <w:t xml:space="preserve"> </w:t>
      </w:r>
      <w:r>
        <w:t xml:space="preserve">Matter</w:t>
      </w:r>
      <w:r>
        <w:t xml:space="preserve"> </w:t>
      </w:r>
      <w:r>
        <w:t xml:space="preserve">Data</w:t>
      </w:r>
      <w:r>
        <w:t xml:space="preserve"> </w:t>
      </w:r>
      <w:r>
        <w:t xml:space="preserve">Using</w:t>
      </w:r>
      <w:r>
        <w:t xml:space="preserve"> </w:t>
      </w:r>
      <w:r>
        <w:t xml:space="preserve">Positive</w:t>
      </w:r>
      <w:r>
        <w:t xml:space="preserve"> </w:t>
      </w:r>
      <w:r>
        <w:t xml:space="preserve">Matrix</w:t>
      </w:r>
      <w:r>
        <w:t xml:space="preserve"> </w:t>
      </w:r>
      <w:r>
        <w:t xml:space="preserve">Factorization</w:t>
      </w:r>
      <w:r>
        <w:t xml:space="preserve">:</w:t>
      </w:r>
      <w:r>
        <w:t xml:space="preserve"> </w:t>
      </w:r>
      <w:r>
        <w:t xml:space="preserve">Review</w:t>
      </w:r>
      <w:r>
        <w:t xml:space="preserve"> </w:t>
      </w:r>
      <w:r>
        <w:t xml:space="preserve">of</w:t>
      </w:r>
      <w:r>
        <w:t xml:space="preserve"> </w:t>
      </w:r>
      <w:r>
        <w:t xml:space="preserve">Existing</w:t>
      </w:r>
      <w:r>
        <w:t xml:space="preserve"> </w:t>
      </w:r>
      <w:r>
        <w:t xml:space="preserve">Methods</w:t>
      </w:r>
      <w:r>
        <w:t xml:space="preserve">. Journal of the Air &amp; Waste Management Association 57(2):146–154.</w:t>
      </w:r>
      <w:r>
        <w:t xml:space="preserve"> </w:t>
      </w:r>
      <w:hyperlink r:id="rId59">
        <w:r>
          <w:rPr>
            <w:rStyle w:val="Hyperlink"/>
          </w:rPr>
          <w:t xml:space="preserve">https://doi.org/10.1080/10473289.2007.10465319</w:t>
        </w:r>
      </w:hyperlink>
    </w:p>
    <w:bookmarkEnd w:id="60"/>
    <w:bookmarkStart w:id="62" w:name="ref-zhou_chemical_2014"/>
    <w:p>
      <w:pPr>
        <w:pStyle w:val="Bibliography"/>
      </w:pPr>
      <w:r>
        <w:t xml:space="preserve">8.</w:t>
      </w:r>
      <w:r>
        <w:t xml:space="preserve"> </w:t>
      </w:r>
      <w:r>
        <w:t xml:space="preserve">	</w:t>
      </w:r>
      <w:r>
        <w:t xml:space="preserve">Zhou Z, Dionisio KL, Verissimo TG, et al (2014) Chemical</w:t>
      </w:r>
      <w:r>
        <w:t xml:space="preserve"> </w:t>
      </w:r>
      <w:r>
        <w:t xml:space="preserve">Characterization</w:t>
      </w:r>
      <w:r>
        <w:t xml:space="preserve"> </w:t>
      </w:r>
      <w:r>
        <w:t xml:space="preserve">and</w:t>
      </w:r>
      <w:r>
        <w:t xml:space="preserve"> </w:t>
      </w:r>
      <w:r>
        <w:t xml:space="preserve">Source</w:t>
      </w:r>
      <w:r>
        <w:t xml:space="preserve"> </w:t>
      </w:r>
      <w:r>
        <w:t xml:space="preserve">Apportionment</w:t>
      </w:r>
      <w:r>
        <w:t xml:space="preserve"> </w:t>
      </w:r>
      <w:r>
        <w:t xml:space="preserve">of</w:t>
      </w:r>
      <w:r>
        <w:t xml:space="preserve"> </w:t>
      </w:r>
      <w:r>
        <w:t xml:space="preserve">Household</w:t>
      </w:r>
      <w:r>
        <w:t xml:space="preserve"> </w:t>
      </w:r>
      <w:r>
        <w:t xml:space="preserve">Fine</w:t>
      </w:r>
      <w:r>
        <w:t xml:space="preserve"> </w:t>
      </w:r>
      <w:r>
        <w:t xml:space="preserve">Particulate</w:t>
      </w:r>
      <w:r>
        <w:t xml:space="preserve"> </w:t>
      </w:r>
      <w:r>
        <w:t xml:space="preserve">Matter</w:t>
      </w:r>
      <w:r>
        <w:t xml:space="preserve"> </w:t>
      </w:r>
      <w:r>
        <w:t xml:space="preserve">in</w:t>
      </w:r>
      <w:r>
        <w:t xml:space="preserve"> </w:t>
      </w:r>
      <w:r>
        <w:t xml:space="preserve">Rural</w:t>
      </w:r>
      <w:r>
        <w:t xml:space="preserve">,</w:t>
      </w:r>
      <w:r>
        <w:t xml:space="preserve"> </w:t>
      </w:r>
      <w:r>
        <w:t xml:space="preserve">Peri</w:t>
      </w:r>
      <w:r>
        <w:t xml:space="preserve">-urban, and</w:t>
      </w:r>
      <w:r>
        <w:t xml:space="preserve"> </w:t>
      </w:r>
      <w:r>
        <w:t xml:space="preserve">Urban</w:t>
      </w:r>
      <w:r>
        <w:t xml:space="preserve"> </w:t>
      </w:r>
      <w:r>
        <w:t xml:space="preserve">West</w:t>
      </w:r>
      <w:r>
        <w:t xml:space="preserve"> </w:t>
      </w:r>
      <w:r>
        <w:t xml:space="preserve">Africa</w:t>
      </w:r>
      <w:r>
        <w:t xml:space="preserve">. Environmental Science &amp; Technology 48(2):1343–1351.</w:t>
      </w:r>
      <w:r>
        <w:t xml:space="preserve"> </w:t>
      </w:r>
      <w:hyperlink r:id="rId61">
        <w:r>
          <w:rPr>
            <w:rStyle w:val="Hyperlink"/>
          </w:rPr>
          <w:t xml:space="preserve">https://doi.org/10.1021/es404185m</w:t>
        </w:r>
      </w:hyperlink>
    </w:p>
    <w:bookmarkEnd w:id="62"/>
    <w:bookmarkStart w:id="64" w:name="ref-sharma_source_2016"/>
    <w:p>
      <w:pPr>
        <w:pStyle w:val="Bibliography"/>
      </w:pPr>
      <w:r>
        <w:t xml:space="preserve">9.</w:t>
      </w:r>
      <w:r>
        <w:t xml:space="preserve"> </w:t>
      </w:r>
      <w:r>
        <w:t xml:space="preserve">	</w:t>
      </w:r>
      <w:r>
        <w:t xml:space="preserve">Sharma SK, Mandal TK, Jain S, Saraswati, Sharma A, Saxena M (2016) Source</w:t>
      </w:r>
      <w:r>
        <w:t xml:space="preserve"> </w:t>
      </w:r>
      <w:r>
        <w:t xml:space="preserve">Apportionment</w:t>
      </w:r>
      <w:r>
        <w:t xml:space="preserve"> </w:t>
      </w:r>
      <w:r>
        <w:t xml:space="preserve">of</w:t>
      </w:r>
      <w:r>
        <w:t xml:space="preserve"> </w:t>
      </w:r>
      <w:r>
        <w:t xml:space="preserve">PM2</w:t>
      </w:r>
      <w:r>
        <w:t xml:space="preserve">.5 in</w:t>
      </w:r>
      <w:r>
        <w:t xml:space="preserve"> </w:t>
      </w:r>
      <w:r>
        <w:t xml:space="preserve">Delhi</w:t>
      </w:r>
      <w:r>
        <w:t xml:space="preserve">,</w:t>
      </w:r>
      <w:r>
        <w:t xml:space="preserve"> </w:t>
      </w:r>
      <w:r>
        <w:t xml:space="preserve">India</w:t>
      </w:r>
      <w:r>
        <w:t xml:space="preserve"> </w:t>
      </w:r>
      <w:r>
        <w:t xml:space="preserve">Using</w:t>
      </w:r>
      <w:r>
        <w:t xml:space="preserve"> </w:t>
      </w:r>
      <w:r>
        <w:t xml:space="preserve">PMF</w:t>
      </w:r>
      <w:r>
        <w:t xml:space="preserve"> </w:t>
      </w:r>
      <w:r>
        <w:t xml:space="preserve">Model</w:t>
      </w:r>
      <w:r>
        <w:t xml:space="preserve">. Bulletin of Environmental Contamination and Toxicology 97(2):286–293.</w:t>
      </w:r>
      <w:r>
        <w:t xml:space="preserve"> </w:t>
      </w:r>
      <w:hyperlink r:id="rId63">
        <w:r>
          <w:rPr>
            <w:rStyle w:val="Hyperlink"/>
          </w:rPr>
          <w:t xml:space="preserve">https://doi.org/10.1007/s00128-016-1836-1</w:t>
        </w:r>
      </w:hyperlink>
    </w:p>
    <w:bookmarkEnd w:id="64"/>
    <w:bookmarkStart w:id="66" w:name="ref-martinez-cinco_source_2016"/>
    <w:p>
      <w:pPr>
        <w:pStyle w:val="Bibliography"/>
      </w:pPr>
      <w:r>
        <w:t xml:space="preserve">10.</w:t>
      </w:r>
      <w:r>
        <w:t xml:space="preserve"> </w:t>
      </w:r>
      <w:r>
        <w:t xml:space="preserve">	</w:t>
      </w:r>
      <w:r>
        <w:t xml:space="preserve">Martínez-Cinco M, Santos-Guzmán J, Mejía-Velázquez G (2016) Source apportionment of</w:t>
      </w:r>
      <w:r>
        <w:t xml:space="preserve"> </w:t>
      </w:r>
      <w:r>
        <w:t xml:space="preserve">PM</w:t>
      </w:r>
      <w:r>
        <w:t xml:space="preserve"> </w:t>
      </w:r>
      <m:oMath>
        <m:sSub>
          <m:e>
            <m:r>
              <m:t>​</m:t>
            </m:r>
          </m:e>
          <m:sub>
            <m:r>
              <m:rPr>
                <m:nor/>
                <m:sty m:val="p"/>
              </m:rPr>
              <m:t>2.5</m:t>
            </m:r>
          </m:sub>
        </m:sSub>
      </m:oMath>
      <w:r>
        <w:t xml:space="preserve"> </w:t>
      </w:r>
      <w:r>
        <w:t xml:space="preserve">for supporting control strategies in the</w:t>
      </w:r>
      <w:r>
        <w:t xml:space="preserve"> </w:t>
      </w:r>
      <w:r>
        <w:t xml:space="preserve">Monterrey</w:t>
      </w:r>
      <w:r>
        <w:t xml:space="preserve"> </w:t>
      </w:r>
      <w:r>
        <w:t xml:space="preserve">Metropolitan</w:t>
      </w:r>
      <w:r>
        <w:t xml:space="preserve"> </w:t>
      </w:r>
      <w:r>
        <w:t xml:space="preserve">Area</w:t>
      </w:r>
      <w:r>
        <w:t xml:space="preserve">,</w:t>
      </w:r>
      <w:r>
        <w:t xml:space="preserve"> </w:t>
      </w:r>
      <w:r>
        <w:t xml:space="preserve">Mexico</w:t>
      </w:r>
      <w:r>
        <w:t xml:space="preserve">. Journal of the Air &amp; Waste Management Association 66(6):631–642.</w:t>
      </w:r>
      <w:r>
        <w:t xml:space="preserve"> </w:t>
      </w:r>
      <w:hyperlink r:id="rId65">
        <w:r>
          <w:rPr>
            <w:rStyle w:val="Hyperlink"/>
          </w:rPr>
          <w:t xml:space="preserve">https://doi.org/10.1080/10962247.2016.1159259</w:t>
        </w:r>
      </w:hyperlink>
    </w:p>
    <w:bookmarkEnd w:id="66"/>
    <w:bookmarkStart w:id="68" w:name="ref-johnson_air_2020"/>
    <w:p>
      <w:pPr>
        <w:pStyle w:val="Bibliography"/>
      </w:pPr>
      <w:r>
        <w:t xml:space="preserve">11.</w:t>
      </w:r>
      <w:r>
        <w:t xml:space="preserve"> </w:t>
      </w:r>
      <w:r>
        <w:t xml:space="preserve">	</w:t>
      </w:r>
      <w:r>
        <w:t xml:space="preserve">Johnson MA, Steenland K, Piedrahita R, et al (2020) Air</w:t>
      </w:r>
      <w:r>
        <w:t xml:space="preserve"> </w:t>
      </w:r>
      <w:r>
        <w:t xml:space="preserve">Pollutant</w:t>
      </w:r>
      <w:r>
        <w:t xml:space="preserve"> </w:t>
      </w:r>
      <w:r>
        <w:t xml:space="preserve">Exposure</w:t>
      </w:r>
      <w:r>
        <w:t xml:space="preserve"> </w:t>
      </w:r>
      <w:r>
        <w:t xml:space="preserve">and</w:t>
      </w:r>
      <w:r>
        <w:t xml:space="preserve"> </w:t>
      </w:r>
      <w:r>
        <w:t xml:space="preserve">Stove</w:t>
      </w:r>
      <w:r>
        <w:t xml:space="preserve"> </w:t>
      </w:r>
      <w:r>
        <w:t xml:space="preserve">Use</w:t>
      </w:r>
      <w:r>
        <w:t xml:space="preserve"> </w:t>
      </w:r>
      <w:r>
        <w:t xml:space="preserve">Assessment</w:t>
      </w:r>
      <w:r>
        <w:t xml:space="preserve"> </w:t>
      </w:r>
      <w:r>
        <w:t xml:space="preserve">Methods</w:t>
      </w:r>
      <w:r>
        <w:t xml:space="preserve"> </w:t>
      </w:r>
      <w:r>
        <w:t xml:space="preserve">for 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w:t>
      </w:r>
      <w:r>
        <w:t xml:space="preserve">HAPIN</w:t>
      </w:r>
      <w:r>
        <w:t xml:space="preserve">)</w:t>
      </w:r>
      <w:r>
        <w:t xml:space="preserve"> </w:t>
      </w:r>
      <w:r>
        <w:t xml:space="preserve">Trial</w:t>
      </w:r>
      <w:r>
        <w:t xml:space="preserve">. Environmental Health Perspectives 128(4):047009.</w:t>
      </w:r>
      <w:r>
        <w:t xml:space="preserve"> </w:t>
      </w:r>
      <w:hyperlink r:id="rId67">
        <w:r>
          <w:rPr>
            <w:rStyle w:val="Hyperlink"/>
          </w:rPr>
          <w:t xml:space="preserve">https://doi.org/10.1289/EHP6422</w:t>
        </w:r>
      </w:hyperlink>
    </w:p>
    <w:bookmarkEnd w:id="68"/>
    <w:bookmarkStart w:id="69" w:name="ref-kearns_exposures_nodate"/>
    <w:p>
      <w:pPr>
        <w:pStyle w:val="Bibliography"/>
      </w:pPr>
      <w:r>
        <w:t xml:space="preserve">12.</w:t>
      </w:r>
      <w:r>
        <w:t xml:space="preserve"> </w:t>
      </w:r>
      <w:r>
        <w:t xml:space="preserve">	</w:t>
      </w:r>
      <w:r>
        <w:t xml:space="preserve">Kearns KA</w:t>
      </w:r>
      <w:r>
        <w:t xml:space="preserve"> </w:t>
      </w:r>
      <w:r>
        <w:t xml:space="preserve">EXPOSURES</w:t>
      </w:r>
      <w:r>
        <w:t xml:space="preserve"> </w:t>
      </w:r>
      <w:r>
        <w:t xml:space="preserve">TO</w:t>
      </w:r>
      <w:r>
        <w:t xml:space="preserve"> </w:t>
      </w:r>
      <w:r>
        <w:t xml:space="preserve">HOUSEHOLD</w:t>
      </w:r>
      <w:r>
        <w:t xml:space="preserve"> </w:t>
      </w:r>
      <w:r>
        <w:t xml:space="preserve">AIR</w:t>
      </w:r>
      <w:r>
        <w:t xml:space="preserve"> </w:t>
      </w:r>
      <w:r>
        <w:t xml:space="preserve">POLLUTION</w:t>
      </w:r>
      <w:r>
        <w:t xml:space="preserve"> </w:t>
      </w:r>
      <w:r>
        <w:t xml:space="preserve">IN</w:t>
      </w:r>
      <w:r>
        <w:t xml:space="preserve"> </w:t>
      </w:r>
      <w:r>
        <w:t xml:space="preserve">WOMEN</w:t>
      </w:r>
      <w:r>
        <w:t xml:space="preserve"> </w:t>
      </w:r>
      <w:r>
        <w:t xml:space="preserve">ACROSS</w:t>
      </w:r>
      <w:r>
        <w:t xml:space="preserve"> </w:t>
      </w:r>
      <w:r>
        <w:t xml:space="preserve">FOUR</w:t>
      </w:r>
      <w:r>
        <w:t xml:space="preserve"> </w:t>
      </w:r>
      <w:r>
        <w:t xml:space="preserve">DIVERSE</w:t>
      </w:r>
      <w:r>
        <w:t xml:space="preserve"> </w:t>
      </w:r>
      <w:r>
        <w:t xml:space="preserve">COUNTRIES</w:t>
      </w:r>
      <w:r>
        <w:t xml:space="preserve"> </w:t>
      </w:r>
      <w:r>
        <w:t xml:space="preserve">AS</w:t>
      </w:r>
      <w:r>
        <w:t xml:space="preserve"> </w:t>
      </w:r>
      <w:r>
        <w:t xml:space="preserve">PART</w:t>
      </w:r>
      <w:r>
        <w:t xml:space="preserve"> </w:t>
      </w:r>
      <w:r>
        <w:t xml:space="preserve">OF</w:t>
      </w:r>
      <w:r>
        <w:t xml:space="preserve"> </w:t>
      </w:r>
      <w:r>
        <w:t xml:space="preserve">A</w:t>
      </w:r>
      <w:r>
        <w:t xml:space="preserve"> </w:t>
      </w:r>
      <w:r>
        <w:t xml:space="preserve">MULTI</w:t>
      </w:r>
      <w:r>
        <w:t xml:space="preserve">-</w:t>
      </w:r>
      <w:r>
        <w:t xml:space="preserve">COUNTRY</w:t>
      </w:r>
      <w:r>
        <w:t xml:space="preserve"> </w:t>
      </w:r>
      <w:r>
        <w:t xml:space="preserve">COOKSTOVE</w:t>
      </w:r>
      <w:r>
        <w:t xml:space="preserve"> </w:t>
      </w:r>
      <w:r>
        <w:t xml:space="preserve">INTERVENTION</w:t>
      </w:r>
      <w:r>
        <w:t xml:space="preserve"> </w:t>
      </w:r>
      <w:r>
        <w:t xml:space="preserve">TRIAL</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34" Target="media/rId34.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hyperlink" Id="rId63" Target="https://doi.org/10.1007/s00128-016-1836-1" TargetMode="External" /><Relationship Type="http://schemas.openxmlformats.org/officeDocument/2006/relationships/hyperlink" Id="rId50" Target="https://doi.org/10.1016/S0140-6736(20)30752-2" TargetMode="External" /><Relationship Type="http://schemas.openxmlformats.org/officeDocument/2006/relationships/hyperlink" Id="rId48" Target="https://doi.org/10.1016/S2213-2600(14)70168-7" TargetMode="External" /><Relationship Type="http://schemas.openxmlformats.org/officeDocument/2006/relationships/hyperlink" Id="rId57" Target="https://doi.org/10.1016/j.jaerosci.2008.05.007" TargetMode="External" /><Relationship Type="http://schemas.openxmlformats.org/officeDocument/2006/relationships/hyperlink" Id="rId61" Target="https://doi.org/10.1021/es404185m" TargetMode="External" /><Relationship Type="http://schemas.openxmlformats.org/officeDocument/2006/relationships/hyperlink" Id="rId52" Target="https://doi.org/10.1080/10473289.2006.10464485" TargetMode="External" /><Relationship Type="http://schemas.openxmlformats.org/officeDocument/2006/relationships/hyperlink" Id="rId59" Target="https://doi.org/10.1080/10473289.2007.10465319" TargetMode="External" /><Relationship Type="http://schemas.openxmlformats.org/officeDocument/2006/relationships/hyperlink" Id="rId65" Target="https://doi.org/10.1080/10962247.2016.1159259" TargetMode="External" /><Relationship Type="http://schemas.openxmlformats.org/officeDocument/2006/relationships/hyperlink" Id="rId54" Target="https://doi.org/10.1289/EHP6407" TargetMode="External" /><Relationship Type="http://schemas.openxmlformats.org/officeDocument/2006/relationships/hyperlink" Id="rId67" Target="https://doi.org/10.1289/EHP6422"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s00128-016-1836-1" TargetMode="External" /><Relationship Type="http://schemas.openxmlformats.org/officeDocument/2006/relationships/hyperlink" Id="rId50" Target="https://doi.org/10.1016/S0140-6736(20)30752-2" TargetMode="External" /><Relationship Type="http://schemas.openxmlformats.org/officeDocument/2006/relationships/hyperlink" Id="rId48" Target="https://doi.org/10.1016/S2213-2600(14)70168-7" TargetMode="External" /><Relationship Type="http://schemas.openxmlformats.org/officeDocument/2006/relationships/hyperlink" Id="rId57" Target="https://doi.org/10.1016/j.jaerosci.2008.05.007" TargetMode="External" /><Relationship Type="http://schemas.openxmlformats.org/officeDocument/2006/relationships/hyperlink" Id="rId61" Target="https://doi.org/10.1021/es404185m" TargetMode="External" /><Relationship Type="http://schemas.openxmlformats.org/officeDocument/2006/relationships/hyperlink" Id="rId52" Target="https://doi.org/10.1080/10473289.2006.10464485" TargetMode="External" /><Relationship Type="http://schemas.openxmlformats.org/officeDocument/2006/relationships/hyperlink" Id="rId59" Target="https://doi.org/10.1080/10473289.2007.10465319" TargetMode="External" /><Relationship Type="http://schemas.openxmlformats.org/officeDocument/2006/relationships/hyperlink" Id="rId65" Target="https://doi.org/10.1080/10962247.2016.1159259" TargetMode="External" /><Relationship Type="http://schemas.openxmlformats.org/officeDocument/2006/relationships/hyperlink" Id="rId54" Target="https://doi.org/10.1289/EHP6407" TargetMode="External" /><Relationship Type="http://schemas.openxmlformats.org/officeDocument/2006/relationships/hyperlink" Id="rId67" Target="https://doi.org/10.1289/EHP6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filter samples from the Household Air Pollution Intervention Network (HAPIN) trial for Source Apportionment</dc:title>
  <dc:creator>Erick E. Mollinedo</dc:creator>
  <cp:keywords/>
  <dcterms:created xsi:type="dcterms:W3CDTF">2024-04-05T20:46:29Z</dcterms:created>
  <dcterms:modified xsi:type="dcterms:W3CDTF">2024-04-05T20:46:29Z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../../assets/sourceapp-references.bib</vt:lpwstr>
  </property>
  <property fmtid="{D5CDD505-2E9C-101B-9397-08002B2CF9AE}" pid="5" name="by-author">
    <vt:lpwstr/>
  </property>
  <property fmtid="{D5CDD505-2E9C-101B-9397-08002B2CF9AE}" pid="6" name="csl">
    <vt:lpwstr>../../assets/diabetologia.csl</vt:lpwstr>
  </property>
  <property fmtid="{D5CDD505-2E9C-101B-9397-08002B2CF9AE}" pid="7" name="date">
    <vt:lpwstr>2024-04-05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Project: Part 4</vt:lpwstr>
  </property>
  <property fmtid="{D5CDD505-2E9C-101B-9397-08002B2CF9AE}" pid="13" name="toc-title">
    <vt:lpwstr>Table of contents</vt:lpwstr>
  </property>
</Properties>
</file>