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png" ContentType="image/png"/>
  <Override PartName="/word/media/rId42.png" ContentType="image/png"/>
  <Override PartName="/word/media/rId36.png" ContentType="image/png"/>
  <Override PartName="/word/media/rId32.png" ContentType="image/png"/>
  <Override PartName="/word/media/rId4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E.</w:t>
      </w:r>
      <w:r>
        <w:t xml:space="preserve"> </w:t>
      </w:r>
      <w:r>
        <w:t xml:space="preserve">Mollinedo</w:t>
      </w:r>
    </w:p>
    <w:p>
      <w:pPr>
        <w:pStyle w:val="Date"/>
      </w:pPr>
      <w:r>
        <w:t xml:space="preserve">2024-04-19</w:t>
      </w:r>
    </w:p>
    <w:bookmarkStart w:id="49" w:name="supplementary-material"/>
    <w:p>
      <w:pPr>
        <w:pStyle w:val="Heading1"/>
      </w:pPr>
      <w:r>
        <w:t xml:space="preserve">1. Supplementary Material</w:t>
      </w:r>
    </w:p>
    <w:p>
      <w:pPr>
        <w:pStyle w:val="FirstParagraph"/>
      </w:pPr>
      <w:r>
        <w:t xml:space="preserve">The following document includes some of the results from the exploratory data analysis.</w:t>
      </w:r>
    </w:p>
    <w:bookmarkStart w:id="48" w:name="supplementary-results"/>
    <w:p>
      <w:pPr>
        <w:pStyle w:val="Heading2"/>
      </w:pPr>
      <w:r>
        <w:t xml:space="preserve">1.1 Supplementary Results</w:t>
      </w:r>
    </w:p>
    <w:p>
      <w:pPr>
        <w:pStyle w:val="FirstParagraph"/>
      </w:pPr>
      <w:hyperlink w:anchor="fig-conc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summary of concentrations for each chemical species categorized by study arm. It is observed a similar pattern observed from the categorization by type of fuel, where Mg, Mn, Ca, K, BC, Ti, Si and S have statistically significant differences in concentrations (shown as ****).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nc"/>
          <w:p>
            <w:pPr>
              <w:pStyle w:val="Compact"/>
              <w:jc w:val="center"/>
            </w:pPr>
            <w:r>
              <w:drawing>
                <wp:inline>
                  <wp:extent cx="5334000" cy="32003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xplot-arm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Chemical species concentrations by study arm</w:t>
            </w:r>
          </w:p>
          <w:bookmarkEnd w:id="23"/>
        </w:tc>
      </w:tr>
    </w:tbl>
    <w:p>
      <w:pPr>
        <w:pStyle w:val="BodyText"/>
      </w:pPr>
      <w:r>
        <w:t xml:space="preserve">In terms of the categorical exposures</w:t>
      </w:r>
      <w:r>
        <w:t xml:space="preserve"> </w:t>
      </w:r>
      <w:hyperlink w:anchor="fig-c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summarizes the responses from all the exposures. It is observed that for the incence and generator variables there were just a few or none observations that recorded being exposed to these sources. Meanwhile, stove usage was the exposure most recorded.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cat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at-exposures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Summary of categorical exposures</w:t>
            </w:r>
          </w:p>
          <w:bookmarkEnd w:id="27"/>
        </w:tc>
      </w:tr>
    </w:tbl>
    <w:p>
      <w:pPr>
        <w:pStyle w:val="BodyText"/>
      </w:pPr>
      <w:r>
        <w:t xml:space="preserve">The following figures show the distribution of the concentrations of Carbon monoxide (</w:t>
      </w:r>
      <w:hyperlink w:anchor="fig-co">
        <w:r>
          <w:rPr>
            <w:rStyle w:val="Hyperlink"/>
          </w:rPr>
          <w:t xml:space="preserve">Figure 3</w:t>
        </w:r>
      </w:hyperlink>
      <w:r>
        <w:t xml:space="preserve">) and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(</w:t>
      </w:r>
      <w:hyperlink w:anchor="fig-pm">
        <w:r>
          <w:rPr>
            <w:rStyle w:val="Hyperlink"/>
          </w:rPr>
          <w:t xml:space="preserve">Figure 4</w:t>
        </w:r>
      </w:hyperlink>
      <w:r>
        <w:t xml:space="preserve">), which were considered as covariates (CO) or independent variables (PM</w:t>
      </w:r>
      <w:r>
        <w:rPr>
          <w:vertAlign w:val="subscript"/>
        </w:rPr>
        <w:t xml:space="preserve">2.5</w:t>
      </w:r>
      <w:r>
        <w:t xml:space="preserve">) to be included in the modelling process with the categorical exposures.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co"/>
          <w:p>
            <w:pPr>
              <w:pStyle w:val="Compact"/>
              <w:jc w:val="center"/>
            </w:pPr>
            <w:r>
              <w:drawing>
                <wp:inline>
                  <wp:extent cx="5334000" cy="3200399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o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Carbon Monoxide concentrations by type of fuel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pm"/>
          <w:p>
            <w:pPr>
              <w:pStyle w:val="Compact"/>
              <w:jc w:val="center"/>
            </w:pPr>
            <w:r>
              <w:drawing>
                <wp:inline>
                  <wp:extent cx="5334000" cy="3200399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pm25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PM2.5 concentrations by type of fuel</w:t>
            </w:r>
          </w:p>
          <w:bookmarkEnd w:id="35"/>
        </w:tc>
      </w:tr>
    </w:tbl>
    <w:p>
      <w:pPr>
        <w:pStyle w:val="BodyText"/>
      </w:pPr>
      <w:r>
        <w:t xml:space="preserve">The following tables show the model summaries for the final models selected. In this case the linear regression model for the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mass concentrations and the gamma GLM model for the BC mass concentrations.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estimate std.error statistic  p.value</w:t>
      </w:r>
      <w:r>
        <w:br/>
      </w:r>
      <w:r>
        <w:rPr>
          <w:rStyle w:val="VerbatimChar"/>
        </w:rPr>
        <w:t xml:space="preserve">   &lt;chr&gt;          &lt;dbl&gt;     &lt;dbl&gt;     &lt;dbl&gt;    &lt;dbl&gt;</w:t>
      </w:r>
      <w:r>
        <w:br/>
      </w:r>
      <w:r>
        <w:rPr>
          <w:rStyle w:val="VerbatimChar"/>
        </w:rPr>
        <w:t xml:space="preserve"> 1 (Intercept)   -10.7      7.17     -1.49  1.37e- 1</w:t>
      </w:r>
      <w:r>
        <w:br/>
      </w:r>
      <w:r>
        <w:rPr>
          <w:rStyle w:val="VerbatimChar"/>
        </w:rPr>
        <w:t xml:space="preserve"> 2 Mg           -177.      48.5      -3.66  2.85e- 4</w:t>
      </w:r>
      <w:r>
        <w:br/>
      </w:r>
      <w:r>
        <w:rPr>
          <w:rStyle w:val="VerbatimChar"/>
        </w:rPr>
        <w:t xml:space="preserve"> 3 Al             13.2     13.2       1.00  3.16e- 1</w:t>
      </w:r>
      <w:r>
        <w:br/>
      </w:r>
      <w:r>
        <w:rPr>
          <w:rStyle w:val="VerbatimChar"/>
        </w:rPr>
        <w:t xml:space="preserve"> 4 Si              4.29     7.95      0.540 5.90e- 1</w:t>
      </w:r>
      <w:r>
        <w:br/>
      </w:r>
      <w:r>
        <w:rPr>
          <w:rStyle w:val="VerbatimChar"/>
        </w:rPr>
        <w:t xml:space="preserve"> 5 S              -8.96     9.88     -0.907 3.65e- 1</w:t>
      </w:r>
      <w:r>
        <w:br/>
      </w:r>
      <w:r>
        <w:rPr>
          <w:rStyle w:val="VerbatimChar"/>
        </w:rPr>
        <w:t xml:space="preserve"> 6 K              59.1      2.81     21.1   2.86e-70</w:t>
      </w:r>
      <w:r>
        <w:br/>
      </w:r>
      <w:r>
        <w:rPr>
          <w:rStyle w:val="VerbatimChar"/>
        </w:rPr>
        <w:t xml:space="preserve"> 7 Ca             12.3     14.7       0.831 4.06e- 1</w:t>
      </w:r>
      <w:r>
        <w:br/>
      </w:r>
      <w:r>
        <w:rPr>
          <w:rStyle w:val="VerbatimChar"/>
        </w:rPr>
        <w:t xml:space="preserve"> 8 Ti            -71.3    160.       -0.445 6.57e- 1</w:t>
      </w:r>
      <w:r>
        <w:br/>
      </w:r>
      <w:r>
        <w:rPr>
          <w:rStyle w:val="VerbatimChar"/>
        </w:rPr>
        <w:t xml:space="preserve"> 9 Mn            302.     176.        1.71  8.80e- 2</w:t>
      </w:r>
      <w:r>
        <w:br/>
      </w:r>
      <w:r>
        <w:rPr>
          <w:rStyle w:val="VerbatimChar"/>
        </w:rPr>
        <w:t xml:space="preserve">10 Fe             -6.15    28.2      -0.218 8.27e- 1</w:t>
      </w:r>
      <w:r>
        <w:br/>
      </w:r>
      <w:r>
        <w:rPr>
          <w:rStyle w:val="VerbatimChar"/>
        </w:rPr>
        <w:t xml:space="preserve">11 Zn            184.     199.        0.924 3.56e- 1</w:t>
      </w:r>
      <w:r>
        <w:br/>
      </w:r>
      <w:r>
        <w:rPr>
          <w:rStyle w:val="VerbatimChar"/>
        </w:rPr>
        <w:t xml:space="preserve">12 BC              5.32     0.532     9.99  1.68e-21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term           estimate std.error statistic   p.value</w:t>
      </w:r>
      <w:r>
        <w:br/>
      </w:r>
      <w:r>
        <w:rPr>
          <w:rStyle w:val="VerbatimChar"/>
        </w:rPr>
        <w:t xml:space="preserve">  &lt;chr&gt;             &lt;dbl&gt;     &lt;dbl&gt;     &lt;dbl&gt;     &lt;dbl&gt;</w:t>
      </w:r>
      <w:r>
        <w:br/>
      </w:r>
      <w:r>
        <w:rPr>
          <w:rStyle w:val="VerbatimChar"/>
        </w:rPr>
        <w:t xml:space="preserve">1 (Intercept)      2.44      0.0359    67.8   1.60e-249</w:t>
      </w:r>
      <w:r>
        <w:br/>
      </w:r>
      <w:r>
        <w:rPr>
          <w:rStyle w:val="VerbatimChar"/>
        </w:rPr>
        <w:t xml:space="preserve">2 smokeYes        -0.118     0.232     -0.509 6.11e-  1</w:t>
      </w:r>
      <w:r>
        <w:br/>
      </w:r>
      <w:r>
        <w:rPr>
          <w:rStyle w:val="VerbatimChar"/>
        </w:rPr>
        <w:t xml:space="preserve">3 coilYes          0.194     0.172      1.13  2.59e-  1</w:t>
      </w:r>
      <w:r>
        <w:br/>
      </w:r>
      <w:r>
        <w:rPr>
          <w:rStyle w:val="VerbatimChar"/>
        </w:rPr>
        <w:t xml:space="preserve">4 trashYes        -0.0312    0.0940    -0.332 7.40e-  1</w:t>
      </w:r>
      <w:r>
        <w:br/>
      </w:r>
      <w:r>
        <w:rPr>
          <w:rStyle w:val="VerbatimChar"/>
        </w:rPr>
        <w:t xml:space="preserve">5 keroseneYes      0.392     0.206      1.91  5.73e-  2</w:t>
      </w:r>
      <w:r>
        <w:br/>
      </w:r>
      <w:r>
        <w:rPr>
          <w:rStyle w:val="VerbatimChar"/>
        </w:rPr>
        <w:t xml:space="preserve">6 smokyYes        -0.0842    0.217     -0.388 6.98e-  1</w:t>
      </w:r>
      <w:r>
        <w:br/>
      </w:r>
      <w:r>
        <w:rPr>
          <w:rStyle w:val="VerbatimChar"/>
        </w:rPr>
        <w:t xml:space="preserve">7 cropYes          0.0352    0.237      0.148 8.82e-  1</w:t>
      </w:r>
      <w:r>
        <w:br/>
      </w:r>
      <w:r>
        <w:rPr>
          <w:rStyle w:val="VerbatimChar"/>
        </w:rPr>
        <w:t xml:space="preserve">8 stove_otherYes   0.175     0.0679     2.57  1.04e-  2</w:t>
      </w:r>
      <w:r>
        <w:br/>
      </w:r>
      <w:r>
        <w:rPr>
          <w:rStyle w:val="VerbatimChar"/>
        </w:rPr>
        <w:t xml:space="preserve">9 fueltypeLPG     -0.974     0.0536   -18.2   1.08e- 56</w:t>
      </w:r>
    </w:p>
    <w:p>
      <w:pPr>
        <w:pStyle w:val="FirstParagraph"/>
      </w:pPr>
      <w:r>
        <w:t xml:space="preserve">The following figures illustrate the observed vs predicted values plots for both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and BC models, and the residual plots.</w:t>
      </w:r>
    </w:p>
    <w:p>
      <w:pPr>
        <w:pStyle w:val="CaptionedFigure"/>
      </w:pPr>
      <w:r>
        <w:drawing>
          <wp:inline>
            <wp:extent cx="5334000" cy="3200399"/>
            <wp:effectExtent b="0" l="0" r="0" t="0"/>
            <wp:docPr descr="Observed vs Predicted values of the PM2.5 models" title="" id="37" name="Picture"/>
            <a:graphic>
              <a:graphicData uri="http://schemas.openxmlformats.org/drawingml/2006/picture">
                <pic:pic>
                  <pic:nvPicPr>
                    <pic:cNvPr descr="../../../results/figures/obs-pred_pm2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Observed vs Predicted values of the PM2.5 models</w:t>
      </w:r>
    </w:p>
    <w:p>
      <w:pPr>
        <w:pStyle w:val="CaptionedFigure"/>
      </w:pPr>
      <w:r>
        <w:drawing>
          <wp:inline>
            <wp:extent cx="5334000" cy="3200399"/>
            <wp:effectExtent b="0" l="0" r="0" t="0"/>
            <wp:docPr descr="PM2.5 Models residuals" title="" id="40" name="Picture"/>
            <a:graphic>
              <a:graphicData uri="http://schemas.openxmlformats.org/drawingml/2006/picture">
                <pic:pic>
                  <pic:nvPicPr>
                    <pic:cNvPr descr="../../../results/figures/residuals-pm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PM2.5 Models residuals</w:t>
      </w:r>
    </w:p>
    <w:p>
      <w:pPr>
        <w:pStyle w:val="CaptionedFigure"/>
      </w:pPr>
      <w:r>
        <w:drawing>
          <wp:inline>
            <wp:extent cx="5334000" cy="3200399"/>
            <wp:effectExtent b="0" l="0" r="0" t="0"/>
            <wp:docPr descr="Observed vs Predicted values of the BC models" title="" id="43" name="Picture"/>
            <a:graphic>
              <a:graphicData uri="http://schemas.openxmlformats.org/drawingml/2006/picture">
                <pic:pic>
                  <pic:nvPicPr>
                    <pic:cNvPr descr="../../../results/figures/obs-pred_bc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Observed vs Predicted values of the BC models</w:t>
      </w:r>
    </w:p>
    <w:p>
      <w:pPr>
        <w:pStyle w:val="CaptionedFigure"/>
      </w:pPr>
      <w:r>
        <w:drawing>
          <wp:inline>
            <wp:extent cx="5334000" cy="3200399"/>
            <wp:effectExtent b="0" l="0" r="0" t="0"/>
            <wp:docPr descr="BC models residuals" title="" id="46" name="Picture"/>
            <a:graphic>
              <a:graphicData uri="http://schemas.openxmlformats.org/drawingml/2006/picture">
                <pic:pic>
                  <pic:nvPicPr>
                    <pic:cNvPr descr="../../../results/figures/residuals-bc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BC models residuals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Erick E. Mollinedo</dc:creator>
  <cp:keywords/>
  <dcterms:created xsi:type="dcterms:W3CDTF">2024-04-19T20:30:02Z</dcterms:created>
  <dcterms:modified xsi:type="dcterms:W3CDTF">2024-04-19T20:30:02Z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