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Males</w:t>
      </w:r>
      <w:r>
        <w:t xml:space="preserve"> </w:t>
      </w:r>
      <w:r>
        <w:t xml:space="preserve">in</w:t>
      </w:r>
      <w:r>
        <w:t xml:space="preserve"> </w:t>
      </w:r>
      <w:r>
        <w:t xml:space="preserve">the</w:t>
      </w:r>
      <w:r>
        <w:t xml:space="preserve"> </w:t>
      </w:r>
      <w:r>
        <w:t xml:space="preserve">U.S.</w:t>
      </w:r>
      <w:r>
        <w:t xml:space="preserve"> </w:t>
      </w:r>
      <w:r>
        <w:t xml:space="preserve">with</w:t>
      </w:r>
      <w:r>
        <w:t xml:space="preserve"> </w:t>
      </w:r>
      <w:r>
        <w:t xml:space="preserve">Prostate</w:t>
      </w:r>
      <w:r>
        <w:t xml:space="preserve"> </w:t>
      </w:r>
      <w:r>
        <w:t xml:space="preserve">Cancer</w:t>
      </w:r>
      <w:r>
        <w:t xml:space="preserve"> </w:t>
      </w:r>
      <w:r>
        <w:t xml:space="preserve">Based</w:t>
      </w:r>
      <w:r>
        <w:t xml:space="preserve"> </w:t>
      </w:r>
      <w:r>
        <w:t xml:space="preserve">on</w:t>
      </w:r>
      <w:r>
        <w:t xml:space="preserve"> </w:t>
      </w:r>
      <w:r>
        <w:t xml:space="preserve">Race</w:t>
      </w:r>
      <w:r>
        <w:t xml:space="preserve"> </w:t>
      </w:r>
      <w:r>
        <w:t xml:space="preserve">and</w:t>
      </w:r>
      <w:r>
        <w:t xml:space="preserve"> </w:t>
      </w:r>
      <w:r>
        <w:t xml:space="preserve">Ethnicity</w:t>
      </w:r>
    </w:p>
    <w:p>
      <w:pPr>
        <w:pStyle w:val="Author"/>
      </w:pPr>
      <w:r>
        <w:t xml:space="preserve">Ranni</w:t>
      </w:r>
      <w:r>
        <w:t xml:space="preserve"> </w:t>
      </w:r>
      <w:r>
        <w:t xml:space="preserve">Tewfik</w:t>
      </w:r>
    </w:p>
    <w:p>
      <w:pPr>
        <w:pStyle w:val="Date"/>
      </w:pPr>
      <w:r>
        <w:t xml:space="preserve">2024-04-05</w:t>
      </w:r>
    </w:p>
    <w:bookmarkStart w:id="20" w:name="introduction"/>
    <w:p>
      <w:pPr>
        <w:pStyle w:val="Heading1"/>
      </w:pPr>
      <w:r>
        <w:t xml:space="preserve">1. Introduction</w:t>
      </w:r>
    </w:p>
    <w:p>
      <w:pPr>
        <w:pStyle w:val="FirstParagraph"/>
      </w:pPr>
      <w:r>
        <w:t xml:space="preserve">Prostate cancer is the second-most common cancer among men in the U.S. and has accounted for more than 34,000 deaths in 2023 from 288,000 new cases.</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Other than lung cancer, prostate cancer is the leading cause of cancer death in men – nearly 1 man in 40 will die of prostate cancer.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As prostate cancer is rare in younger men and the risk of prostate cancer increases drastically as men get older (about 60% of cases are in males older than 65 years), age is an apparent risk factor for prostate cancer.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However, the impact of race and ethnicity as a risk factor for death among prostate cancer patients is not completely clear.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According to the American Cancer Society, there is some evidence that African American males have a higher risk than males of other races, but cancer often develops earlier in life in this demographic group.1 Fewer studies have focused on other races and ethnicities, and the reasons for racial and ethnic differences are not well understood.</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p>
    <w:p>
      <w:pPr>
        <w:pStyle w:val="BodyText"/>
      </w:pPr>
      <w:r>
        <w:t xml:space="preserve">A cohort study by Stern et. al</w:t>
      </w:r>
      <w:r>
        <w:t xml:space="preserve"> </w:t>
      </w:r>
      <w:r>
        <w:t xml:space="preserve">(Stern et al., 2021)</w:t>
      </w:r>
      <w:r>
        <w:t xml:space="preserve"> </w:t>
      </w:r>
      <w:r>
        <w:t xml:space="preserve">investigated the association of race and ethnicity with mortality among 51,000 White, Black, and Asian men in Canada with a prostate cancer diagnosis between 1992 and 2010; the study reported that Black men did not have an increased rate of prostate cancer-specific mortality.</w:t>
      </w:r>
      <w:r>
        <w:t xml:space="preserve">(Stern et al., 2021)</w:t>
      </w:r>
      <w:r>
        <w:t xml:space="preserve"> </w:t>
      </w:r>
      <w:r>
        <w:t xml:space="preserve">Another cohort study by Rasmussen et al.</w:t>
      </w:r>
      <w:r>
        <w:t xml:space="preserve"> </w:t>
      </w:r>
      <w:r>
        <w:t xml:space="preserve">(Rasmussen et al., 2023)</w:t>
      </w:r>
      <w:r>
        <w:t xml:space="preserve"> </w:t>
      </w:r>
      <w:r>
        <w:t xml:space="preserve">followed 13,000 male veterans with prostate cancer in the U.S. between 2006 and 2021; the study concluded that Hispanic and Non-Hispanic Black males with prostate cancer had lower rates of mortality than their Non-Hispanic White counterparts, and other races with prostate cancer had a higher rate of mortality.</w:t>
      </w:r>
      <w:r>
        <w:t xml:space="preserve">(Rasmussen et al., 2023)</w:t>
      </w:r>
    </w:p>
    <w:p>
      <w:pPr>
        <w:pStyle w:val="BodyText"/>
      </w:pPr>
      <w:r>
        <w:t xml:space="preserve">Because of the discrepancies in the literature regarding the relationship between race/ethnicity and mortality among patients with prostate cancer, one of the motivations for this project is to better understand that relationship using a large national registry of prostate cancer patients. This project is different from what has already been done because other investigations have used smaller sample sizes or have not included several racial and ethnic groups in the study population. Therefore, the research question for this project is: Among males diagnosed with prostate cancer, are race and ethnicity associated with time to all-cause mortality?</w:t>
      </w:r>
    </w:p>
    <w:p>
      <w:r>
        <w:br w:type="page"/>
      </w:r>
    </w:p>
    <w:bookmarkEnd w:id="20"/>
    <w:bookmarkStart w:id="25" w:name="methods"/>
    <w:p>
      <w:pPr>
        <w:pStyle w:val="Heading1"/>
      </w:pPr>
      <w:r>
        <w:t xml:space="preserve">2. Methods</w:t>
      </w:r>
    </w:p>
    <w:bookmarkStart w:id="21" w:name="data-source"/>
    <w:p>
      <w:pPr>
        <w:pStyle w:val="Heading2"/>
      </w:pPr>
      <w:r>
        <w:t xml:space="preserve">2.1 Data Source</w:t>
      </w:r>
    </w:p>
    <w:p>
      <w:pPr>
        <w:pStyle w:val="FirstParagraph"/>
      </w:pPr>
      <w:r>
        <w:t xml:space="preserve">The Surveillance, Epidemiology, and End Results (SEER) Program of the National Cancer Institute (NCI) provides information on cancer incidence and survival in the United States.</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SEER uses population-based cancer registries that cover about half of the national population.</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The SEER registries collect data on tumor site and morphology, stage at diagnosis, treatment, vital status, and patient demographics, including race and ethnicity.</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This project used the SEER*Stat software (version 8.4.2) to access the SEER 18 (2000-2018) Registry for data on 1,048,575 prostate cancer patients.</w:t>
      </w:r>
    </w:p>
    <w:bookmarkEnd w:id="21"/>
    <w:bookmarkStart w:id="22" w:name="project-design"/>
    <w:p>
      <w:pPr>
        <w:pStyle w:val="Heading2"/>
      </w:pPr>
      <w:r>
        <w:t xml:space="preserve">2.2 Project Design</w:t>
      </w:r>
    </w:p>
    <w:p>
      <w:pPr>
        <w:pStyle w:val="FirstParagraph"/>
      </w:pPr>
      <w:r>
        <w:t xml:space="preserve">This project investigated male patients with prostate cancer in the U.S. from 2000 to 2018. All ages and races/ethnicities were included in the study, however, only patients with localized, regional, or distant cancer stage at diagnosis were included. Patients with unknown/missing survival time were excluded.</w:t>
      </w:r>
    </w:p>
    <w:bookmarkEnd w:id="22"/>
    <w:bookmarkStart w:id="23" w:name="covariates"/>
    <w:p>
      <w:pPr>
        <w:pStyle w:val="Heading2"/>
      </w:pPr>
      <w:r>
        <w:t xml:space="preserve">2.3 Covariates</w:t>
      </w:r>
    </w:p>
    <w:p>
      <w:pPr>
        <w:pStyle w:val="FirstParagraph"/>
      </w:pPr>
      <w:r>
        <w:t xml:space="preserve">The main outcome of interest was all-cause mortality. The main exposure of interest was race/ethnicity, which included the following categories:</w:t>
      </w:r>
      <w:r>
        <w:t xml:space="preserve"> </w:t>
      </w:r>
      <w:r>
        <w:t xml:space="preserve">“</w:t>
      </w:r>
      <w:r>
        <w:t xml:space="preserve">Non-Hispanic White</w:t>
      </w:r>
      <w:r>
        <w:t xml:space="preserve">”</w:t>
      </w:r>
      <w:r>
        <w:t xml:space="preserve">,</w:t>
      </w:r>
      <w:r>
        <w:t xml:space="preserve"> </w:t>
      </w:r>
      <w:r>
        <w:t xml:space="preserve">“</w:t>
      </w:r>
      <w:r>
        <w:t xml:space="preserve">Non-Hispanic Black</w:t>
      </w:r>
      <w:r>
        <w:t xml:space="preserve">”</w:t>
      </w:r>
      <w:r>
        <w:t xml:space="preserve">,</w:t>
      </w:r>
      <w:r>
        <w:t xml:space="preserve"> </w:t>
      </w:r>
      <w:r>
        <w:t xml:space="preserve">“</w:t>
      </w:r>
      <w:r>
        <w:t xml:space="preserve">Non-Hispanic Asian or Pacific Islander</w:t>
      </w:r>
      <w:r>
        <w:t xml:space="preserve">”</w:t>
      </w:r>
      <w:r>
        <w:t xml:space="preserve">,</w:t>
      </w:r>
      <w:r>
        <w:t xml:space="preserve"> </w:t>
      </w:r>
      <w:r>
        <w:t xml:space="preserve">“</w:t>
      </w:r>
      <w:r>
        <w:t xml:space="preserve">Hispanic (all races)</w:t>
      </w:r>
      <w:r>
        <w:t xml:space="preserve">”</w:t>
      </w:r>
      <w:r>
        <w:t xml:space="preserve">, and</w:t>
      </w:r>
      <w:r>
        <w:t xml:space="preserve"> </w:t>
      </w:r>
      <w:r>
        <w:t xml:space="preserve">“</w:t>
      </w:r>
      <w:r>
        <w:t xml:space="preserve">Other</w:t>
      </w:r>
      <w:r>
        <w:t xml:space="preserve">”</w:t>
      </w:r>
      <w:r>
        <w:t xml:space="preserve">. The other covariates, age at diagnosis and cancer stage at diagnosis, were categorical variables. The age groups were coded as</w:t>
      </w:r>
      <w:r>
        <w:t xml:space="preserve"> </w:t>
      </w:r>
      <w:r>
        <w:t xml:space="preserve">“</w:t>
      </w:r>
      <w:r>
        <w:t xml:space="preserve">0-49 years</w:t>
      </w:r>
      <w:r>
        <w:t xml:space="preserve">”</w:t>
      </w:r>
      <w:r>
        <w:t xml:space="preserve">,</w:t>
      </w:r>
      <w:r>
        <w:t xml:space="preserve"> </w:t>
      </w:r>
      <w:r>
        <w:t xml:space="preserve">“</w:t>
      </w:r>
      <w:r>
        <w:t xml:space="preserve">50-59 years</w:t>
      </w:r>
      <w:r>
        <w:t xml:space="preserve">”</w:t>
      </w:r>
      <w:r>
        <w:t xml:space="preserve">,</w:t>
      </w:r>
      <w:r>
        <w:t xml:space="preserve"> </w:t>
      </w:r>
      <w:r>
        <w:t xml:space="preserve">“</w:t>
      </w:r>
      <w:r>
        <w:t xml:space="preserve">60-69 years</w:t>
      </w:r>
      <w:r>
        <w:t xml:space="preserve">”</w:t>
      </w:r>
      <w:r>
        <w:t xml:space="preserve">,</w:t>
      </w:r>
      <w:r>
        <w:t xml:space="preserve"> </w:t>
      </w:r>
      <w:r>
        <w:t xml:space="preserve">“</w:t>
      </w:r>
      <w:r>
        <w:t xml:space="preserve">70-79 years</w:t>
      </w:r>
      <w:r>
        <w:t xml:space="preserve">”</w:t>
      </w:r>
      <w:r>
        <w:t xml:space="preserve">, and</w:t>
      </w:r>
      <w:r>
        <w:t xml:space="preserve"> </w:t>
      </w:r>
      <w:r>
        <w:t xml:space="preserve">“</w:t>
      </w:r>
      <w:r>
        <w:t xml:space="preserve">≥ 80 years</w:t>
      </w:r>
      <w:r>
        <w:t xml:space="preserve">”</w:t>
      </w:r>
      <w:r>
        <w:t xml:space="preserve">. The categories for stage at diagnosis were</w:t>
      </w:r>
      <w:r>
        <w:t xml:space="preserve"> </w:t>
      </w:r>
      <w:r>
        <w:t xml:space="preserve">“</w:t>
      </w:r>
      <w:r>
        <w:t xml:space="preserve">localized</w:t>
      </w:r>
      <w:r>
        <w:t xml:space="preserve">”</w:t>
      </w:r>
      <w:r>
        <w:t xml:space="preserve"> </w:t>
      </w:r>
      <w:r>
        <w:t xml:space="preserve">(i.e., cancer is limited to where it originated),</w:t>
      </w:r>
      <w:r>
        <w:t xml:space="preserve"> </w:t>
      </w:r>
      <w:r>
        <w:t xml:space="preserve">“</w:t>
      </w:r>
      <w:r>
        <w:t xml:space="preserve">regional</w:t>
      </w:r>
      <w:r>
        <w:t xml:space="preserve">”</w:t>
      </w:r>
      <w:r>
        <w:t xml:space="preserve"> </w:t>
      </w:r>
      <w:r>
        <w:t xml:space="preserve">(i.e., cancer has spread to nearby lymph nodes, tissues, or organs), and</w:t>
      </w:r>
      <w:r>
        <w:t xml:space="preserve"> </w:t>
      </w:r>
      <w:r>
        <w:t xml:space="preserve">“</w:t>
      </w:r>
      <w:r>
        <w:t xml:space="preserve">distant</w:t>
      </w:r>
      <w:r>
        <w:t xml:space="preserve">”</w:t>
      </w:r>
      <w:r>
        <w:t xml:space="preserve"> </w:t>
      </w:r>
      <w:r>
        <w:t xml:space="preserve">(i.e., cancer has spread to distant body parts).</w:t>
      </w:r>
    </w:p>
    <w:bookmarkEnd w:id="23"/>
    <w:bookmarkStart w:id="24" w:name="statistical-analysis"/>
    <w:p>
      <w:pPr>
        <w:pStyle w:val="Heading2"/>
      </w:pPr>
      <w:r>
        <w:t xml:space="preserve">2.4 Statistical Analysis</w:t>
      </w:r>
    </w:p>
    <w:p>
      <w:pPr>
        <w:pStyle w:val="FirstParagraph"/>
      </w:pPr>
      <w:r>
        <w:t xml:space="preserve">All analyses were conducted using R software (version 4.3.1). Survival analysis was performed for Kaplan-Meier survival estimates and curves. Cox regression was used to compute adjusted hazard ratios and 95% confidence intervals. The Cox proportional hazards assumption was tested using log-log survival curves and extended Cox models for each covariate.</w:t>
      </w:r>
    </w:p>
    <w:p>
      <w:r>
        <w:br w:type="page"/>
      </w:r>
    </w:p>
    <w:bookmarkEnd w:id="24"/>
    <w:bookmarkEnd w:id="25"/>
    <w:bookmarkStart w:id="32" w:name="results"/>
    <w:p>
      <w:pPr>
        <w:pStyle w:val="Heading1"/>
      </w:pPr>
      <w:r>
        <w:t xml:space="preserve">3. Results</w:t>
      </w:r>
    </w:p>
    <w:p>
      <w:pPr>
        <w:pStyle w:val="FirstParagraph"/>
      </w:pPr>
      <w:r>
        <w:t xml:space="preserve">This project included 776,196 males in the U.S. with prostate cancer from the SEER database. Of these, 540,057 (69.6%) were Non-Hispanic White; 526,468 (67.8%) were age 60-79 years at diagnosis; 629,222 (81.1%) had localized stage of prostate cancer at diagnosis; 401,176 (51.7%) had at least a college degree; and 490,476 (63.2%) had a family history of cancer (Table 1). The mean survival time for each ethnic group of prostate cancer patients ranged from 64 months (</w:t>
      </w:r>
      <w:r>
        <w:t xml:space="preserve">“</w:t>
      </w:r>
      <w:r>
        <w:t xml:space="preserve">Other</w:t>
      </w:r>
      <w:r>
        <w:t xml:space="preserve">”</w:t>
      </w:r>
      <w:r>
        <w:t xml:space="preserve">) to 78 months (</w:t>
      </w:r>
      <w:r>
        <w:t xml:space="preserve">“</w:t>
      </w:r>
      <w:r>
        <w:t xml:space="preserve">White</w:t>
      </w:r>
      <w:r>
        <w:t xml:space="preserve">”</w:t>
      </w:r>
      <w:r>
        <w:t xml:space="preserve">) (Table 1).</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TableCaption"/>
      </w:pPr>
      <w:r>
        <w:t xml:space="preserve">Table 1. Study sample characteristics of males in the U.S. with prostate cancer by race and ethnicity.</w:t>
      </w:r>
    </w:p>
    <w:tbl>
      <w:tblPr>
        <w:tblStyle w:val="Table"/>
        <w:tblW w:type="pct" w:w="5000"/>
        <w:tblLook w:firstRow="1" w:lastRow="0" w:firstColumn="0" w:lastColumn="0" w:noHBand="0" w:noVBand="0" w:val="0020"/>
        <w:jc w:val="start"/>
        <w:tblLayout w:type="fixed"/>
        <w:tblCaption w:val="Table 1. Study sample characteristics of males in the U.S. with prostate cancer by race and ethnicity."/>
      </w:tblPr>
      <w:tblGrid>
        <w:gridCol w:w="1460"/>
        <w:gridCol w:w="1235"/>
        <w:gridCol w:w="1291"/>
        <w:gridCol w:w="1404"/>
        <w:gridCol w:w="1235"/>
        <w:gridCol w:w="1291"/>
      </w:tblGrid>
      <w:tr>
        <w:trPr>
          <w:tblHeader w:val="true"/>
        </w:trPr>
        <w:tc>
          <w:tcPr/>
          <w:p>
            <w:pPr>
              <w:pStyle w:val="Compact"/>
              <w:jc w:val="left"/>
            </w:pPr>
            <w:r>
              <w:rPr>
                <w:bCs/>
                <w:b/>
              </w:rPr>
              <w:t xml:space="preserve">Characteristic</w:t>
            </w:r>
          </w:p>
        </w:tc>
        <w:tc>
          <w:tcPr/>
          <w:p>
            <w:pPr>
              <w:pStyle w:val="Compact"/>
              <w:jc w:val="left"/>
            </w:pPr>
            <w:r>
              <w:rPr>
                <w:bCs/>
                <w:b/>
              </w:rPr>
              <w:t xml:space="preserve">Asian</w:t>
            </w:r>
            <w:r>
              <w:t xml:space="preserve">, N = 37,168</w:t>
            </w:r>
          </w:p>
        </w:tc>
        <w:tc>
          <w:tcPr/>
          <w:p>
            <w:pPr>
              <w:pStyle w:val="Compact"/>
              <w:jc w:val="left"/>
            </w:pPr>
            <w:r>
              <w:rPr>
                <w:bCs/>
                <w:b/>
              </w:rPr>
              <w:t xml:space="preserve">Black</w:t>
            </w:r>
            <w:r>
              <w:t xml:space="preserve">, N = 112,597</w:t>
            </w:r>
          </w:p>
        </w:tc>
        <w:tc>
          <w:tcPr/>
          <w:p>
            <w:pPr>
              <w:pStyle w:val="Compact"/>
              <w:jc w:val="left"/>
            </w:pPr>
            <w:r>
              <w:rPr>
                <w:bCs/>
                <w:b/>
              </w:rPr>
              <w:t xml:space="preserve">Hispanic</w:t>
            </w:r>
            <w:r>
              <w:t xml:space="preserve">, N = 70,220</w:t>
            </w:r>
          </w:p>
        </w:tc>
        <w:tc>
          <w:tcPr/>
          <w:p>
            <w:pPr>
              <w:pStyle w:val="Compact"/>
              <w:jc w:val="left"/>
            </w:pPr>
            <w:r>
              <w:rPr>
                <w:bCs/>
                <w:b/>
              </w:rPr>
              <w:t xml:space="preserve">Other</w:t>
            </w:r>
            <w:r>
              <w:t xml:space="preserve">, N = 16,154</w:t>
            </w:r>
          </w:p>
        </w:tc>
        <w:tc>
          <w:tcPr/>
          <w:p>
            <w:pPr>
              <w:pStyle w:val="Compact"/>
              <w:jc w:val="left"/>
            </w:pPr>
            <w:r>
              <w:rPr>
                <w:bCs/>
                <w:b/>
              </w:rPr>
              <w:t xml:space="preserve">White</w:t>
            </w:r>
            <w:r>
              <w:t xml:space="preserve">, N = 540,057</w:t>
            </w:r>
          </w:p>
        </w:tc>
      </w:tr>
      <w:tr>
        <w:tc>
          <w:tcPr/>
          <w:p>
            <w:pPr>
              <w:pStyle w:val="Compact"/>
              <w:jc w:val="left"/>
            </w:pPr>
            <w:r>
              <w:t xml:space="preserve">Age at diagnosis (years)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0-49 years</w:t>
            </w:r>
          </w:p>
        </w:tc>
        <w:tc>
          <w:tcPr/>
          <w:p>
            <w:pPr>
              <w:pStyle w:val="Compact"/>
              <w:jc w:val="left"/>
            </w:pPr>
            <w:r>
              <w:t xml:space="preserve">566 (1.5%)</w:t>
            </w:r>
          </w:p>
        </w:tc>
        <w:tc>
          <w:tcPr/>
          <w:p>
            <w:pPr>
              <w:pStyle w:val="Compact"/>
              <w:jc w:val="left"/>
            </w:pPr>
            <w:r>
              <w:t xml:space="preserve">5,830 (5.2%)</w:t>
            </w:r>
          </w:p>
        </w:tc>
        <w:tc>
          <w:tcPr/>
          <w:p>
            <w:pPr>
              <w:pStyle w:val="Compact"/>
              <w:jc w:val="left"/>
            </w:pPr>
            <w:r>
              <w:t xml:space="preserve">2,272 (3.2%)</w:t>
            </w:r>
          </w:p>
        </w:tc>
        <w:tc>
          <w:tcPr/>
          <w:p>
            <w:pPr>
              <w:pStyle w:val="Compact"/>
              <w:jc w:val="left"/>
            </w:pPr>
            <w:r>
              <w:t xml:space="preserve">506 (3.1%)</w:t>
            </w:r>
          </w:p>
        </w:tc>
        <w:tc>
          <w:tcPr/>
          <w:p>
            <w:pPr>
              <w:pStyle w:val="Compact"/>
              <w:jc w:val="left"/>
            </w:pPr>
            <w:r>
              <w:t xml:space="preserve">11,989 (2.2%)</w:t>
            </w:r>
          </w:p>
        </w:tc>
      </w:tr>
      <w:tr>
        <w:tc>
          <w:tcPr/>
          <w:p>
            <w:pPr>
              <w:pStyle w:val="Compact"/>
              <w:jc w:val="left"/>
            </w:pPr>
            <w:r>
              <w:t xml:space="preserve">50-59 years</w:t>
            </w:r>
          </w:p>
        </w:tc>
        <w:tc>
          <w:tcPr/>
          <w:p>
            <w:pPr>
              <w:pStyle w:val="Compact"/>
              <w:jc w:val="left"/>
            </w:pPr>
            <w:r>
              <w:t xml:space="preserve">5,664 (15%)</w:t>
            </w:r>
          </w:p>
        </w:tc>
        <w:tc>
          <w:tcPr/>
          <w:p>
            <w:pPr>
              <w:pStyle w:val="Compact"/>
              <w:jc w:val="left"/>
            </w:pPr>
            <w:r>
              <w:t xml:space="preserve">30,990 (28%)</w:t>
            </w:r>
          </w:p>
        </w:tc>
        <w:tc>
          <w:tcPr/>
          <w:p>
            <w:pPr>
              <w:pStyle w:val="Compact"/>
              <w:jc w:val="left"/>
            </w:pPr>
            <w:r>
              <w:t xml:space="preserve">15,275 (22%)</w:t>
            </w:r>
          </w:p>
        </w:tc>
        <w:tc>
          <w:tcPr/>
          <w:p>
            <w:pPr>
              <w:pStyle w:val="Compact"/>
              <w:jc w:val="left"/>
            </w:pPr>
            <w:r>
              <w:t xml:space="preserve">3,657 (23%)</w:t>
            </w:r>
          </w:p>
        </w:tc>
        <w:tc>
          <w:tcPr/>
          <w:p>
            <w:pPr>
              <w:pStyle w:val="Compact"/>
              <w:jc w:val="left"/>
            </w:pPr>
            <w:r>
              <w:t xml:space="preserve">103,790 (19%)</w:t>
            </w:r>
          </w:p>
        </w:tc>
      </w:tr>
      <w:tr>
        <w:tc>
          <w:tcPr/>
          <w:p>
            <w:pPr>
              <w:pStyle w:val="Compact"/>
              <w:jc w:val="left"/>
            </w:pPr>
            <w:r>
              <w:t xml:space="preserve">60-69 years</w:t>
            </w:r>
          </w:p>
        </w:tc>
        <w:tc>
          <w:tcPr/>
          <w:p>
            <w:pPr>
              <w:pStyle w:val="Compact"/>
              <w:jc w:val="left"/>
            </w:pPr>
            <w:r>
              <w:t xml:space="preserve">14,724 (40%)</w:t>
            </w:r>
          </w:p>
        </w:tc>
        <w:tc>
          <w:tcPr/>
          <w:p>
            <w:pPr>
              <w:pStyle w:val="Compact"/>
              <w:jc w:val="left"/>
            </w:pPr>
            <w:r>
              <w:t xml:space="preserve">46,626 (41%)</w:t>
            </w:r>
          </w:p>
        </w:tc>
        <w:tc>
          <w:tcPr/>
          <w:p>
            <w:pPr>
              <w:pStyle w:val="Compact"/>
              <w:jc w:val="left"/>
            </w:pPr>
            <w:r>
              <w:t xml:space="preserve">28,269 (40%)</w:t>
            </w:r>
          </w:p>
        </w:tc>
        <w:tc>
          <w:tcPr/>
          <w:p>
            <w:pPr>
              <w:pStyle w:val="Compact"/>
              <w:jc w:val="left"/>
            </w:pPr>
            <w:r>
              <w:t xml:space="preserve">6,557 (41%)</w:t>
            </w:r>
          </w:p>
        </w:tc>
        <w:tc>
          <w:tcPr/>
          <w:p>
            <w:pPr>
              <w:pStyle w:val="Compact"/>
              <w:jc w:val="left"/>
            </w:pPr>
            <w:r>
              <w:t xml:space="preserve">218,550 (40%)</w:t>
            </w:r>
          </w:p>
        </w:tc>
      </w:tr>
      <w:tr>
        <w:tc>
          <w:tcPr/>
          <w:p>
            <w:pPr>
              <w:pStyle w:val="Compact"/>
              <w:jc w:val="left"/>
            </w:pPr>
            <w:r>
              <w:t xml:space="preserve">70-79 years</w:t>
            </w:r>
          </w:p>
        </w:tc>
        <w:tc>
          <w:tcPr/>
          <w:p>
            <w:pPr>
              <w:pStyle w:val="Compact"/>
              <w:jc w:val="left"/>
            </w:pPr>
            <w:r>
              <w:t xml:space="preserve">11,998 (32%)</w:t>
            </w:r>
          </w:p>
        </w:tc>
        <w:tc>
          <w:tcPr/>
          <w:p>
            <w:pPr>
              <w:pStyle w:val="Compact"/>
              <w:jc w:val="left"/>
            </w:pPr>
            <w:r>
              <w:t xml:space="preserve">23,489 (21%)</w:t>
            </w:r>
          </w:p>
        </w:tc>
        <w:tc>
          <w:tcPr/>
          <w:p>
            <w:pPr>
              <w:pStyle w:val="Compact"/>
              <w:jc w:val="left"/>
            </w:pPr>
            <w:r>
              <w:t xml:space="preserve">18,864 (27%)</w:t>
            </w:r>
          </w:p>
        </w:tc>
        <w:tc>
          <w:tcPr/>
          <w:p>
            <w:pPr>
              <w:pStyle w:val="Compact"/>
              <w:jc w:val="left"/>
            </w:pPr>
            <w:r>
              <w:t xml:space="preserve">4,310 (27%)</w:t>
            </w:r>
          </w:p>
        </w:tc>
        <w:tc>
          <w:tcPr/>
          <w:p>
            <w:pPr>
              <w:pStyle w:val="Compact"/>
              <w:jc w:val="left"/>
            </w:pPr>
            <w:r>
              <w:t xml:space="preserve">153,081 (28%)</w:t>
            </w:r>
          </w:p>
        </w:tc>
      </w:tr>
      <w:tr>
        <w:tc>
          <w:tcPr/>
          <w:p>
            <w:pPr>
              <w:pStyle w:val="Compact"/>
              <w:jc w:val="left"/>
            </w:pPr>
            <w:r>
              <w:t xml:space="preserve">80+ years</w:t>
            </w:r>
          </w:p>
        </w:tc>
        <w:tc>
          <w:tcPr/>
          <w:p>
            <w:pPr>
              <w:pStyle w:val="Compact"/>
              <w:jc w:val="left"/>
            </w:pPr>
            <w:r>
              <w:t xml:space="preserve">4,216 (11%)</w:t>
            </w:r>
          </w:p>
        </w:tc>
        <w:tc>
          <w:tcPr/>
          <w:p>
            <w:pPr>
              <w:pStyle w:val="Compact"/>
              <w:jc w:val="left"/>
            </w:pPr>
            <w:r>
              <w:t xml:space="preserve">5,662 (5.0%)</w:t>
            </w:r>
          </w:p>
        </w:tc>
        <w:tc>
          <w:tcPr/>
          <w:p>
            <w:pPr>
              <w:pStyle w:val="Compact"/>
              <w:jc w:val="left"/>
            </w:pPr>
            <w:r>
              <w:t xml:space="preserve">5,540 (7.9%)</w:t>
            </w:r>
          </w:p>
        </w:tc>
        <w:tc>
          <w:tcPr/>
          <w:p>
            <w:pPr>
              <w:pStyle w:val="Compact"/>
              <w:jc w:val="left"/>
            </w:pPr>
            <w:r>
              <w:t xml:space="preserve">1,124 (7.0%)</w:t>
            </w:r>
          </w:p>
        </w:tc>
        <w:tc>
          <w:tcPr/>
          <w:p>
            <w:pPr>
              <w:pStyle w:val="Compact"/>
              <w:jc w:val="left"/>
            </w:pPr>
            <w:r>
              <w:t xml:space="preserve">52,647 (9.7%)</w:t>
            </w:r>
          </w:p>
        </w:tc>
      </w:tr>
      <w:tr>
        <w:tc>
          <w:tcPr/>
          <w:p>
            <w:pPr>
              <w:pStyle w:val="Compact"/>
              <w:jc w:val="left"/>
            </w:pPr>
            <w:r>
              <w:t xml:space="preserve">Cancer stage at diagnosis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Distant</w:t>
            </w:r>
          </w:p>
        </w:tc>
        <w:tc>
          <w:tcPr/>
          <w:p>
            <w:pPr>
              <w:pStyle w:val="Compact"/>
              <w:jc w:val="left"/>
            </w:pPr>
            <w:r>
              <w:t xml:space="preserve">2,733 (7.4%)</w:t>
            </w:r>
          </w:p>
        </w:tc>
        <w:tc>
          <w:tcPr/>
          <w:p>
            <w:pPr>
              <w:pStyle w:val="Compact"/>
              <w:jc w:val="left"/>
            </w:pPr>
            <w:r>
              <w:t xml:space="preserve">7,669 (6.8%)</w:t>
            </w:r>
          </w:p>
        </w:tc>
        <w:tc>
          <w:tcPr/>
          <w:p>
            <w:pPr>
              <w:pStyle w:val="Compact"/>
              <w:jc w:val="left"/>
            </w:pPr>
            <w:r>
              <w:t xml:space="preserve">5,208 (7.4%)</w:t>
            </w:r>
          </w:p>
        </w:tc>
        <w:tc>
          <w:tcPr/>
          <w:p>
            <w:pPr>
              <w:pStyle w:val="Compact"/>
              <w:jc w:val="left"/>
            </w:pPr>
            <w:r>
              <w:t xml:space="preserve">490 (3.0%)</w:t>
            </w:r>
          </w:p>
        </w:tc>
        <w:tc>
          <w:tcPr/>
          <w:p>
            <w:pPr>
              <w:pStyle w:val="Compact"/>
              <w:jc w:val="left"/>
            </w:pPr>
            <w:r>
              <w:t xml:space="preserve">30,085 (5.6%)</w:t>
            </w:r>
          </w:p>
        </w:tc>
      </w:tr>
      <w:tr>
        <w:tc>
          <w:tcPr/>
          <w:p>
            <w:pPr>
              <w:pStyle w:val="Compact"/>
              <w:jc w:val="left"/>
            </w:pPr>
            <w:r>
              <w:t xml:space="preserve">Localized</w:t>
            </w:r>
          </w:p>
        </w:tc>
        <w:tc>
          <w:tcPr/>
          <w:p>
            <w:pPr>
              <w:pStyle w:val="Compact"/>
              <w:jc w:val="left"/>
            </w:pPr>
            <w:r>
              <w:t xml:space="preserve">28,969 (78%)</w:t>
            </w:r>
          </w:p>
        </w:tc>
        <w:tc>
          <w:tcPr/>
          <w:p>
            <w:pPr>
              <w:pStyle w:val="Compact"/>
              <w:jc w:val="left"/>
            </w:pPr>
            <w:r>
              <w:t xml:space="preserve">92,605 (82%)</w:t>
            </w:r>
          </w:p>
        </w:tc>
        <w:tc>
          <w:tcPr/>
          <w:p>
            <w:pPr>
              <w:pStyle w:val="Compact"/>
              <w:jc w:val="left"/>
            </w:pPr>
            <w:r>
              <w:t xml:space="preserve">55,313 (79%)</w:t>
            </w:r>
          </w:p>
        </w:tc>
        <w:tc>
          <w:tcPr/>
          <w:p>
            <w:pPr>
              <w:pStyle w:val="Compact"/>
              <w:jc w:val="left"/>
            </w:pPr>
            <w:r>
              <w:t xml:space="preserve">14,687 (91%)</w:t>
            </w:r>
          </w:p>
        </w:tc>
        <w:tc>
          <w:tcPr/>
          <w:p>
            <w:pPr>
              <w:pStyle w:val="Compact"/>
              <w:jc w:val="left"/>
            </w:pPr>
            <w:r>
              <w:t xml:space="preserve">437,648 (81%)</w:t>
            </w:r>
          </w:p>
        </w:tc>
      </w:tr>
      <w:tr>
        <w:tc>
          <w:tcPr/>
          <w:p>
            <w:pPr>
              <w:pStyle w:val="Compact"/>
              <w:jc w:val="left"/>
            </w:pPr>
            <w:r>
              <w:t xml:space="preserve">Regional</w:t>
            </w:r>
          </w:p>
        </w:tc>
        <w:tc>
          <w:tcPr/>
          <w:p>
            <w:pPr>
              <w:pStyle w:val="Compact"/>
              <w:jc w:val="left"/>
            </w:pPr>
            <w:r>
              <w:t xml:space="preserve">5,466 (15%)</w:t>
            </w:r>
          </w:p>
        </w:tc>
        <w:tc>
          <w:tcPr/>
          <w:p>
            <w:pPr>
              <w:pStyle w:val="Compact"/>
              <w:jc w:val="left"/>
            </w:pPr>
            <w:r>
              <w:t xml:space="preserve">12,323 (11%)</w:t>
            </w:r>
          </w:p>
        </w:tc>
        <w:tc>
          <w:tcPr/>
          <w:p>
            <w:pPr>
              <w:pStyle w:val="Compact"/>
              <w:jc w:val="left"/>
            </w:pPr>
            <w:r>
              <w:t xml:space="preserve">9,699 (14%)</w:t>
            </w:r>
          </w:p>
        </w:tc>
        <w:tc>
          <w:tcPr/>
          <w:p>
            <w:pPr>
              <w:pStyle w:val="Compact"/>
              <w:jc w:val="left"/>
            </w:pPr>
            <w:r>
              <w:t xml:space="preserve">977 (6.0%)</w:t>
            </w:r>
          </w:p>
        </w:tc>
        <w:tc>
          <w:tcPr/>
          <w:p>
            <w:pPr>
              <w:pStyle w:val="Compact"/>
              <w:jc w:val="left"/>
            </w:pPr>
            <w:r>
              <w:t xml:space="preserve">72,324 (13%)</w:t>
            </w:r>
          </w:p>
        </w:tc>
      </w:tr>
      <w:tr>
        <w:tc>
          <w:tcPr/>
          <w:p>
            <w:pPr>
              <w:pStyle w:val="Compact"/>
              <w:jc w:val="left"/>
            </w:pPr>
            <w:r>
              <w:t xml:space="preserve">Educational attainment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college or higher</w:t>
            </w:r>
          </w:p>
        </w:tc>
        <w:tc>
          <w:tcPr/>
          <w:p>
            <w:pPr>
              <w:pStyle w:val="Compact"/>
              <w:jc w:val="left"/>
            </w:pPr>
            <w:r>
              <w:t xml:space="preserve">19,241 (52%)</w:t>
            </w:r>
          </w:p>
        </w:tc>
        <w:tc>
          <w:tcPr/>
          <w:p>
            <w:pPr>
              <w:pStyle w:val="Compact"/>
              <w:jc w:val="left"/>
            </w:pPr>
            <w:r>
              <w:t xml:space="preserve">58,406 (52%)</w:t>
            </w:r>
          </w:p>
        </w:tc>
        <w:tc>
          <w:tcPr/>
          <w:p>
            <w:pPr>
              <w:pStyle w:val="Compact"/>
              <w:jc w:val="left"/>
            </w:pPr>
            <w:r>
              <w:t xml:space="preserve">36,207 (52%)</w:t>
            </w:r>
          </w:p>
        </w:tc>
        <w:tc>
          <w:tcPr/>
          <w:p>
            <w:pPr>
              <w:pStyle w:val="Compact"/>
              <w:jc w:val="left"/>
            </w:pPr>
            <w:r>
              <w:t xml:space="preserve">8,338 (52%)</w:t>
            </w:r>
          </w:p>
        </w:tc>
        <w:tc>
          <w:tcPr/>
          <w:p>
            <w:pPr>
              <w:pStyle w:val="Compact"/>
              <w:jc w:val="left"/>
            </w:pPr>
            <w:r>
              <w:t xml:space="preserve">278,984 (52%)</w:t>
            </w:r>
          </w:p>
        </w:tc>
      </w:tr>
      <w:tr>
        <w:tc>
          <w:tcPr/>
          <w:p>
            <w:pPr>
              <w:pStyle w:val="Compact"/>
              <w:jc w:val="left"/>
            </w:pPr>
            <w:r>
              <w:t xml:space="preserve">high school or less</w:t>
            </w:r>
          </w:p>
        </w:tc>
        <w:tc>
          <w:tcPr/>
          <w:p>
            <w:pPr>
              <w:pStyle w:val="Compact"/>
              <w:jc w:val="left"/>
            </w:pPr>
            <w:r>
              <w:t xml:space="preserve">13,459 (36%)</w:t>
            </w:r>
          </w:p>
        </w:tc>
        <w:tc>
          <w:tcPr/>
          <w:p>
            <w:pPr>
              <w:pStyle w:val="Compact"/>
              <w:jc w:val="left"/>
            </w:pPr>
            <w:r>
              <w:t xml:space="preserve">40,463 (36%)</w:t>
            </w:r>
          </w:p>
        </w:tc>
        <w:tc>
          <w:tcPr/>
          <w:p>
            <w:pPr>
              <w:pStyle w:val="Compact"/>
              <w:jc w:val="left"/>
            </w:pPr>
            <w:r>
              <w:t xml:space="preserve">25,585 (36%)</w:t>
            </w:r>
          </w:p>
        </w:tc>
        <w:tc>
          <w:tcPr/>
          <w:p>
            <w:pPr>
              <w:pStyle w:val="Compact"/>
              <w:jc w:val="left"/>
            </w:pPr>
            <w:r>
              <w:t xml:space="preserve">5,834 (36%)</w:t>
            </w:r>
          </w:p>
        </w:tc>
        <w:tc>
          <w:tcPr/>
          <w:p>
            <w:pPr>
              <w:pStyle w:val="Compact"/>
              <w:jc w:val="left"/>
            </w:pPr>
            <w:r>
              <w:t xml:space="preserve">194,320 (36%)</w:t>
            </w:r>
          </w:p>
        </w:tc>
      </w:tr>
      <w:tr>
        <w:tc>
          <w:tcPr/>
          <w:p>
            <w:pPr>
              <w:pStyle w:val="Compact"/>
              <w:jc w:val="left"/>
            </w:pPr>
            <w:r>
              <w:t xml:space="preserve">some college</w:t>
            </w:r>
          </w:p>
        </w:tc>
        <w:tc>
          <w:tcPr/>
          <w:p>
            <w:pPr>
              <w:pStyle w:val="Compact"/>
              <w:jc w:val="left"/>
            </w:pPr>
            <w:r>
              <w:t xml:space="preserve">4,468 (12%)</w:t>
            </w:r>
          </w:p>
        </w:tc>
        <w:tc>
          <w:tcPr/>
          <w:p>
            <w:pPr>
              <w:pStyle w:val="Compact"/>
              <w:jc w:val="left"/>
            </w:pPr>
            <w:r>
              <w:t xml:space="preserve">13,728 (12%)</w:t>
            </w:r>
          </w:p>
        </w:tc>
        <w:tc>
          <w:tcPr/>
          <w:p>
            <w:pPr>
              <w:pStyle w:val="Compact"/>
              <w:jc w:val="left"/>
            </w:pPr>
            <w:r>
              <w:t xml:space="preserve">8,428 (12%)</w:t>
            </w:r>
          </w:p>
        </w:tc>
        <w:tc>
          <w:tcPr/>
          <w:p>
            <w:pPr>
              <w:pStyle w:val="Compact"/>
              <w:jc w:val="left"/>
            </w:pPr>
            <w:r>
              <w:t xml:space="preserve">1,982 (12%)</w:t>
            </w:r>
          </w:p>
        </w:tc>
        <w:tc>
          <w:tcPr/>
          <w:p>
            <w:pPr>
              <w:pStyle w:val="Compact"/>
              <w:jc w:val="left"/>
            </w:pPr>
            <w:r>
              <w:t xml:space="preserve">66,753 (12%)</w:t>
            </w:r>
          </w:p>
        </w:tc>
      </w:tr>
      <w:tr>
        <w:tc>
          <w:tcPr/>
          <w:p>
            <w:pPr>
              <w:pStyle w:val="Compact"/>
              <w:jc w:val="left"/>
            </w:pPr>
            <w:r>
              <w:t xml:space="preserve">Family history of cancer</w:t>
            </w:r>
          </w:p>
        </w:tc>
        <w:tc>
          <w:tcPr/>
          <w:p>
            <w:pPr>
              <w:pStyle w:val="Compact"/>
              <w:jc w:val="left"/>
            </w:pPr>
            <w:r>
              <w:t xml:space="preserve">23,368 (63%)</w:t>
            </w:r>
          </w:p>
        </w:tc>
        <w:tc>
          <w:tcPr/>
          <w:p>
            <w:pPr>
              <w:pStyle w:val="Compact"/>
              <w:jc w:val="left"/>
            </w:pPr>
            <w:r>
              <w:t xml:space="preserve">71,355 (63%)</w:t>
            </w:r>
          </w:p>
        </w:tc>
        <w:tc>
          <w:tcPr/>
          <w:p>
            <w:pPr>
              <w:pStyle w:val="Compact"/>
              <w:jc w:val="left"/>
            </w:pPr>
            <w:r>
              <w:t xml:space="preserve">44,362 (63%)</w:t>
            </w:r>
          </w:p>
        </w:tc>
        <w:tc>
          <w:tcPr/>
          <w:p>
            <w:pPr>
              <w:pStyle w:val="Compact"/>
              <w:jc w:val="left"/>
            </w:pPr>
            <w:r>
              <w:t xml:space="preserve">10,166 (63%)</w:t>
            </w:r>
          </w:p>
        </w:tc>
        <w:tc>
          <w:tcPr/>
          <w:p>
            <w:pPr>
              <w:pStyle w:val="Compact"/>
              <w:jc w:val="left"/>
            </w:pPr>
            <w:r>
              <w:t xml:space="preserve">341,225 (63%)</w:t>
            </w:r>
          </w:p>
        </w:tc>
      </w:tr>
      <w:tr>
        <w:tc>
          <w:tcPr/>
          <w:p>
            <w:pPr>
              <w:pStyle w:val="Compact"/>
              <w:jc w:val="left"/>
            </w:pPr>
            <w:r>
              <w:t xml:space="preserve">Survival time (months)</w:t>
            </w:r>
          </w:p>
        </w:tc>
        <w:tc>
          <w:tcPr/>
          <w:p>
            <w:pPr>
              <w:pStyle w:val="Compact"/>
              <w:jc w:val="left"/>
            </w:pPr>
            <w:r>
              <w:t xml:space="preserve">74 (51)</w:t>
            </w:r>
          </w:p>
        </w:tc>
        <w:tc>
          <w:tcPr/>
          <w:p>
            <w:pPr>
              <w:pStyle w:val="Compact"/>
              <w:jc w:val="left"/>
            </w:pPr>
            <w:r>
              <w:t xml:space="preserve">74 (49)</w:t>
            </w:r>
          </w:p>
        </w:tc>
        <w:tc>
          <w:tcPr/>
          <w:p>
            <w:pPr>
              <w:pStyle w:val="Compact"/>
              <w:jc w:val="left"/>
            </w:pPr>
            <w:r>
              <w:t xml:space="preserve">72 (51)</w:t>
            </w:r>
          </w:p>
        </w:tc>
        <w:tc>
          <w:tcPr/>
          <w:p>
            <w:pPr>
              <w:pStyle w:val="Compact"/>
              <w:jc w:val="left"/>
            </w:pPr>
            <w:r>
              <w:t xml:space="preserve">64 (51)</w:t>
            </w:r>
          </w:p>
        </w:tc>
        <w:tc>
          <w:tcPr/>
          <w:p>
            <w:pPr>
              <w:pStyle w:val="Compact"/>
              <w:jc w:val="left"/>
            </w:pPr>
            <w:r>
              <w:t xml:space="preserve">78 (50)</w:t>
            </w:r>
          </w:p>
        </w:tc>
      </w:tr>
      <w:tr>
        <w:tc>
          <w:tcPr/>
          <w:p>
            <w:pPr>
              <w:pStyle w:val="Compact"/>
              <w:jc w:val="left"/>
            </w:pPr>
            <w:r>
              <w:t xml:space="preserve">Vital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0</w:t>
            </w:r>
          </w:p>
        </w:tc>
        <w:tc>
          <w:tcPr/>
          <w:p>
            <w:pPr>
              <w:pStyle w:val="Compact"/>
              <w:jc w:val="left"/>
            </w:pPr>
            <w:r>
              <w:t xml:space="preserve">29,182 (79%)</w:t>
            </w:r>
          </w:p>
        </w:tc>
        <w:tc>
          <w:tcPr/>
          <w:p>
            <w:pPr>
              <w:pStyle w:val="Compact"/>
              <w:jc w:val="left"/>
            </w:pPr>
            <w:r>
              <w:t xml:space="preserve">83,648 (74%)</w:t>
            </w:r>
          </w:p>
        </w:tc>
        <w:tc>
          <w:tcPr/>
          <w:p>
            <w:pPr>
              <w:pStyle w:val="Compact"/>
              <w:jc w:val="left"/>
            </w:pPr>
            <w:r>
              <w:t xml:space="preserve">55,450 (79%)</w:t>
            </w:r>
          </w:p>
        </w:tc>
        <w:tc>
          <w:tcPr/>
          <w:p>
            <w:pPr>
              <w:pStyle w:val="Compact"/>
              <w:jc w:val="left"/>
            </w:pPr>
            <w:r>
              <w:t xml:space="preserve">14,840 (92%)</w:t>
            </w:r>
          </w:p>
        </w:tc>
        <w:tc>
          <w:tcPr/>
          <w:p>
            <w:pPr>
              <w:pStyle w:val="Compact"/>
              <w:jc w:val="left"/>
            </w:pPr>
            <w:r>
              <w:t xml:space="preserve">405,853 (75%)</w:t>
            </w:r>
          </w:p>
        </w:tc>
      </w:tr>
      <w:tr>
        <w:tc>
          <w:tcPr/>
          <w:p>
            <w:pPr>
              <w:pStyle w:val="Compact"/>
              <w:jc w:val="left"/>
            </w:pPr>
            <w:r>
              <w:t xml:space="preserve">1</w:t>
            </w:r>
          </w:p>
        </w:tc>
        <w:tc>
          <w:tcPr/>
          <w:p>
            <w:pPr>
              <w:pStyle w:val="Compact"/>
              <w:jc w:val="left"/>
            </w:pPr>
            <w:r>
              <w:t xml:space="preserve">7,986 (21%)</w:t>
            </w:r>
          </w:p>
        </w:tc>
        <w:tc>
          <w:tcPr/>
          <w:p>
            <w:pPr>
              <w:pStyle w:val="Compact"/>
              <w:jc w:val="left"/>
            </w:pPr>
            <w:r>
              <w:t xml:space="preserve">28,949 (26%)</w:t>
            </w:r>
          </w:p>
        </w:tc>
        <w:tc>
          <w:tcPr/>
          <w:p>
            <w:pPr>
              <w:pStyle w:val="Compact"/>
              <w:jc w:val="left"/>
            </w:pPr>
            <w:r>
              <w:t xml:space="preserve">14,770 (21%)</w:t>
            </w:r>
          </w:p>
        </w:tc>
        <w:tc>
          <w:tcPr/>
          <w:p>
            <w:pPr>
              <w:pStyle w:val="Compact"/>
              <w:jc w:val="left"/>
            </w:pPr>
            <w:r>
              <w:t xml:space="preserve">1,314 (8.1%)</w:t>
            </w:r>
          </w:p>
        </w:tc>
        <w:tc>
          <w:tcPr/>
          <w:p>
            <w:pPr>
              <w:pStyle w:val="Compact"/>
              <w:jc w:val="left"/>
            </w:pPr>
            <w:r>
              <w:t xml:space="preserve">134,204 (25%)</w:t>
            </w:r>
          </w:p>
        </w:tc>
      </w:tr>
    </w:tbl>
    <w:p>
      <w:pPr>
        <w:pStyle w:val="BodyText"/>
      </w:pPr>
      <w:r>
        <w:t xml:space="preserve">In assessing time to death (all-cause mortality), the overall 10-year survival was 68.5% (Figure 1). Non-Hispanic Black males had statistically significantly lower survival than other races and ethnicities across the full follow-up time (1-year = 95.7%; 5-year = 82.2%; 10-year = 66.1%) (Figure 2). Based on the log-log survival curves and extended Cox models, the proportional hazards assumption holds for all covariates (</w:t>
      </w:r>
      <w:r>
        <w:t xml:space="preserve">“</w:t>
      </w:r>
      <w:r>
        <w:t xml:space="preserve">Supplementary Material</w:t>
      </w:r>
      <w:r>
        <w:t xml:space="preserve">”</w:t>
      </w:r>
      <w:r>
        <w:t xml:space="preserve">).</w:t>
      </w:r>
    </w:p>
    <w:p>
      <w:pPr>
        <w:pStyle w:val="BodyText"/>
      </w:pPr>
      <w:r>
        <w:t xml:space="preserve">Figure 1. Kaplan-Meier survival curves for males in the U.S. with prostate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"results/figures/survivalcurve_total.png"</w:t>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results/figures/survivalcurve_total.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Kaplan-Meier survival curves for males in the U.S. with prostate cancer, stratified by race and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"results/figures/survivalcurve_ethnicity.png"</w:t>
      </w:r>
      <w:r>
        <w:rPr>
          <w:rStyle w:val="NormalTok"/>
        </w:rPr>
        <w:t xml:space="preserve">))</w:t>
      </w:r>
    </w:p>
    <w:p>
      <w:pPr>
        <w:pStyle w:val="FirstParagraph"/>
      </w:pPr>
      <w:r>
        <w:drawing>
          <wp:inline>
            <wp:extent cx="5334000" cy="5334000"/>
            <wp:effectExtent b="0" l="0" r="0" t="0"/>
            <wp:docPr descr="" title="" id="30" name="Picture"/>
            <a:graphic>
              <a:graphicData uri="http://schemas.openxmlformats.org/drawingml/2006/picture">
                <pic:pic>
                  <pic:nvPicPr>
                    <pic:cNvPr descr="../results/figures/survivalcurve_ethnicity.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adjustment for age and cancer stage at diagnosis, the rate of all-cause mortality was 1.32 times higher in Non-Hispanic Black males than Non-Hispanic White males (aHR = 1.32; 95% CI = 1.30 – 1.34) (Table 2). Compared to Non-Hispanic White males, the adjusted hazard ratios were less than 1.00 and statistically significant for males who were Non-Hispanic Asian/Pacific Islander, Hispanic, and other race/ethnicity (Table 2). Controlling for the other covariates, males older than 80 years at diagnosis (vs. males 0-49 years) had the highest adjusted hazard ratio for all-cause mortality among all age groups (aHR = 14.38; 95% CI = 13.70 – 15.09), and males with distant stage of prostate cancer (vs. localized stage) had a higher adjusted hazard ratio than males with regional stage (aHR = 7.27; 95% CI = 7.17 – 7.36) (Table 2).</w:t>
      </w:r>
    </w:p>
    <w:p>
      <w:pPr>
        <w:pStyle w:val="TableCaption"/>
      </w:pPr>
      <w:r>
        <w:t xml:space="preserve">Table 2. Adjusted hazard ratios and 95% confidence intervals for time to death (all-cause mortality) among males in the U.S. with prostate cancer (SEER database).</w:t>
      </w:r>
    </w:p>
    <w:tbl>
      <w:tblPr>
        <w:tblStyle w:val="Table"/>
        <w:tblW w:type="pct" w:w="5000"/>
        <w:tblLook w:firstRow="1" w:lastRow="0" w:firstColumn="0" w:lastColumn="0" w:noHBand="0" w:noVBand="0" w:val="0020"/>
        <w:jc w:val="start"/>
        <w:tblLayout w:type="fixed"/>
        <w:tblCaption w:val="Table 2. Adjusted hazard ratios and 95% confidence intervals for time to death (all-cause mortality) among males in the U.S. with prostate cancer (SEER database)."/>
      </w:tblPr>
      <w:tblGrid>
        <w:gridCol w:w="3582"/>
        <w:gridCol w:w="942"/>
        <w:gridCol w:w="1382"/>
        <w:gridCol w:w="1005"/>
        <w:gridCol w:w="1005"/>
      </w:tblGrid>
      <w:tr>
        <w:trPr>
          <w:tblHeader w:val="true"/>
        </w:trPr>
        <w:tc>
          <w:tcPr/>
          <w:p>
            <w:pPr>
              <w:pStyle w:val="Compact"/>
            </w:pPr>
          </w:p>
        </w:tc>
        <w:tc>
          <w:tcPr/>
          <w:p>
            <w:pPr>
              <w:pStyle w:val="Compact"/>
              <w:jc w:val="left"/>
            </w:pPr>
            <w:r>
              <w:t xml:space="preserve">Characteristic</w:t>
            </w:r>
          </w:p>
        </w:tc>
        <w:tc>
          <w:tcPr/>
          <w:p>
            <w:pPr>
              <w:pStyle w:val="Compact"/>
              <w:jc w:val="right"/>
            </w:pPr>
            <w:r>
              <w:t xml:space="preserve">Adjusted.hazard.ratio</w:t>
            </w:r>
          </w:p>
        </w:tc>
        <w:tc>
          <w:tcPr/>
          <w:p>
            <w:pPr>
              <w:pStyle w:val="Compact"/>
              <w:jc w:val="right"/>
            </w:pPr>
            <w:r>
              <w:t xml:space="preserve">X95..CI..lower.</w:t>
            </w:r>
          </w:p>
        </w:tc>
        <w:tc>
          <w:tcPr/>
          <w:p>
            <w:pPr>
              <w:pStyle w:val="Compact"/>
              <w:jc w:val="right"/>
            </w:pPr>
            <w:r>
              <w:t xml:space="preserve">X95..CI..upper.</w:t>
            </w:r>
          </w:p>
        </w:tc>
      </w:tr>
      <w:tr>
        <w:tc>
          <w:tcPr/>
          <w:p>
            <w:pPr>
              <w:pStyle w:val="Compact"/>
              <w:jc w:val="left"/>
            </w:pPr>
            <w:r>
              <w:t xml:space="preserve">relevel(factor(ethnicity), ref =</w:t>
            </w:r>
            <w:r>
              <w:t xml:space="preserve"> </w:t>
            </w:r>
            <w:r>
              <w:t xml:space="preserve">“</w:t>
            </w:r>
            <w:r>
              <w:t xml:space="preserve">White</w:t>
            </w:r>
            <w:r>
              <w:t xml:space="preserve">”</w:t>
            </w:r>
            <w:r>
              <w:t xml:space="preserve">)Asian</w:t>
            </w:r>
          </w:p>
        </w:tc>
        <w:tc>
          <w:tcPr/>
          <w:p>
            <w:pPr>
              <w:pStyle w:val="Compact"/>
              <w:jc w:val="left"/>
            </w:pPr>
            <w:r>
              <w:t xml:space="preserve">Asian</w:t>
            </w:r>
          </w:p>
        </w:tc>
        <w:tc>
          <w:tcPr/>
          <w:p>
            <w:pPr>
              <w:pStyle w:val="Compact"/>
              <w:jc w:val="right"/>
            </w:pPr>
            <w:r>
              <w:t xml:space="preserve">0.7710781</w:t>
            </w:r>
          </w:p>
        </w:tc>
        <w:tc>
          <w:tcPr/>
          <w:p>
            <w:pPr>
              <w:pStyle w:val="Compact"/>
              <w:jc w:val="right"/>
            </w:pPr>
            <w:r>
              <w:t xml:space="preserve">0.7538515</w:t>
            </w:r>
          </w:p>
        </w:tc>
        <w:tc>
          <w:tcPr/>
          <w:p>
            <w:pPr>
              <w:pStyle w:val="Compact"/>
              <w:jc w:val="right"/>
            </w:pPr>
            <w:r>
              <w:t xml:space="preserve">0.7886984</w:t>
            </w:r>
          </w:p>
        </w:tc>
      </w:tr>
      <w:tr>
        <w:tc>
          <w:tcPr/>
          <w:p>
            <w:pPr>
              <w:pStyle w:val="Compact"/>
              <w:jc w:val="left"/>
            </w:pPr>
            <w:r>
              <w:t xml:space="preserve">relevel(factor(ethnicity), ref =</w:t>
            </w:r>
            <w:r>
              <w:t xml:space="preserve"> </w:t>
            </w:r>
            <w:r>
              <w:t xml:space="preserve">“</w:t>
            </w:r>
            <w:r>
              <w:t xml:space="preserve">White</w:t>
            </w:r>
            <w:r>
              <w:t xml:space="preserve">”</w:t>
            </w:r>
            <w:r>
              <w:t xml:space="preserve">)Black</w:t>
            </w:r>
          </w:p>
        </w:tc>
        <w:tc>
          <w:tcPr/>
          <w:p>
            <w:pPr>
              <w:pStyle w:val="Compact"/>
              <w:jc w:val="left"/>
            </w:pPr>
            <w:r>
              <w:t xml:space="preserve">Black</w:t>
            </w:r>
          </w:p>
        </w:tc>
        <w:tc>
          <w:tcPr/>
          <w:p>
            <w:pPr>
              <w:pStyle w:val="Compact"/>
              <w:jc w:val="right"/>
            </w:pPr>
            <w:r>
              <w:t xml:space="preserve">1.3181728</w:t>
            </w:r>
          </w:p>
        </w:tc>
        <w:tc>
          <w:tcPr/>
          <w:p>
            <w:pPr>
              <w:pStyle w:val="Compact"/>
              <w:jc w:val="right"/>
            </w:pPr>
            <w:r>
              <w:t xml:space="preserve">1.3013971</w:t>
            </w:r>
          </w:p>
        </w:tc>
        <w:tc>
          <w:tcPr/>
          <w:p>
            <w:pPr>
              <w:pStyle w:val="Compact"/>
              <w:jc w:val="right"/>
            </w:pPr>
            <w:r>
              <w:t xml:space="preserve">1.3351648</w:t>
            </w:r>
          </w:p>
        </w:tc>
      </w:tr>
      <w:tr>
        <w:tc>
          <w:tcPr/>
          <w:p>
            <w:pPr>
              <w:pStyle w:val="Compact"/>
              <w:jc w:val="left"/>
            </w:pPr>
            <w:r>
              <w:t xml:space="preserve">relevel(factor(ethnicity), ref =</w:t>
            </w:r>
            <w:r>
              <w:t xml:space="preserve"> </w:t>
            </w:r>
            <w:r>
              <w:t xml:space="preserve">“</w:t>
            </w:r>
            <w:r>
              <w:t xml:space="preserve">White</w:t>
            </w:r>
            <w:r>
              <w:t xml:space="preserve">”</w:t>
            </w:r>
            <w:r>
              <w:t xml:space="preserve">)Hispanic</w:t>
            </w:r>
          </w:p>
        </w:tc>
        <w:tc>
          <w:tcPr/>
          <w:p>
            <w:pPr>
              <w:pStyle w:val="Compact"/>
              <w:jc w:val="left"/>
            </w:pPr>
            <w:r>
              <w:t xml:space="preserve">Hispanic</w:t>
            </w:r>
          </w:p>
        </w:tc>
        <w:tc>
          <w:tcPr/>
          <w:p>
            <w:pPr>
              <w:pStyle w:val="Compact"/>
              <w:jc w:val="right"/>
            </w:pPr>
            <w:r>
              <w:t xml:space="preserve">0.9160922</w:t>
            </w:r>
          </w:p>
        </w:tc>
        <w:tc>
          <w:tcPr/>
          <w:p>
            <w:pPr>
              <w:pStyle w:val="Compact"/>
              <w:jc w:val="right"/>
            </w:pPr>
            <w:r>
              <w:t xml:space="preserve">0.9006471</w:t>
            </w:r>
          </w:p>
        </w:tc>
        <w:tc>
          <w:tcPr/>
          <w:p>
            <w:pPr>
              <w:pStyle w:val="Compact"/>
              <w:jc w:val="right"/>
            </w:pPr>
            <w:r>
              <w:t xml:space="preserve">0.9318021</w:t>
            </w:r>
          </w:p>
        </w:tc>
      </w:tr>
      <w:tr>
        <w:tc>
          <w:tcPr/>
          <w:p>
            <w:pPr>
              <w:pStyle w:val="Compact"/>
              <w:jc w:val="left"/>
            </w:pPr>
            <w:r>
              <w:t xml:space="preserve">relevel(factor(ethnicity), ref =</w:t>
            </w:r>
            <w:r>
              <w:t xml:space="preserve"> </w:t>
            </w:r>
            <w:r>
              <w:t xml:space="preserve">“</w:t>
            </w:r>
            <w:r>
              <w:t xml:space="preserve">White</w:t>
            </w:r>
            <w:r>
              <w:t xml:space="preserve">”</w:t>
            </w:r>
            <w:r>
              <w:t xml:space="preserve">)Other</w:t>
            </w:r>
          </w:p>
        </w:tc>
        <w:tc>
          <w:tcPr/>
          <w:p>
            <w:pPr>
              <w:pStyle w:val="Compact"/>
              <w:jc w:val="left"/>
            </w:pPr>
            <w:r>
              <w:t xml:space="preserve">Other</w:t>
            </w:r>
          </w:p>
        </w:tc>
        <w:tc>
          <w:tcPr/>
          <w:p>
            <w:pPr>
              <w:pStyle w:val="Compact"/>
              <w:jc w:val="right"/>
            </w:pPr>
            <w:r>
              <w:t xml:space="preserve">0.4601053</w:t>
            </w:r>
          </w:p>
        </w:tc>
        <w:tc>
          <w:tcPr/>
          <w:p>
            <w:pPr>
              <w:pStyle w:val="Compact"/>
              <w:jc w:val="right"/>
            </w:pPr>
            <w:r>
              <w:t xml:space="preserve">0.4357671</w:t>
            </w:r>
          </w:p>
        </w:tc>
        <w:tc>
          <w:tcPr/>
          <w:p>
            <w:pPr>
              <w:pStyle w:val="Compact"/>
              <w:jc w:val="right"/>
            </w:pPr>
            <w:r>
              <w:t xml:space="preserve">0.4858028</w:t>
            </w:r>
          </w:p>
        </w:tc>
      </w:tr>
      <w:tr>
        <w:tc>
          <w:tcPr/>
          <w:p>
            <w:pPr>
              <w:pStyle w:val="Compact"/>
              <w:jc w:val="left"/>
            </w:pPr>
            <w:r>
              <w:t xml:space="preserve">relevel(factor(agegroup), ref =</w:t>
            </w:r>
            <w:r>
              <w:t xml:space="preserve"> </w:t>
            </w:r>
            <w:r>
              <w:t xml:space="preserve">“</w:t>
            </w:r>
            <w:r>
              <w:t xml:space="preserve">0-49 years</w:t>
            </w:r>
            <w:r>
              <w:t xml:space="preserve">”</w:t>
            </w:r>
            <w:r>
              <w:t xml:space="preserve">)50-59 years</w:t>
            </w:r>
          </w:p>
        </w:tc>
        <w:tc>
          <w:tcPr/>
          <w:p>
            <w:pPr>
              <w:pStyle w:val="Compact"/>
              <w:jc w:val="left"/>
            </w:pPr>
            <w:r>
              <w:t xml:space="preserve">50-59 years</w:t>
            </w:r>
          </w:p>
        </w:tc>
        <w:tc>
          <w:tcPr/>
          <w:p>
            <w:pPr>
              <w:pStyle w:val="Compact"/>
              <w:jc w:val="right"/>
            </w:pPr>
            <w:r>
              <w:t xml:space="preserve">1.4482922</w:t>
            </w:r>
          </w:p>
        </w:tc>
        <w:tc>
          <w:tcPr/>
          <w:p>
            <w:pPr>
              <w:pStyle w:val="Compact"/>
              <w:jc w:val="right"/>
            </w:pPr>
            <w:r>
              <w:t xml:space="preserve">1.3785081</w:t>
            </w:r>
          </w:p>
        </w:tc>
        <w:tc>
          <w:tcPr/>
          <w:p>
            <w:pPr>
              <w:pStyle w:val="Compact"/>
              <w:jc w:val="right"/>
            </w:pPr>
            <w:r>
              <w:t xml:space="preserve">1.5216089</w:t>
            </w:r>
          </w:p>
        </w:tc>
      </w:tr>
      <w:tr>
        <w:tc>
          <w:tcPr/>
          <w:p>
            <w:pPr>
              <w:pStyle w:val="Compact"/>
              <w:jc w:val="left"/>
            </w:pPr>
            <w:r>
              <w:t xml:space="preserve">relevel(factor(agegroup), ref =</w:t>
            </w:r>
            <w:r>
              <w:t xml:space="preserve"> </w:t>
            </w:r>
            <w:r>
              <w:t xml:space="preserve">“</w:t>
            </w:r>
            <w:r>
              <w:t xml:space="preserve">0-49 years</w:t>
            </w:r>
            <w:r>
              <w:t xml:space="preserve">”</w:t>
            </w:r>
            <w:r>
              <w:t xml:space="preserve">)60-69 years</w:t>
            </w:r>
          </w:p>
        </w:tc>
        <w:tc>
          <w:tcPr/>
          <w:p>
            <w:pPr>
              <w:pStyle w:val="Compact"/>
              <w:jc w:val="left"/>
            </w:pPr>
            <w:r>
              <w:t xml:space="preserve">60-69 years</w:t>
            </w:r>
          </w:p>
        </w:tc>
        <w:tc>
          <w:tcPr/>
          <w:p>
            <w:pPr>
              <w:pStyle w:val="Compact"/>
              <w:jc w:val="right"/>
            </w:pPr>
            <w:r>
              <w:t xml:space="preserve">2.5463864</w:t>
            </w:r>
          </w:p>
        </w:tc>
        <w:tc>
          <w:tcPr/>
          <w:p>
            <w:pPr>
              <w:pStyle w:val="Compact"/>
              <w:jc w:val="right"/>
            </w:pPr>
            <w:r>
              <w:t xml:space="preserve">2.4274974</w:t>
            </w:r>
          </w:p>
        </w:tc>
        <w:tc>
          <w:tcPr/>
          <w:p>
            <w:pPr>
              <w:pStyle w:val="Compact"/>
              <w:jc w:val="right"/>
            </w:pPr>
            <w:r>
              <w:t xml:space="preserve">2.6710980</w:t>
            </w:r>
          </w:p>
        </w:tc>
      </w:tr>
      <w:tr>
        <w:tc>
          <w:tcPr/>
          <w:p>
            <w:pPr>
              <w:pStyle w:val="Compact"/>
              <w:jc w:val="left"/>
            </w:pPr>
            <w:r>
              <w:t xml:space="preserve">relevel(factor(agegroup), ref =</w:t>
            </w:r>
            <w:r>
              <w:t xml:space="preserve"> </w:t>
            </w:r>
            <w:r>
              <w:t xml:space="preserve">“</w:t>
            </w:r>
            <w:r>
              <w:t xml:space="preserve">0-49 years</w:t>
            </w:r>
            <w:r>
              <w:t xml:space="preserve">”</w:t>
            </w:r>
            <w:r>
              <w:t xml:space="preserve">)70-79 years</w:t>
            </w:r>
          </w:p>
        </w:tc>
        <w:tc>
          <w:tcPr/>
          <w:p>
            <w:pPr>
              <w:pStyle w:val="Compact"/>
              <w:jc w:val="left"/>
            </w:pPr>
            <w:r>
              <w:t xml:space="preserve">70-79 year</w:t>
            </w:r>
          </w:p>
        </w:tc>
        <w:tc>
          <w:tcPr/>
          <w:p>
            <w:pPr>
              <w:pStyle w:val="Compact"/>
              <w:jc w:val="right"/>
            </w:pPr>
            <w:r>
              <w:t xml:space="preserve">5.7221279</w:t>
            </w:r>
          </w:p>
        </w:tc>
        <w:tc>
          <w:tcPr/>
          <w:p>
            <w:pPr>
              <w:pStyle w:val="Compact"/>
              <w:jc w:val="right"/>
            </w:pPr>
            <w:r>
              <w:t xml:space="preserve">5.4558116</w:t>
            </w:r>
          </w:p>
        </w:tc>
        <w:tc>
          <w:tcPr/>
          <w:p>
            <w:pPr>
              <w:pStyle w:val="Compact"/>
              <w:jc w:val="right"/>
            </w:pPr>
            <w:r>
              <w:t xml:space="preserve">6.0014440</w:t>
            </w:r>
          </w:p>
        </w:tc>
      </w:tr>
      <w:tr>
        <w:tc>
          <w:tcPr/>
          <w:p>
            <w:pPr>
              <w:pStyle w:val="Compact"/>
              <w:jc w:val="left"/>
            </w:pPr>
            <w:r>
              <w:t xml:space="preserve">relevel(factor(agegroup), ref =</w:t>
            </w:r>
            <w:r>
              <w:t xml:space="preserve"> </w:t>
            </w:r>
            <w:r>
              <w:t xml:space="preserve">“</w:t>
            </w:r>
            <w:r>
              <w:t xml:space="preserve">0-49 years</w:t>
            </w:r>
            <w:r>
              <w:t xml:space="preserve">”</w:t>
            </w:r>
            <w:r>
              <w:t xml:space="preserve">)80+ years</w:t>
            </w:r>
          </w:p>
        </w:tc>
        <w:tc>
          <w:tcPr/>
          <w:p>
            <w:pPr>
              <w:pStyle w:val="Compact"/>
              <w:jc w:val="left"/>
            </w:pPr>
            <w:r>
              <w:t xml:space="preserve">80+ years</w:t>
            </w:r>
          </w:p>
        </w:tc>
        <w:tc>
          <w:tcPr/>
          <w:p>
            <w:pPr>
              <w:pStyle w:val="Compact"/>
              <w:jc w:val="right"/>
            </w:pPr>
            <w:r>
              <w:t xml:space="preserve">14.3773894</w:t>
            </w:r>
          </w:p>
        </w:tc>
        <w:tc>
          <w:tcPr/>
          <w:p>
            <w:pPr>
              <w:pStyle w:val="Compact"/>
              <w:jc w:val="right"/>
            </w:pPr>
            <w:r>
              <w:t xml:space="preserve">13.7013153</w:t>
            </w:r>
          </w:p>
        </w:tc>
        <w:tc>
          <w:tcPr/>
          <w:p>
            <w:pPr>
              <w:pStyle w:val="Compact"/>
              <w:jc w:val="right"/>
            </w:pPr>
            <w:r>
              <w:t xml:space="preserve">15.0868235</w:t>
            </w:r>
          </w:p>
        </w:tc>
      </w:tr>
      <w:tr>
        <w:tc>
          <w:tcPr/>
          <w:p>
            <w:pPr>
              <w:pStyle w:val="Compact"/>
              <w:jc w:val="left"/>
            </w:pPr>
            <w:r>
              <w:t xml:space="preserve">relevel(factor(stage), ref =</w:t>
            </w:r>
            <w:r>
              <w:t xml:space="preserve"> </w:t>
            </w:r>
            <w:r>
              <w:t xml:space="preserve">“</w:t>
            </w:r>
            <w:r>
              <w:t xml:space="preserve">Localized</w:t>
            </w:r>
            <w:r>
              <w:t xml:space="preserve">”</w:t>
            </w:r>
            <w:r>
              <w:t xml:space="preserve">)Distant</w:t>
            </w:r>
          </w:p>
        </w:tc>
        <w:tc>
          <w:tcPr/>
          <w:p>
            <w:pPr>
              <w:pStyle w:val="Compact"/>
              <w:jc w:val="left"/>
            </w:pPr>
            <w:r>
              <w:t xml:space="preserve">Distant</w:t>
            </w:r>
          </w:p>
        </w:tc>
        <w:tc>
          <w:tcPr/>
          <w:p>
            <w:pPr>
              <w:pStyle w:val="Compact"/>
              <w:jc w:val="right"/>
            </w:pPr>
            <w:r>
              <w:t xml:space="preserve">7.2662180</w:t>
            </w:r>
          </w:p>
        </w:tc>
        <w:tc>
          <w:tcPr/>
          <w:p>
            <w:pPr>
              <w:pStyle w:val="Compact"/>
              <w:jc w:val="right"/>
            </w:pPr>
            <w:r>
              <w:t xml:space="preserve">7.1714705</w:t>
            </w:r>
          </w:p>
        </w:tc>
        <w:tc>
          <w:tcPr/>
          <w:p>
            <w:pPr>
              <w:pStyle w:val="Compact"/>
              <w:jc w:val="right"/>
            </w:pPr>
            <w:r>
              <w:t xml:space="preserve">7.3622173</w:t>
            </w:r>
          </w:p>
        </w:tc>
      </w:tr>
      <w:tr>
        <w:tc>
          <w:tcPr/>
          <w:p>
            <w:pPr>
              <w:pStyle w:val="Compact"/>
              <w:jc w:val="left"/>
            </w:pPr>
            <w:r>
              <w:t xml:space="preserve">relevel(factor(stage), ref =</w:t>
            </w:r>
            <w:r>
              <w:t xml:space="preserve"> </w:t>
            </w:r>
            <w:r>
              <w:t xml:space="preserve">“</w:t>
            </w:r>
            <w:r>
              <w:t xml:space="preserve">Localized</w:t>
            </w:r>
            <w:r>
              <w:t xml:space="preserve">”</w:t>
            </w:r>
            <w:r>
              <w:t xml:space="preserve">)Regional</w:t>
            </w:r>
          </w:p>
        </w:tc>
        <w:tc>
          <w:tcPr/>
          <w:p>
            <w:pPr>
              <w:pStyle w:val="Compact"/>
              <w:jc w:val="left"/>
            </w:pPr>
            <w:r>
              <w:t xml:space="preserve">Regional</w:t>
            </w:r>
          </w:p>
        </w:tc>
        <w:tc>
          <w:tcPr/>
          <w:p>
            <w:pPr>
              <w:pStyle w:val="Compact"/>
              <w:jc w:val="right"/>
            </w:pPr>
            <w:r>
              <w:t xml:space="preserve">1.0860275</w:t>
            </w:r>
          </w:p>
        </w:tc>
        <w:tc>
          <w:tcPr/>
          <w:p>
            <w:pPr>
              <w:pStyle w:val="Compact"/>
              <w:jc w:val="right"/>
            </w:pPr>
            <w:r>
              <w:t xml:space="preserve">1.0687881</w:t>
            </w:r>
          </w:p>
        </w:tc>
        <w:tc>
          <w:tcPr/>
          <w:p>
            <w:pPr>
              <w:pStyle w:val="Compact"/>
              <w:jc w:val="right"/>
            </w:pPr>
            <w:r>
              <w:t xml:space="preserve">1.1035450</w:t>
            </w:r>
          </w:p>
        </w:tc>
      </w:tr>
    </w:tbl>
    <w:p>
      <w:r>
        <w:br w:type="page"/>
      </w:r>
    </w:p>
    <w:bookmarkEnd w:id="32"/>
    <w:bookmarkStart w:id="35" w:name="discussion"/>
    <w:p>
      <w:pPr>
        <w:pStyle w:val="Heading1"/>
      </w:pPr>
      <w:r>
        <w:t xml:space="preserve">4. Discussion</w:t>
      </w:r>
    </w:p>
    <w:p>
      <w:pPr>
        <w:pStyle w:val="FirstParagraph"/>
      </w:pPr>
      <w:r>
        <w:t xml:space="preserve">The results of this project show that compared to Non-Hispanic White males with prostate cancer, Non-Hispanic Black males had the highest rate of all-cause mortality among all races and ethnicities, controlling for age and cancer stage at diagnosis. This finding is in line with the data provided by the American Cancer Society, which reported that Black men 70-110% higher mortality rate for prostate cancer than White men overall in the U.S.</w:t>
      </w:r>
      <w:r>
        <w:t xml:space="preserve">(</w:t>
      </w: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w:t>
      </w:r>
      <w:r>
        <w:t xml:space="preserve"> </w:t>
      </w:r>
      <w:r>
        <w:t xml:space="preserve">n.d.)</w:t>
      </w:r>
      <w:r>
        <w:t xml:space="preserve"> </w:t>
      </w:r>
      <w:r>
        <w:t xml:space="preserve">Although the American Cancer Society study</w:t>
      </w:r>
      <w:r>
        <w:t xml:space="preserve"> </w:t>
      </w:r>
      <w:r>
        <w:t xml:space="preserve">(</w:t>
      </w: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w:t>
      </w:r>
      <w:r>
        <w:t xml:space="preserve"> </w:t>
      </w:r>
      <w:r>
        <w:t xml:space="preserve">n.d.)</w:t>
      </w:r>
      <w:r>
        <w:t xml:space="preserve"> </w:t>
      </w:r>
      <w:r>
        <w:t xml:space="preserve">had a higher adjusted hazard ratio than our investigation, the conclusion is the same: Black males with prostate cancer have increased risk of all-cause mortality compared to other racial/ethnic groups. Also, older males and males with more extensive stage of prostate cancer had the highest rates of all-cause mortality, supporting the claim from the American Cancer Society that</w:t>
      </w:r>
      <w:r>
        <w:t xml:space="preserve"> </w:t>
      </w:r>
      <w:r>
        <w:t xml:space="preserve">“</w:t>
      </w:r>
      <w:r>
        <w:t xml:space="preserve">your age and overall health… and other factors can also affect your outlook [regarding survival rates for prostate cancer].</w:t>
      </w:r>
      <w:r>
        <w:t xml:space="preserve">”</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This project establishes an increasing all-cause mortality hazard by age at diagnosis and by cancer stage at diagnosis.</w:t>
      </w:r>
    </w:p>
    <w:bookmarkStart w:id="33" w:name="strengths"/>
    <w:p>
      <w:pPr>
        <w:pStyle w:val="Heading2"/>
      </w:pPr>
      <w:r>
        <w:t xml:space="preserve">4.1 Strengths</w:t>
      </w:r>
    </w:p>
    <w:p>
      <w:pPr>
        <w:pStyle w:val="FirstParagraph"/>
      </w:pPr>
      <w:r>
        <w:t xml:space="preserve">The strengths of this project are its large sample size, utilizing data from a national registry, as well as its inclusion of all major racial and ethnic groups in the U.S. Based on the result of the investigation, future research should focus on early diagnosis and treatment among Black males with prostate cancer, especially those who are older and with more extensive stage of cancer.</w:t>
      </w:r>
    </w:p>
    <w:bookmarkEnd w:id="33"/>
    <w:bookmarkStart w:id="34" w:name="limitations"/>
    <w:p>
      <w:pPr>
        <w:pStyle w:val="Heading2"/>
      </w:pPr>
      <w:r>
        <w:t xml:space="preserve">4.2 Limitations</w:t>
      </w:r>
    </w:p>
    <w:p>
      <w:pPr>
        <w:pStyle w:val="FirstParagraph"/>
      </w:pPr>
      <w:r>
        <w:t xml:space="preserve">One of the limitations of this project is the use of the SEER 18 registry, which only covers about 28% of the U.S. population.</w:t>
      </w:r>
      <w:r>
        <w:t xml:space="preserve">(</w:t>
      </w:r>
      <w:r>
        <w:t xml:space="preserve">“</w:t>
      </w:r>
      <w:r>
        <w:t xml:space="preserve">SEER</w:t>
      </w:r>
      <w:r>
        <w:t xml:space="preserve">*</w:t>
      </w:r>
      <w:r>
        <w:t xml:space="preserve">Stat</w:t>
      </w:r>
      <w:r>
        <w:t xml:space="preserve"> </w:t>
      </w:r>
      <w:r>
        <w:t xml:space="preserve">Databases</w:t>
      </w:r>
      <w:r>
        <w:t xml:space="preserve">,”</w:t>
      </w:r>
      <w:r>
        <w:t xml:space="preserve"> </w:t>
      </w:r>
      <w:r>
        <w:t xml:space="preserve">n.d.)</w:t>
      </w:r>
      <w:r>
        <w:t xml:space="preserve"> </w:t>
      </w:r>
      <w:r>
        <w:t xml:space="preserve">The study population may not be a representative sample of the target population, and certain sociodemographic groups may be excluded from the study, resulting in possible external validity problems. Also, the SEER 18 registry only provides data from 2000 to 2018. A longer follow-up time may have resulted in more accurate estimates of hazard ratios. This project examined all-cause mortality as the outcome of interest rather than cause-specific mortality, which provides a smaller sample size (i.e., small changes between comparison groups would not always register as statistically significant) and looks at death specifically caused by prostate cancer instead of death from any cause. This outcome may be more relevant to those with prostate cancer. Another constraint is the limited number of covariates, as few variables of interest were available in the SEER 18 registry. The use of more variables that help explain the association between race/ethnicity and mortality in males with prostate cancer, such as socioeconomic status and comorbidities, may have provided less biased effect sizes.</w:t>
      </w:r>
    </w:p>
    <w:p>
      <w:r>
        <w:br w:type="page"/>
      </w:r>
    </w:p>
    <w:bookmarkEnd w:id="34"/>
    <w:bookmarkEnd w:id="35"/>
    <w:bookmarkStart w:id="49" w:name="references"/>
    <w:p>
      <w:pPr>
        <w:pStyle w:val="Heading1"/>
      </w:pPr>
      <w:r>
        <w:t xml:space="preserve">5. References</w:t>
      </w:r>
    </w:p>
    <w:bookmarkStart w:id="48" w:name="refs"/>
    <w:bookmarkStart w:id="37" w:name="ref-noauthor_about_nodate"/>
    <w:p>
      <w:pPr>
        <w:pStyle w:val="Bibliography"/>
      </w:pPr>
      <w:r>
        <w:t xml:space="preserve">About the</w:t>
      </w:r>
      <w:r>
        <w:t xml:space="preserve"> </w:t>
      </w:r>
      <w:r>
        <w:t xml:space="preserve">SEER</w:t>
      </w:r>
      <w:r>
        <w:t xml:space="preserve"> </w:t>
      </w:r>
      <w:r>
        <w:t xml:space="preserve">Program</w:t>
      </w:r>
      <w:r>
        <w:t xml:space="preserve">. (n.d.). Retrieved from</w:t>
      </w:r>
      <w:r>
        <w:t xml:space="preserve"> </w:t>
      </w:r>
      <w:hyperlink r:id="rId36">
        <w:r>
          <w:rPr>
            <w:rStyle w:val="Hyperlink"/>
          </w:rPr>
          <w:t xml:space="preserve">https://seer.cancer.gov/about/overview.html</w:t>
        </w:r>
      </w:hyperlink>
    </w:p>
    <w:bookmarkEnd w:id="37"/>
    <w:bookmarkStart w:id="39" w:name="ref-noauthor_new_nodate"/>
    <w:p>
      <w:pPr>
        <w:pStyle w:val="Bibliography"/>
      </w:pP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 (n.d.). Retrieved from</w:t>
      </w:r>
      <w:r>
        <w:t xml:space="preserve"> </w:t>
      </w:r>
      <w:hyperlink r:id="rId38">
        <w:r>
          <w:rPr>
            <w:rStyle w:val="Hyperlink"/>
          </w:rPr>
          <w:t xml:space="preserve">https://pressroom.cancer.org/ProstateCancerMortality</w:t>
        </w:r>
      </w:hyperlink>
    </w:p>
    <w:bookmarkEnd w:id="39"/>
    <w:bookmarkStart w:id="41" w:name="ref-noauthor_prostate_nodate"/>
    <w:p>
      <w:pPr>
        <w:pStyle w:val="Bibliography"/>
      </w:pP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 Retrieved from</w:t>
      </w:r>
      <w:r>
        <w:t xml:space="preserve"> </w:t>
      </w:r>
      <w:hyperlink r:id="rId40">
        <w:r>
          <w:rPr>
            <w:rStyle w:val="Hyperlink"/>
          </w:rPr>
          <w:t xml:space="preserve">https://www.cancer.org/cancer/types/prostate-cancer.html</w:t>
        </w:r>
      </w:hyperlink>
    </w:p>
    <w:bookmarkEnd w:id="41"/>
    <w:bookmarkStart w:id="43" w:name="ref-rasmussen_survival_2023"/>
    <w:p>
      <w:pPr>
        <w:pStyle w:val="Bibliography"/>
      </w:pPr>
      <w:r>
        <w:t xml:space="preserve">Rasmussen, K. M., Patil, V., Li, C., Yong, C., Appukkuttan, S., Grossman, J. P., … Halwani, A. S. (2023). Survival</w:t>
      </w:r>
      <w:r>
        <w:t xml:space="preserve"> </w:t>
      </w:r>
      <w:r>
        <w:t xml:space="preserve">Outcomes</w:t>
      </w:r>
      <w:r>
        <w:t xml:space="preserve"> </w:t>
      </w:r>
      <w:r>
        <w:t xml:space="preserve">by</w:t>
      </w:r>
      <w:r>
        <w:t xml:space="preserve"> </w:t>
      </w:r>
      <w:r>
        <w:t xml:space="preserve">Race</w:t>
      </w:r>
      <w:r>
        <w:t xml:space="preserve"> </w:t>
      </w:r>
      <w:r>
        <w:t xml:space="preserve">and</w:t>
      </w:r>
      <w:r>
        <w:t xml:space="preserve"> </w:t>
      </w:r>
      <w:r>
        <w:t xml:space="preserve">Ethnicity</w:t>
      </w:r>
      <w:r>
        <w:t xml:space="preserve"> </w:t>
      </w:r>
      <w:r>
        <w:t xml:space="preserve">in</w:t>
      </w:r>
      <w:r>
        <w:t xml:space="preserve"> </w:t>
      </w:r>
      <w:r>
        <w:t xml:space="preserve">Veterans</w:t>
      </w:r>
      <w:r>
        <w:t xml:space="preserve"> </w:t>
      </w:r>
      <w:r>
        <w:t xml:space="preserve">With</w:t>
      </w:r>
      <w:r>
        <w:t xml:space="preserve"> </w:t>
      </w:r>
      <w:r>
        <w:t xml:space="preserve">Nonmetastatic</w:t>
      </w:r>
      <w:r>
        <w:t xml:space="preserve"> </w:t>
      </w:r>
      <w:r>
        <w:t xml:space="preserve">Castration</w:t>
      </w:r>
      <w:r>
        <w:t xml:space="preserve">-</w:t>
      </w:r>
      <w:r>
        <w:t xml:space="preserve">Resistant</w:t>
      </w:r>
      <w:r>
        <w:t xml:space="preserve"> </w:t>
      </w:r>
      <w:r>
        <w:t xml:space="preserve">Prostate</w:t>
      </w:r>
      <w:r>
        <w:t xml:space="preserve"> </w:t>
      </w:r>
      <w:r>
        <w:t xml:space="preserve">Cancer</w:t>
      </w:r>
      <w:r>
        <w:t xml:space="preserve">.</w:t>
      </w:r>
      <w:r>
        <w:t xml:space="preserve"> </w:t>
      </w:r>
      <w:r>
        <w:rPr>
          <w:iCs/>
          <w:i/>
        </w:rPr>
        <w:t xml:space="preserve">JAMA Network Open</w:t>
      </w:r>
      <w:r>
        <w:t xml:space="preserve">,</w:t>
      </w:r>
      <w:r>
        <w:t xml:space="preserve"> </w:t>
      </w:r>
      <w:r>
        <w:rPr>
          <w:iCs/>
          <w:i/>
        </w:rPr>
        <w:t xml:space="preserve">6</w:t>
      </w:r>
      <w:r>
        <w:t xml:space="preserve">(10), e2337272–e2337272.</w:t>
      </w:r>
      <w:r>
        <w:t xml:space="preserve"> </w:t>
      </w:r>
      <w:hyperlink r:id="rId42">
        <w:r>
          <w:rPr>
            <w:rStyle w:val="Hyperlink"/>
          </w:rPr>
          <w:t xml:space="preserve">https://doi.org/10.1001/jamanetworkopen.2023.37272</w:t>
        </w:r>
      </w:hyperlink>
    </w:p>
    <w:bookmarkEnd w:id="43"/>
    <w:bookmarkStart w:id="45" w:name="ref-noauthor_seerstat_nodate"/>
    <w:p>
      <w:pPr>
        <w:pStyle w:val="Bibliography"/>
      </w:pPr>
      <w:r>
        <w:t xml:space="preserve">SEER</w:t>
      </w:r>
      <w:r>
        <w:t xml:space="preserve">*</w:t>
      </w:r>
      <w:r>
        <w:t xml:space="preserve">Stat</w:t>
      </w:r>
      <w:r>
        <w:t xml:space="preserve"> </w:t>
      </w:r>
      <w:r>
        <w:t xml:space="preserve">Databases</w:t>
      </w:r>
      <w:r>
        <w:t xml:space="preserve">:</w:t>
      </w:r>
      <w:r>
        <w:t xml:space="preserve"> </w:t>
      </w:r>
      <w:r>
        <w:t xml:space="preserve">November</w:t>
      </w:r>
      <w:r>
        <w:t xml:space="preserve"> </w:t>
      </w:r>
      <w:r>
        <w:t xml:space="preserve">2020</w:t>
      </w:r>
      <w:r>
        <w:t xml:space="preserve"> </w:t>
      </w:r>
      <w:r>
        <w:t xml:space="preserve">Submission</w:t>
      </w:r>
      <w:r>
        <w:t xml:space="preserve">. (n.d.). Retrieved from</w:t>
      </w:r>
      <w:r>
        <w:t xml:space="preserve"> </w:t>
      </w:r>
      <w:hyperlink r:id="rId44">
        <w:r>
          <w:rPr>
            <w:rStyle w:val="Hyperlink"/>
          </w:rPr>
          <w:t xml:space="preserve">https://seer.cancer.gov/data-software/documentation/seerstat/nov2020/index.html</w:t>
        </w:r>
      </w:hyperlink>
    </w:p>
    <w:bookmarkEnd w:id="45"/>
    <w:bookmarkStart w:id="47" w:name="ref-stern_association_2021"/>
    <w:p>
      <w:pPr>
        <w:pStyle w:val="Bibliography"/>
      </w:pPr>
      <w:r>
        <w:t xml:space="preserve">Stern, N., Ly, T. L., Welk, B., Chin, J., Ballucci, D., Haan, M., &amp; Power, N. (2021). Association of</w:t>
      </w:r>
      <w:r>
        <w:t xml:space="preserve"> </w:t>
      </w:r>
      <w:r>
        <w:t xml:space="preserve">Race</w:t>
      </w:r>
      <w:r>
        <w:t xml:space="preserve"> </w:t>
      </w:r>
      <w:r>
        <w:t xml:space="preserve">and</w:t>
      </w:r>
      <w:r>
        <w:t xml:space="preserve"> </w:t>
      </w:r>
      <w:r>
        <w:t xml:space="preserve">Ethnicity</w:t>
      </w:r>
      <w:r>
        <w:t xml:space="preserve"> </w:t>
      </w:r>
      <w:r>
        <w:t xml:space="preserve">With</w:t>
      </w:r>
      <w:r>
        <w:t xml:space="preserve"> </w:t>
      </w:r>
      <w:r>
        <w:t xml:space="preserve">Prostate</w:t>
      </w:r>
      <w:r>
        <w:t xml:space="preserve"> </w:t>
      </w:r>
      <w:r>
        <w:t xml:space="preserve">Cancer</w:t>
      </w:r>
      <w:r>
        <w:t xml:space="preserve">–</w:t>
      </w:r>
      <w:r>
        <w:t xml:space="preserve">Specific</w:t>
      </w:r>
      <w:r>
        <w:t xml:space="preserve"> </w:t>
      </w:r>
      <w:r>
        <w:t xml:space="preserve">Mortality</w:t>
      </w:r>
      <w:r>
        <w:t xml:space="preserve"> </w:t>
      </w:r>
      <w:r>
        <w:t xml:space="preserve">in</w:t>
      </w:r>
      <w:r>
        <w:t xml:space="preserve"> </w:t>
      </w:r>
      <w:r>
        <w:t xml:space="preserve">Canada</w:t>
      </w:r>
      <w:r>
        <w:t xml:space="preserve">.</w:t>
      </w:r>
      <w:r>
        <w:t xml:space="preserve"> </w:t>
      </w:r>
      <w:r>
        <w:rPr>
          <w:iCs/>
          <w:i/>
        </w:rPr>
        <w:t xml:space="preserve">JAMA Network Open</w:t>
      </w:r>
      <w:r>
        <w:t xml:space="preserve">,</w:t>
      </w:r>
      <w:r>
        <w:t xml:space="preserve"> </w:t>
      </w:r>
      <w:r>
        <w:rPr>
          <w:iCs/>
          <w:i/>
        </w:rPr>
        <w:t xml:space="preserve">4</w:t>
      </w:r>
      <w:r>
        <w:t xml:space="preserve">(12), e2136364.</w:t>
      </w:r>
      <w:r>
        <w:t xml:space="preserve"> </w:t>
      </w:r>
      <w:hyperlink r:id="rId46">
        <w:r>
          <w:rPr>
            <w:rStyle w:val="Hyperlink"/>
          </w:rPr>
          <w:t xml:space="preserve">https://doi.org/10.1001/jamanetworkopen.2021.36364</w:t>
        </w:r>
      </w:hyperlink>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46" Target="https://doi.org/10.1001/jamanetworkopen.2021.36364" TargetMode="External" /><Relationship Type="http://schemas.openxmlformats.org/officeDocument/2006/relationships/hyperlink" Id="rId42" Target="https://doi.org/10.1001/jamanetworkopen.2023.37272" TargetMode="External" /><Relationship Type="http://schemas.openxmlformats.org/officeDocument/2006/relationships/hyperlink" Id="rId38" Target="https://pressroom.cancer.org/ProstateCancerMortality" TargetMode="External" /><Relationship Type="http://schemas.openxmlformats.org/officeDocument/2006/relationships/hyperlink" Id="rId36" Target="https://seer.cancer.gov/about/overview.html" TargetMode="External" /><Relationship Type="http://schemas.openxmlformats.org/officeDocument/2006/relationships/hyperlink" Id="rId44" Target="https://seer.cancer.gov/data-software/documentation/seerstat/nov2020/index.html" TargetMode="External" /><Relationship Type="http://schemas.openxmlformats.org/officeDocument/2006/relationships/hyperlink" Id="rId40" Target="https://www.cancer.org/cancer/types/prostate-cancer.html"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1/jamanetworkopen.2021.36364" TargetMode="External" /><Relationship Type="http://schemas.openxmlformats.org/officeDocument/2006/relationships/hyperlink" Id="rId42" Target="https://doi.org/10.1001/jamanetworkopen.2023.37272" TargetMode="External" /><Relationship Type="http://schemas.openxmlformats.org/officeDocument/2006/relationships/hyperlink" Id="rId38" Target="https://pressroom.cancer.org/ProstateCancerMortality" TargetMode="External" /><Relationship Type="http://schemas.openxmlformats.org/officeDocument/2006/relationships/hyperlink" Id="rId36" Target="https://seer.cancer.gov/about/overview.html" TargetMode="External" /><Relationship Type="http://schemas.openxmlformats.org/officeDocument/2006/relationships/hyperlink" Id="rId44" Target="https://seer.cancer.gov/data-software/documentation/seerstat/nov2020/index.html" TargetMode="External" /><Relationship Type="http://schemas.openxmlformats.org/officeDocument/2006/relationships/hyperlink" Id="rId40" Target="https://www.cancer.org/cancer/types/prostate-canc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Males in the U.S. with Prostate Cancer Based on Race and Ethnicity</dc:title>
  <dc:creator>Ranni Tewfik</dc:creator>
  <cp:keywords/>
  <dcterms:created xsi:type="dcterms:W3CDTF">2024-04-05T05:17:31Z</dcterms:created>
  <dcterms:modified xsi:type="dcterms:W3CDTF">2024-04-05T05:17:31Z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2024-04-05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