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sz w:val="28"/>
        </w:rPr>
        <w:t>PREDICTIVE MODEL OF HOMICIDES IN ECUADOR USING MACHINE LEARNING ALGORITHMS: ANALYSIS OF OFFICIAL DATA FROM THE MINISTRY OF INTERIOR (2014-2025)</w:t>
      </w:r>
    </w:p>
    <w:p/>
    <w:p>
      <w:pPr>
        <w:jc w:val="center"/>
      </w:pPr>
      <w:r>
        <w:rPr>
          <w:rFonts w:ascii="Times New Roman" w:hAnsi="Times New Roman"/>
          <w:sz w:val="24"/>
        </w:rPr>
        <w:t>Erick Reinaldo Flores Zambrano</w:t>
      </w:r>
    </w:p>
    <w:p>
      <w:pPr>
        <w:jc w:val="center"/>
      </w:pPr>
      <w:r>
        <w:rPr>
          <w:rFonts w:ascii="Times New Roman" w:hAnsi="Times New Roman"/>
          <w:sz w:val="22"/>
        </w:rPr>
        <w:t>Universidad Técnica de Manabí, Facultad de Ciencias Administrativas y Económicas</w:t>
      </w:r>
    </w:p>
    <w:p>
      <w:pPr>
        <w:jc w:val="center"/>
      </w:pPr>
      <w:r>
        <w:rPr>
          <w:rFonts w:ascii="Times New Roman" w:hAnsi="Times New Roman"/>
          <w:sz w:val="22"/>
        </w:rPr>
        <w:t>Portoviejo, Ecuador</w:t>
      </w:r>
    </w:p>
    <w:p>
      <w:pPr>
        <w:jc w:val="center"/>
      </w:pPr>
      <w:r>
        <w:rPr>
          <w:rFonts w:ascii="Times New Roman" w:hAnsi="Times New Roman"/>
          <w:sz w:val="22"/>
        </w:rPr>
        <w:t>eflores4006@utm.edu.ec</w:t>
      </w:r>
    </w:p>
    <w:p/>
    <w:p>
      <w:pPr>
        <w:jc w:val="center"/>
      </w:pPr>
      <w:r>
        <w:rPr>
          <w:rFonts w:ascii="Times New Roman" w:hAnsi="Times New Roman"/>
          <w:sz w:val="20"/>
        </w:rPr>
        <w:t>Recibido: ________________     Aceptado: ________________</w:t>
      </w:r>
    </w:p>
    <w:p/>
    <w:p>
      <w:pPr>
        <w:jc w:val="center"/>
      </w:pPr>
      <w:r>
        <w:rPr>
          <w:rFonts w:ascii="Times New Roman" w:hAnsi="Times New Roman" w:eastAsia="Times New Roman"/>
          <w:b/>
          <w:i w:val="0"/>
          <w:sz w:val="24"/>
        </w:rPr>
        <w:t>RESUMEN</w:t>
      </w:r>
    </w:p>
    <w:p>
      <w:pPr>
        <w:jc w:val="both"/>
      </w:pPr>
      <w:r>
        <w:rPr>
          <w:rFonts w:ascii="Times New Roman" w:hAnsi="Times New Roman" w:eastAsia="Times New Roman"/>
          <w:b w:val="0"/>
          <w:i w:val="0"/>
          <w:sz w:val="24"/>
        </w:rPr>
        <w:t>Este trabajo presenta un modelo de inteligencia artificial capaz de anticipar homicidios intencionales en Ecuador con una precisión del 96.85%. Se procesaron más de 850 mil registros oficiales del Ministerio del Interior que abarcan desde 2014 hasta noviembre de 2025. Las variables analizadas incluyen homicidios, armas incautadas, personas desaparecidas, detenidos y operativos antidrogas distribuidos por provincia.</w:t>
        <w:br/>
        <w:br/>
        <w:t>Se evaluaron cuatro algoritmos de aprendizaje automático: XGBoost, Random Forest, CatBoost y Ridge Regression. El modelo XGBoost demostró el mejor rendimiento con un coeficiente R² de 96.85% y un error de apenas 2.71 homicidios mensuales por provincia. Los hallazgos revelan que Ecuador pasó de ser uno de los países más seguros de la región en 2017 a registrar tasas de violencia equiparables a las naciones más peligrosas del continente. La provincia del Guayas concentra casi la mitad de todos los homicidios del país.</w:t>
        <w:br/>
        <w:br/>
        <w:t>Este modelo puede servir como herramienta de apoyo para que las autoridades anticipen incrementos de violencia y asignen recursos de manera más eficiente en la prevención del delito.</w:t>
      </w:r>
    </w:p>
    <w:p>
      <w:r>
        <w:rPr>
          <w:rFonts w:ascii="Times New Roman" w:hAnsi="Times New Roman"/>
          <w:b/>
          <w:sz w:val="22"/>
        </w:rPr>
        <w:t xml:space="preserve">Palabras clave: </w:t>
      </w:r>
      <w:r>
        <w:rPr>
          <w:rFonts w:ascii="Times New Roman" w:hAnsi="Times New Roman"/>
          <w:sz w:val="22"/>
        </w:rPr>
        <w:t>aprendizaje automático; predicción criminal; homicidios intencionales; XGBoost; seguridad ciudadana</w:t>
      </w:r>
    </w:p>
    <w:p/>
    <w:p>
      <w:pPr>
        <w:jc w:val="center"/>
      </w:pPr>
      <w:r>
        <w:rPr>
          <w:rFonts w:ascii="Times New Roman" w:hAnsi="Times New Roman" w:eastAsia="Times New Roman"/>
          <w:b/>
          <w:i w:val="0"/>
          <w:sz w:val="24"/>
        </w:rPr>
        <w:t>ABSTRACT</w:t>
      </w:r>
    </w:p>
    <w:p>
      <w:pPr>
        <w:jc w:val="both"/>
      </w:pPr>
      <w:r>
        <w:rPr>
          <w:rFonts w:ascii="Times New Roman" w:hAnsi="Times New Roman" w:eastAsia="Times New Roman"/>
          <w:b w:val="0"/>
          <w:i/>
          <w:sz w:val="24"/>
        </w:rPr>
        <w:t>This study develops an artificial intelligence model capable of predicting intentional homicides in Ecuador with 96.85% accuracy. Over 850 thousand official records from the Ministry of Interior covering the period 2014 to November 2025 were processed. Variables analyzed include homicides, seized weapons, missing persons, detainees and anti-drug operations distributed by province.</w:t>
        <w:br/>
        <w:br/>
        <w:t>Four machine learning algorithms were evaluated: XGBoost, Random Forest, CatBoost and Ridge Regression. The XGBoost model showed the best performance with an R² coefficient of 96.85% and an error of only 2.71 monthly homicides per province. Findings reveal that Ecuador went from being one of the safest countries in the region in 2017 to recording violence rates comparable to the most dangerous nations on the continent. Guayas province concentrates almost half of all homicides in the country.</w:t>
        <w:br/>
        <w:br/>
        <w:t>This model can serve as a support tool for authorities to anticipate violence increases and allocate resources more efficiently in crime prevention.</w:t>
      </w:r>
    </w:p>
    <w:p>
      <w:r>
        <w:rPr>
          <w:rFonts w:ascii="Times New Roman" w:hAnsi="Times New Roman"/>
          <w:b/>
          <w:sz w:val="22"/>
        </w:rPr>
        <w:t xml:space="preserve">Keywords: </w:t>
      </w:r>
      <w:r>
        <w:rPr>
          <w:rFonts w:ascii="Times New Roman" w:hAnsi="Times New Roman"/>
          <w:i/>
          <w:sz w:val="22"/>
        </w:rPr>
        <w:t>machine learning; crime prediction; intentional homicides; XGBoost; citizen security</w:t>
      </w:r>
    </w:p>
    <w:p/>
    <w:p>
      <w:r>
        <w:br w:type="page"/>
      </w:r>
    </w:p>
    <w:p>
      <w:pPr>
        <w:jc w:val="center"/>
      </w:pPr>
      <w:r>
        <w:rPr>
          <w:rFonts w:ascii="Times New Roman" w:hAnsi="Times New Roman" w:eastAsia="Times New Roman"/>
          <w:b/>
          <w:i w:val="0"/>
          <w:sz w:val="28"/>
        </w:rPr>
        <w:t>INTRODUCCIÓN</w:t>
      </w:r>
    </w:p>
    <w:p>
      <w:pPr>
        <w:jc w:val="both"/>
      </w:pPr>
      <w:r>
        <w:rPr>
          <w:rFonts w:ascii="Times New Roman" w:hAnsi="Times New Roman" w:eastAsia="Times New Roman"/>
          <w:b w:val="0"/>
          <w:i w:val="0"/>
          <w:sz w:val="24"/>
        </w:rPr>
        <w:t>La violencia criminal se ha convertido en uno de los problemas más graves que enfrentan los gobiernos de América Latina. En las últimas dos décadas el fenómeno se ha intensificado de manera alarmante en varios países de la región debido principalmente a la expansión del narcotráfico y las disputas territoriales entre organizaciones criminales transnacionales. Ecuador hasta hace pocos años era considerado una isla de paz rodeada por vecinos con altas tasas de criminalidad como Colombia y Perú. Sin embargo esta realidad cambió drásticamente a partir de 2021.</w:t>
      </w:r>
    </w:p>
    <w:p>
      <w:pPr>
        <w:jc w:val="both"/>
      </w:pPr>
      <w:r>
        <w:rPr>
          <w:rFonts w:ascii="Times New Roman" w:hAnsi="Times New Roman" w:eastAsia="Times New Roman"/>
          <w:b w:val="0"/>
          <w:i w:val="0"/>
          <w:sz w:val="24"/>
        </w:rPr>
        <w:t>Según datos del Ministerio del Interior la tasa de homicidios intencionales en Ecuador pasó de 5.7 por cada cien mil habitantes en 2017 a 47.8 en 2025. Este incremento del 738% en menos de una década ubica al país entre los más violentos del continente americano superando incluso a naciones con historial de conflicto armado. El año 2023 cerró con 8248 muertes violentas y 2025 ya superó esa cifra con 8393 homicidios registrados hasta noviembre.</w:t>
      </w:r>
    </w:p>
    <w:p>
      <w:pPr>
        <w:jc w:val="both"/>
      </w:pPr>
      <w:r>
        <w:rPr>
          <w:rFonts w:ascii="Times New Roman" w:hAnsi="Times New Roman" w:eastAsia="Times New Roman"/>
          <w:b w:val="0"/>
          <w:i w:val="0"/>
          <w:sz w:val="24"/>
        </w:rPr>
        <w:t>La provincia del Guayas que alberga al puerto marítimo de Guayaquil se ha convertido en el epicentro de la violencia. Esta concentración geográfica responde a la importancia estratégica del puerto como punto de salida del tráfico de cocaína hacia mercados internacionales. Las bandas criminales locales afiliadas a carteles mexicanos y albaneses disputan el control territorial generando una espiral de violencia que afecta directamente a la población civil.</w:t>
      </w:r>
    </w:p>
    <w:p>
      <w:pPr>
        <w:jc w:val="both"/>
      </w:pPr>
      <w:r>
        <w:rPr>
          <w:rFonts w:ascii="Times New Roman" w:hAnsi="Times New Roman" w:eastAsia="Times New Roman"/>
          <w:b w:val="0"/>
          <w:i w:val="0"/>
          <w:sz w:val="24"/>
        </w:rPr>
        <w:t>Ante esta crisis resulta fundamental desarrollar herramientas que permitan anticipar los patrones de violencia y facilitar una respuesta más efectiva por parte de las autoridades. El aprendizaje automático ofrece posibilidades concretas en este sentido ya que permite identificar relaciones complejas entre múltiples variables que de otra manera pasarían desapercibidas. Diversos países han implementado sistemas predictivos con resultados prometedores para optimizar la asignación de recursos policiales.</w:t>
      </w:r>
    </w:p>
    <w:p>
      <w:pPr>
        <w:jc w:val="both"/>
      </w:pPr>
      <w:r>
        <w:rPr>
          <w:rFonts w:ascii="Times New Roman" w:hAnsi="Times New Roman" w:eastAsia="Times New Roman"/>
          <w:b w:val="0"/>
          <w:i w:val="0"/>
          <w:sz w:val="24"/>
        </w:rPr>
        <w:t>Estudios previos en Estados Unidos y Reino Unido han demostrado que los modelos de machine learning pueden alcanzar precisiones superiores al 80% en la predicción de delitos violentos. En el contexto latinoamericano destacan investigaciones realizadas en Colombia, México y Brasil que han adaptado estas metodologías a las particularidades de la región. Sin embargo existe un vacío importante en la literatura respecto a Ecuador donde los trabajos académicos sobre predicción criminal son prácticamente inexistentes.</w:t>
      </w:r>
    </w:p>
    <w:p>
      <w:pPr>
        <w:jc w:val="both"/>
      </w:pPr>
      <w:r>
        <w:rPr>
          <w:rFonts w:ascii="Times New Roman" w:hAnsi="Times New Roman" w:eastAsia="Times New Roman"/>
          <w:b w:val="0"/>
          <w:i w:val="0"/>
          <w:sz w:val="24"/>
        </w:rPr>
        <w:t>Este estudio tiene como objetivo desarrollar un modelo de aprendizaje automático que permita predecir homicidios intencionales a nivel provincial en Ecuador. Para ello se utilizan datos oficiales del Ministerio del Interior correspondientes al período 2014-2025. La hipótesis central plantea que variables como armas incautadas, personas desaparecidas y detenidos mantienen una relación estadísticamente significativa con la ocurrencia de homicidios que puede ser modelada mediante algoritmos de inteligencia artificial.</w:t>
      </w:r>
    </w:p>
    <w:p>
      <w:pPr>
        <w:jc w:val="both"/>
      </w:pPr>
      <w:r>
        <w:rPr>
          <w:rFonts w:ascii="Times New Roman" w:hAnsi="Times New Roman" w:eastAsia="Times New Roman"/>
          <w:b w:val="0"/>
          <w:i w:val="0"/>
          <w:sz w:val="24"/>
        </w:rPr>
        <w:t>Los objetivos específicos incluyen: caracterizar la evolución temporal y distribución geográfica de los homicidios en Ecuador, evaluar el desempeño de cuatro algoritmos de machine learning en la tarea predictiva, identificar las variables con mayor poder explicativo y proponer recomendaciones de política pública basadas en la evidencia generada. El artículo se estructura en cinco secciones: introducción, metodología, resultados, discusión y conclusiones.</w:t>
      </w:r>
    </w:p>
    <w:p/>
    <w:p>
      <w:r>
        <w:br w:type="page"/>
      </w:r>
    </w:p>
    <w:p>
      <w:pPr>
        <w:jc w:val="center"/>
      </w:pPr>
      <w:r>
        <w:rPr>
          <w:rFonts w:ascii="Times New Roman" w:hAnsi="Times New Roman" w:eastAsia="Times New Roman"/>
          <w:b/>
          <w:i w:val="0"/>
          <w:sz w:val="28"/>
        </w:rPr>
        <w:t>METODOLOGÍA</w:t>
      </w:r>
    </w:p>
    <w:p>
      <w:r>
        <w:rPr>
          <w:rFonts w:ascii="Times New Roman" w:hAnsi="Times New Roman" w:eastAsia="Times New Roman"/>
          <w:b/>
          <w:i w:val="0"/>
          <w:sz w:val="24"/>
        </w:rPr>
        <w:t>Tipo y Diseño de Investigación</w:t>
      </w:r>
    </w:p>
    <w:p>
      <w:pPr>
        <w:jc w:val="both"/>
      </w:pPr>
      <w:r>
        <w:rPr>
          <w:rFonts w:ascii="Times New Roman" w:hAnsi="Times New Roman" w:eastAsia="Times New Roman"/>
          <w:b w:val="0"/>
          <w:i w:val="0"/>
          <w:sz w:val="24"/>
        </w:rPr>
        <w:t>La investigación adopta un enfoque cuantitativo de tipo predictivo con diseño no experimental longitudinal. Se trabaja exclusivamente con datos secundarios provenientes de fuentes oficiales gubernamentales sin intervención sobre las unidades de análisis. El alcance temporal abarca once años desde enero de 2014 hasta noviembre de 2025 lo que permite capturar tanto el período de relativa calma como la escalada de violencia reciente.</w:t>
      </w:r>
    </w:p>
    <w:p>
      <w:r>
        <w:rPr>
          <w:rFonts w:ascii="Times New Roman" w:hAnsi="Times New Roman" w:eastAsia="Times New Roman"/>
          <w:b/>
          <w:i w:val="0"/>
          <w:sz w:val="24"/>
        </w:rPr>
        <w:t>Fuentes de Información</w:t>
      </w:r>
    </w:p>
    <w:p>
      <w:pPr>
        <w:jc w:val="both"/>
      </w:pPr>
      <w:r>
        <w:rPr>
          <w:rFonts w:ascii="Times New Roman" w:hAnsi="Times New Roman" w:eastAsia="Times New Roman"/>
          <w:b w:val="0"/>
          <w:i w:val="0"/>
          <w:sz w:val="24"/>
        </w:rPr>
        <w:t>Los datos primarios provienen del portal de datos abiertos del Ministerio del Interior de Ecuador. Se descargaron cinco conjuntos de datos correspondientes a: homicidios intencionales con 38932 registros, armas ilícitas incautadas con 69686 registros, personas desaparecidas con 75459 registros, detenidos con 556206 registros y drogas incautadas con 112848 operativos. En total se procesaron más de 850 mil observaciones individuales.</w:t>
      </w:r>
    </w:p>
    <w:p>
      <w:pPr>
        <w:jc w:val="both"/>
      </w:pPr>
      <w:r>
        <w:rPr>
          <w:rFonts w:ascii="Times New Roman" w:hAnsi="Times New Roman" w:eastAsia="Times New Roman"/>
          <w:b w:val="0"/>
          <w:i w:val="0"/>
          <w:sz w:val="24"/>
        </w:rPr>
        <w:t>Para el cálculo de tasas por cada cien mil habitantes se incorporaron proyecciones poblacionales del Instituto Nacional de Estadística y Censos. Los datos se validaron cruzando información entre las diferentes fuentes y verificando coherencia temporal en las series.</w:t>
      </w:r>
    </w:p>
    <w:p>
      <w:r>
        <w:rPr>
          <w:rFonts w:ascii="Times New Roman" w:hAnsi="Times New Roman" w:eastAsia="Times New Roman"/>
          <w:b/>
          <w:i w:val="0"/>
          <w:sz w:val="24"/>
        </w:rPr>
        <w:t>Variables de Estudio</w:t>
      </w:r>
    </w:p>
    <w:p>
      <w:pPr>
        <w:jc w:val="both"/>
      </w:pPr>
      <w:r>
        <w:rPr>
          <w:rFonts w:ascii="Times New Roman" w:hAnsi="Times New Roman" w:eastAsia="Times New Roman"/>
          <w:b w:val="0"/>
          <w:i w:val="0"/>
          <w:sz w:val="24"/>
        </w:rPr>
        <w:t>La variable dependiente corresponde al número de homicidios intencionales agregados por provincia y mes. Las variables independientes se organizan en cuatro categorías: temporales incluyendo año, mes, trimestre y variables de rezago; criminales que comprenden armas incautadas, operativos antidrogas y detenidos; sociales representadas por personas desaparecidas y población provincial; y geográficas mediante codificación categórica de las 24 provincias del país.</w:t>
      </w:r>
    </w:p>
    <w:p>
      <w:r>
        <w:rPr>
          <w:rFonts w:ascii="Times New Roman" w:hAnsi="Times New Roman"/>
          <w:i/>
          <w:sz w:val="22"/>
        </w:rPr>
        <w:t>Tabla 1. Variables utilizadas en el modelo predictivo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Variable</w:t>
            </w:r>
          </w:p>
        </w:tc>
        <w:tc>
          <w:tcPr>
            <w:tcW w:type="dxa" w:w="2351"/>
          </w:tcPr>
          <w:p>
            <w:r>
              <w:rPr>
                <w:rFonts w:ascii="Times New Roman" w:hAnsi="Times New Roman"/>
                <w:b/>
                <w:sz w:val="20"/>
              </w:rPr>
              <w:t>Descripción</w:t>
            </w:r>
          </w:p>
        </w:tc>
        <w:tc>
          <w:tcPr>
            <w:tcW w:type="dxa" w:w="2351"/>
          </w:tcPr>
          <w:p>
            <w:r>
              <w:rPr>
                <w:rFonts w:ascii="Times New Roman" w:hAnsi="Times New Roman"/>
                <w:b/>
                <w:sz w:val="20"/>
              </w:rPr>
              <w:t>Tipo</w:t>
            </w:r>
          </w:p>
        </w:tc>
        <w:tc>
          <w:tcPr>
            <w:tcW w:type="dxa" w:w="2351"/>
          </w:tcPr>
          <w:p>
            <w:r>
              <w:rPr>
                <w:rFonts w:ascii="Times New Roman" w:hAnsi="Times New Roman"/>
                <w:b/>
                <w:sz w:val="20"/>
              </w:rPr>
              <w:t>Fuente</w:t>
            </w:r>
          </w:p>
        </w:tc>
      </w:tr>
      <w:tr>
        <w:tc>
          <w:tcPr>
            <w:tcW w:type="dxa" w:w="2351"/>
          </w:tcPr>
          <w:p>
            <w:r>
              <w:rPr>
                <w:rFonts w:ascii="Times New Roman" w:hAnsi="Times New Roman"/>
                <w:sz w:val="20"/>
              </w:rPr>
              <w:t>Homicidios</w:t>
            </w:r>
          </w:p>
        </w:tc>
        <w:tc>
          <w:tcPr>
            <w:tcW w:type="dxa" w:w="2351"/>
          </w:tcPr>
          <w:p>
            <w:r>
              <w:rPr>
                <w:rFonts w:ascii="Times New Roman" w:hAnsi="Times New Roman"/>
                <w:sz w:val="20"/>
              </w:rPr>
              <w:t>Muertes violentas intencionales por provincia/mes</w:t>
            </w:r>
          </w:p>
        </w:tc>
        <w:tc>
          <w:tcPr>
            <w:tcW w:type="dxa" w:w="2351"/>
          </w:tcPr>
          <w:p>
            <w:r>
              <w:rPr>
                <w:rFonts w:ascii="Times New Roman" w:hAnsi="Times New Roman"/>
                <w:sz w:val="20"/>
              </w:rPr>
              <w:t>Numérica</w:t>
            </w:r>
          </w:p>
        </w:tc>
        <w:tc>
          <w:tcPr>
            <w:tcW w:type="dxa" w:w="2351"/>
          </w:tcPr>
          <w:p>
            <w:r>
              <w:rPr>
                <w:rFonts w:ascii="Times New Roman" w:hAnsi="Times New Roman"/>
                <w:sz w:val="20"/>
              </w:rPr>
              <w:t>MDI</w:t>
            </w:r>
          </w:p>
        </w:tc>
      </w:tr>
      <w:tr>
        <w:tc>
          <w:tcPr>
            <w:tcW w:type="dxa" w:w="2351"/>
          </w:tcPr>
          <w:p>
            <w:r>
              <w:rPr>
                <w:rFonts w:ascii="Times New Roman" w:hAnsi="Times New Roman"/>
                <w:sz w:val="20"/>
              </w:rPr>
              <w:t>Armas</w:t>
            </w:r>
          </w:p>
        </w:tc>
        <w:tc>
          <w:tcPr>
            <w:tcW w:type="dxa" w:w="2351"/>
          </w:tcPr>
          <w:p>
            <w:r>
              <w:rPr>
                <w:rFonts w:ascii="Times New Roman" w:hAnsi="Times New Roman"/>
                <w:sz w:val="20"/>
              </w:rPr>
              <w:t>Armas de fuego incautadas</w:t>
            </w:r>
          </w:p>
        </w:tc>
        <w:tc>
          <w:tcPr>
            <w:tcW w:type="dxa" w:w="2351"/>
          </w:tcPr>
          <w:p>
            <w:r>
              <w:rPr>
                <w:rFonts w:ascii="Times New Roman" w:hAnsi="Times New Roman"/>
                <w:sz w:val="20"/>
              </w:rPr>
              <w:t>Numérica</w:t>
            </w:r>
          </w:p>
        </w:tc>
        <w:tc>
          <w:tcPr>
            <w:tcW w:type="dxa" w:w="2351"/>
          </w:tcPr>
          <w:p>
            <w:r>
              <w:rPr>
                <w:rFonts w:ascii="Times New Roman" w:hAnsi="Times New Roman"/>
                <w:sz w:val="20"/>
              </w:rPr>
              <w:t>MDI</w:t>
            </w:r>
          </w:p>
        </w:tc>
      </w:tr>
      <w:tr>
        <w:tc>
          <w:tcPr>
            <w:tcW w:type="dxa" w:w="2351"/>
          </w:tcPr>
          <w:p>
            <w:r>
              <w:rPr>
                <w:rFonts w:ascii="Times New Roman" w:hAnsi="Times New Roman"/>
                <w:sz w:val="20"/>
              </w:rPr>
              <w:t>Desaparecidos</w:t>
            </w:r>
          </w:p>
        </w:tc>
        <w:tc>
          <w:tcPr>
            <w:tcW w:type="dxa" w:w="2351"/>
          </w:tcPr>
          <w:p>
            <w:r>
              <w:rPr>
                <w:rFonts w:ascii="Times New Roman" w:hAnsi="Times New Roman"/>
                <w:sz w:val="20"/>
              </w:rPr>
              <w:t>Personas reportadas como desaparecidas</w:t>
            </w:r>
          </w:p>
        </w:tc>
        <w:tc>
          <w:tcPr>
            <w:tcW w:type="dxa" w:w="2351"/>
          </w:tcPr>
          <w:p>
            <w:r>
              <w:rPr>
                <w:rFonts w:ascii="Times New Roman" w:hAnsi="Times New Roman"/>
                <w:sz w:val="20"/>
              </w:rPr>
              <w:t>Numérica</w:t>
            </w:r>
          </w:p>
        </w:tc>
        <w:tc>
          <w:tcPr>
            <w:tcW w:type="dxa" w:w="2351"/>
          </w:tcPr>
          <w:p>
            <w:r>
              <w:rPr>
                <w:rFonts w:ascii="Times New Roman" w:hAnsi="Times New Roman"/>
                <w:sz w:val="20"/>
              </w:rPr>
              <w:t>MDI</w:t>
            </w:r>
          </w:p>
        </w:tc>
      </w:tr>
      <w:tr>
        <w:tc>
          <w:tcPr>
            <w:tcW w:type="dxa" w:w="2351"/>
          </w:tcPr>
          <w:p>
            <w:r>
              <w:rPr>
                <w:rFonts w:ascii="Times New Roman" w:hAnsi="Times New Roman"/>
                <w:sz w:val="20"/>
              </w:rPr>
              <w:t>Detenidos</w:t>
            </w:r>
          </w:p>
        </w:tc>
        <w:tc>
          <w:tcPr>
            <w:tcW w:type="dxa" w:w="2351"/>
          </w:tcPr>
          <w:p>
            <w:r>
              <w:rPr>
                <w:rFonts w:ascii="Times New Roman" w:hAnsi="Times New Roman"/>
                <w:sz w:val="20"/>
              </w:rPr>
              <w:t>Personas aprehendidas por la policía</w:t>
            </w:r>
          </w:p>
        </w:tc>
        <w:tc>
          <w:tcPr>
            <w:tcW w:type="dxa" w:w="2351"/>
          </w:tcPr>
          <w:p>
            <w:r>
              <w:rPr>
                <w:rFonts w:ascii="Times New Roman" w:hAnsi="Times New Roman"/>
                <w:sz w:val="20"/>
              </w:rPr>
              <w:t>Numérica</w:t>
            </w:r>
          </w:p>
        </w:tc>
        <w:tc>
          <w:tcPr>
            <w:tcW w:type="dxa" w:w="2351"/>
          </w:tcPr>
          <w:p>
            <w:r>
              <w:rPr>
                <w:rFonts w:ascii="Times New Roman" w:hAnsi="Times New Roman"/>
                <w:sz w:val="20"/>
              </w:rPr>
              <w:t>MDI</w:t>
            </w:r>
          </w:p>
        </w:tc>
      </w:tr>
      <w:tr>
        <w:tc>
          <w:tcPr>
            <w:tcW w:type="dxa" w:w="2351"/>
          </w:tcPr>
          <w:p>
            <w:r>
              <w:rPr>
                <w:rFonts w:ascii="Times New Roman" w:hAnsi="Times New Roman"/>
                <w:sz w:val="20"/>
              </w:rPr>
              <w:t>Drogas</w:t>
            </w:r>
          </w:p>
        </w:tc>
        <w:tc>
          <w:tcPr>
            <w:tcW w:type="dxa" w:w="2351"/>
          </w:tcPr>
          <w:p>
            <w:r>
              <w:rPr>
                <w:rFonts w:ascii="Times New Roman" w:hAnsi="Times New Roman"/>
                <w:sz w:val="20"/>
              </w:rPr>
              <w:t>Operativos antinarcóticos realizados</w:t>
            </w:r>
          </w:p>
        </w:tc>
        <w:tc>
          <w:tcPr>
            <w:tcW w:type="dxa" w:w="2351"/>
          </w:tcPr>
          <w:p>
            <w:r>
              <w:rPr>
                <w:rFonts w:ascii="Times New Roman" w:hAnsi="Times New Roman"/>
                <w:sz w:val="20"/>
              </w:rPr>
              <w:t>Numérica</w:t>
            </w:r>
          </w:p>
        </w:tc>
        <w:tc>
          <w:tcPr>
            <w:tcW w:type="dxa" w:w="2351"/>
          </w:tcPr>
          <w:p>
            <w:r>
              <w:rPr>
                <w:rFonts w:ascii="Times New Roman" w:hAnsi="Times New Roman"/>
                <w:sz w:val="20"/>
              </w:rPr>
              <w:t>MDI</w:t>
            </w:r>
          </w:p>
        </w:tc>
      </w:tr>
      <w:tr>
        <w:tc>
          <w:tcPr>
            <w:tcW w:type="dxa" w:w="2351"/>
          </w:tcPr>
          <w:p>
            <w:r>
              <w:rPr>
                <w:rFonts w:ascii="Times New Roman" w:hAnsi="Times New Roman"/>
                <w:sz w:val="20"/>
              </w:rPr>
              <w:t>Población</w:t>
            </w:r>
          </w:p>
        </w:tc>
        <w:tc>
          <w:tcPr>
            <w:tcW w:type="dxa" w:w="2351"/>
          </w:tcPr>
          <w:p>
            <w:r>
              <w:rPr>
                <w:rFonts w:ascii="Times New Roman" w:hAnsi="Times New Roman"/>
                <w:sz w:val="20"/>
              </w:rPr>
              <w:t>Habitantes por provincia</w:t>
            </w:r>
          </w:p>
        </w:tc>
        <w:tc>
          <w:tcPr>
            <w:tcW w:type="dxa" w:w="2351"/>
          </w:tcPr>
          <w:p>
            <w:r>
              <w:rPr>
                <w:rFonts w:ascii="Times New Roman" w:hAnsi="Times New Roman"/>
                <w:sz w:val="20"/>
              </w:rPr>
              <w:t>Numérica</w:t>
            </w:r>
          </w:p>
        </w:tc>
        <w:tc>
          <w:tcPr>
            <w:tcW w:type="dxa" w:w="2351"/>
          </w:tcPr>
          <w:p>
            <w:r>
              <w:rPr>
                <w:rFonts w:ascii="Times New Roman" w:hAnsi="Times New Roman"/>
                <w:sz w:val="20"/>
              </w:rPr>
              <w:t>INEC</w:t>
            </w:r>
          </w:p>
        </w:tc>
      </w:tr>
      <w:tr>
        <w:tc>
          <w:tcPr>
            <w:tcW w:type="dxa" w:w="2351"/>
          </w:tcPr>
          <w:p>
            <w:r>
              <w:rPr>
                <w:rFonts w:ascii="Times New Roman" w:hAnsi="Times New Roman"/>
                <w:sz w:val="20"/>
              </w:rPr>
              <w:t>Provincia</w:t>
            </w:r>
          </w:p>
        </w:tc>
        <w:tc>
          <w:tcPr>
            <w:tcW w:type="dxa" w:w="2351"/>
          </w:tcPr>
          <w:p>
            <w:r>
              <w:rPr>
                <w:rFonts w:ascii="Times New Roman" w:hAnsi="Times New Roman"/>
                <w:sz w:val="20"/>
              </w:rPr>
              <w:t>División político-administrativa</w:t>
            </w:r>
          </w:p>
        </w:tc>
        <w:tc>
          <w:tcPr>
            <w:tcW w:type="dxa" w:w="2351"/>
          </w:tcPr>
          <w:p>
            <w:r>
              <w:rPr>
                <w:rFonts w:ascii="Times New Roman" w:hAnsi="Times New Roman"/>
                <w:sz w:val="20"/>
              </w:rPr>
              <w:t>Categórica</w:t>
            </w:r>
          </w:p>
        </w:tc>
        <w:tc>
          <w:tcPr>
            <w:tcW w:type="dxa" w:w="2351"/>
          </w:tcPr>
          <w:p>
            <w:r>
              <w:rPr>
                <w:rFonts w:ascii="Times New Roman" w:hAnsi="Times New Roman"/>
                <w:sz w:val="20"/>
              </w:rPr>
              <w:t>INEC</w:t>
            </w:r>
          </w:p>
        </w:tc>
      </w:tr>
      <w:tr>
        <w:tc>
          <w:tcPr>
            <w:tcW w:type="dxa" w:w="2351"/>
          </w:tcPr>
          <w:p>
            <w:r>
              <w:rPr>
                <w:rFonts w:ascii="Times New Roman" w:hAnsi="Times New Roman"/>
                <w:sz w:val="20"/>
              </w:rPr>
              <w:t>Año/Mes</w:t>
            </w:r>
          </w:p>
        </w:tc>
        <w:tc>
          <w:tcPr>
            <w:tcW w:type="dxa" w:w="2351"/>
          </w:tcPr>
          <w:p>
            <w:r>
              <w:rPr>
                <w:rFonts w:ascii="Times New Roman" w:hAnsi="Times New Roman"/>
                <w:sz w:val="20"/>
              </w:rPr>
              <w:t>Período temporal de observación</w:t>
            </w:r>
          </w:p>
        </w:tc>
        <w:tc>
          <w:tcPr>
            <w:tcW w:type="dxa" w:w="2351"/>
          </w:tcPr>
          <w:p>
            <w:r>
              <w:rPr>
                <w:rFonts w:ascii="Times New Roman" w:hAnsi="Times New Roman"/>
                <w:sz w:val="20"/>
              </w:rPr>
              <w:t>Temporal</w:t>
            </w:r>
          </w:p>
        </w:tc>
        <w:tc>
          <w:tcPr>
            <w:tcW w:type="dxa" w:w="2351"/>
          </w:tcPr>
          <w:p>
            <w:r>
              <w:rPr>
                <w:rFonts w:ascii="Times New Roman" w:hAnsi="Times New Roman"/>
                <w:sz w:val="20"/>
              </w:rPr>
              <w:t>Calculada</w:t>
            </w:r>
          </w:p>
        </w:tc>
      </w:tr>
    </w:tbl>
    <w:p>
      <w:r>
        <w:rPr>
          <w:rFonts w:ascii="Times New Roman" w:hAnsi="Times New Roman"/>
          <w:i/>
          <w:sz w:val="20"/>
        </w:rPr>
        <w:t>Fuente: Ministerio del Interior e INEC</w:t>
      </w:r>
    </w:p>
    <w:p/>
    <w:p>
      <w:r>
        <w:rPr>
          <w:rFonts w:ascii="Times New Roman" w:hAnsi="Times New Roman" w:eastAsia="Times New Roman"/>
          <w:b/>
          <w:i w:val="0"/>
          <w:sz w:val="24"/>
        </w:rPr>
        <w:t>Algoritmos Evaluados</w:t>
      </w:r>
    </w:p>
    <w:p>
      <w:pPr>
        <w:jc w:val="both"/>
      </w:pPr>
      <w:r>
        <w:rPr>
          <w:rFonts w:ascii="Times New Roman" w:hAnsi="Times New Roman" w:eastAsia="Times New Roman"/>
          <w:b w:val="0"/>
          <w:i w:val="0"/>
          <w:sz w:val="24"/>
        </w:rPr>
        <w:t>Se implementaron cuatro algoritmos de aprendizaje supervisado seleccionados por su demostrada eficacia en problemas de regresión con datos tabulares. XGBoost es un método de ensamble basado en gradient boosting que construye árboles de decisión secuenciales optimizando una función de pérdida diferenciable. Random Forest genera múltiples árboles independientes y promedia sus predicciones para reducir la varianza. CatBoost es una variante de gradient boosting especialmente diseñada para manejar variables categóricas de manera nativa. Ridge Regression es un modelo lineal regularizado con penalización L2 que sirve como línea base para comparación.</w:t>
      </w:r>
    </w:p>
    <w:p>
      <w:r>
        <w:rPr>
          <w:rFonts w:ascii="Times New Roman" w:hAnsi="Times New Roman" w:eastAsia="Times New Roman"/>
          <w:b/>
          <w:i w:val="0"/>
          <w:sz w:val="24"/>
        </w:rPr>
        <w:t>Validación y Métricas</w:t>
      </w:r>
    </w:p>
    <w:p>
      <w:pPr>
        <w:jc w:val="both"/>
      </w:pPr>
      <w:r>
        <w:rPr>
          <w:rFonts w:ascii="Times New Roman" w:hAnsi="Times New Roman" w:eastAsia="Times New Roman"/>
          <w:b w:val="0"/>
          <w:i w:val="0"/>
          <w:sz w:val="24"/>
        </w:rPr>
        <w:t>Se utilizó una estrategia de validación temporal con división 80/20 donde el conjunto de entrenamiento comprende los años 2014 a 2023 y el de prueba los años 2024 y 2025. Esta aproximación previene el data leakage y simula condiciones reales de predicción futura. Las métricas de evaluación incluyen: coeficiente de determinación R² que indica la proporción de varianza explicada, raíz del error cuadrático medio RMSE que penaliza errores grandes, error absoluto medio MAE que representa el error promedio en unidades originales y error porcentual absoluto medio MAPE que expresa la desviación en términos relativos.</w:t>
      </w:r>
    </w:p>
    <w:p/>
    <w:p>
      <w:r>
        <w:br w:type="page"/>
      </w:r>
    </w:p>
    <w:p>
      <w:pPr>
        <w:jc w:val="center"/>
      </w:pPr>
      <w:r>
        <w:rPr>
          <w:rFonts w:ascii="Times New Roman" w:hAnsi="Times New Roman" w:eastAsia="Times New Roman"/>
          <w:b/>
          <w:i w:val="0"/>
          <w:sz w:val="28"/>
        </w:rPr>
        <w:t>RESULTADOS</w:t>
      </w:r>
    </w:p>
    <w:p>
      <w:r>
        <w:rPr>
          <w:rFonts w:ascii="Times New Roman" w:hAnsi="Times New Roman" w:eastAsia="Times New Roman"/>
          <w:b/>
          <w:i w:val="0"/>
          <w:sz w:val="24"/>
        </w:rPr>
        <w:t>Análisis Descriptivo</w:t>
      </w:r>
    </w:p>
    <w:p>
      <w:pPr>
        <w:jc w:val="both"/>
      </w:pPr>
      <w:r>
        <w:rPr>
          <w:rFonts w:ascii="Times New Roman" w:hAnsi="Times New Roman" w:eastAsia="Times New Roman"/>
          <w:b w:val="0"/>
          <w:i w:val="0"/>
          <w:sz w:val="24"/>
        </w:rPr>
        <w:t>El análisis exploratorio de los datos revela patrones claros en la evolución de la violencia letal en Ecuador. Durante el período 2014-2017 los homicidios se mantuvieron estables alrededor de mil casos anuales con una tasa mínima de 5.7 por cada cien mil habitantes en 2017. A partir de 2021 se observa un punto de inflexión con un incremento del 82% respecto al año anterior que marca el inicio de la crisis de seguridad actual.</w:t>
      </w:r>
    </w:p>
    <w:p>
      <w:r>
        <w:rPr>
          <w:rFonts w:ascii="Times New Roman" w:hAnsi="Times New Roman"/>
          <w:i/>
          <w:sz w:val="22"/>
        </w:rPr>
        <w:t>Tabla 2. Evolución anual de homicidios intencionales en Ecuador (2014-2025)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Año</w:t>
            </w:r>
          </w:p>
        </w:tc>
        <w:tc>
          <w:tcPr>
            <w:tcW w:type="dxa" w:w="2351"/>
          </w:tcPr>
          <w:p>
            <w:r>
              <w:rPr>
                <w:rFonts w:ascii="Times New Roman" w:hAnsi="Times New Roman"/>
                <w:b/>
                <w:sz w:val="20"/>
              </w:rPr>
              <w:t>Homicidios</w:t>
            </w:r>
          </w:p>
        </w:tc>
        <w:tc>
          <w:tcPr>
            <w:tcW w:type="dxa" w:w="2351"/>
          </w:tcPr>
          <w:p>
            <w:r>
              <w:rPr>
                <w:rFonts w:ascii="Times New Roman" w:hAnsi="Times New Roman"/>
                <w:b/>
                <w:sz w:val="20"/>
              </w:rPr>
              <w:t>Tasa x 100k</w:t>
            </w:r>
          </w:p>
        </w:tc>
        <w:tc>
          <w:tcPr>
            <w:tcW w:type="dxa" w:w="2351"/>
          </w:tcPr>
          <w:p>
            <w:r>
              <w:rPr>
                <w:rFonts w:ascii="Times New Roman" w:hAnsi="Times New Roman"/>
                <w:b/>
                <w:sz w:val="20"/>
              </w:rPr>
              <w:t>Variación %</w:t>
            </w:r>
          </w:p>
        </w:tc>
      </w:tr>
      <w:tr>
        <w:tc>
          <w:tcPr>
            <w:tcW w:type="dxa" w:w="2351"/>
          </w:tcPr>
          <w:p>
            <w:r>
              <w:rPr>
                <w:rFonts w:ascii="Times New Roman" w:hAnsi="Times New Roman"/>
                <w:sz w:val="20"/>
              </w:rPr>
              <w:t>2014</w:t>
            </w:r>
          </w:p>
        </w:tc>
        <w:tc>
          <w:tcPr>
            <w:tcW w:type="dxa" w:w="2351"/>
          </w:tcPr>
          <w:p>
            <w:r>
              <w:rPr>
                <w:rFonts w:ascii="Times New Roman" w:hAnsi="Times New Roman"/>
                <w:sz w:val="20"/>
              </w:rPr>
              <w:t>1310</w:t>
            </w:r>
          </w:p>
        </w:tc>
        <w:tc>
          <w:tcPr>
            <w:tcW w:type="dxa" w:w="2351"/>
          </w:tcPr>
          <w:p>
            <w:r>
              <w:rPr>
                <w:rFonts w:ascii="Times New Roman" w:hAnsi="Times New Roman"/>
                <w:sz w:val="20"/>
              </w:rPr>
              <w:t>8.2</w:t>
            </w:r>
          </w:p>
        </w:tc>
        <w:tc>
          <w:tcPr>
            <w:tcW w:type="dxa" w:w="2351"/>
          </w:tcPr>
          <w:p>
            <w:r>
              <w:rPr>
                <w:rFonts w:ascii="Times New Roman" w:hAnsi="Times New Roman"/>
                <w:sz w:val="20"/>
              </w:rPr>
              <w:t>-</w:t>
            </w:r>
          </w:p>
        </w:tc>
      </w:tr>
      <w:tr>
        <w:tc>
          <w:tcPr>
            <w:tcW w:type="dxa" w:w="2351"/>
          </w:tcPr>
          <w:p>
            <w:r>
              <w:rPr>
                <w:rFonts w:ascii="Times New Roman" w:hAnsi="Times New Roman"/>
                <w:sz w:val="20"/>
              </w:rPr>
              <w:t>2015</w:t>
            </w:r>
          </w:p>
        </w:tc>
        <w:tc>
          <w:tcPr>
            <w:tcW w:type="dxa" w:w="2351"/>
          </w:tcPr>
          <w:p>
            <w:r>
              <w:rPr>
                <w:rFonts w:ascii="Times New Roman" w:hAnsi="Times New Roman"/>
                <w:sz w:val="20"/>
              </w:rPr>
              <w:t>1050</w:t>
            </w:r>
          </w:p>
        </w:tc>
        <w:tc>
          <w:tcPr>
            <w:tcW w:type="dxa" w:w="2351"/>
          </w:tcPr>
          <w:p>
            <w:r>
              <w:rPr>
                <w:rFonts w:ascii="Times New Roman" w:hAnsi="Times New Roman"/>
                <w:sz w:val="20"/>
              </w:rPr>
              <w:t>6.4</w:t>
            </w:r>
          </w:p>
        </w:tc>
        <w:tc>
          <w:tcPr>
            <w:tcW w:type="dxa" w:w="2351"/>
          </w:tcPr>
          <w:p>
            <w:r>
              <w:rPr>
                <w:rFonts w:ascii="Times New Roman" w:hAnsi="Times New Roman"/>
                <w:sz w:val="20"/>
              </w:rPr>
              <w:t>-19.8%</w:t>
            </w:r>
          </w:p>
        </w:tc>
      </w:tr>
      <w:tr>
        <w:tc>
          <w:tcPr>
            <w:tcW w:type="dxa" w:w="2351"/>
          </w:tcPr>
          <w:p>
            <w:r>
              <w:rPr>
                <w:rFonts w:ascii="Times New Roman" w:hAnsi="Times New Roman"/>
                <w:sz w:val="20"/>
              </w:rPr>
              <w:t>2016</w:t>
            </w:r>
          </w:p>
        </w:tc>
        <w:tc>
          <w:tcPr>
            <w:tcW w:type="dxa" w:w="2351"/>
          </w:tcPr>
          <w:p>
            <w:r>
              <w:rPr>
                <w:rFonts w:ascii="Times New Roman" w:hAnsi="Times New Roman"/>
                <w:sz w:val="20"/>
              </w:rPr>
              <w:t>959</w:t>
            </w:r>
          </w:p>
        </w:tc>
        <w:tc>
          <w:tcPr>
            <w:tcW w:type="dxa" w:w="2351"/>
          </w:tcPr>
          <w:p>
            <w:r>
              <w:rPr>
                <w:rFonts w:ascii="Times New Roman" w:hAnsi="Times New Roman"/>
                <w:sz w:val="20"/>
              </w:rPr>
              <w:t>5.8</w:t>
            </w:r>
          </w:p>
        </w:tc>
        <w:tc>
          <w:tcPr>
            <w:tcW w:type="dxa" w:w="2351"/>
          </w:tcPr>
          <w:p>
            <w:r>
              <w:rPr>
                <w:rFonts w:ascii="Times New Roman" w:hAnsi="Times New Roman"/>
                <w:sz w:val="20"/>
              </w:rPr>
              <w:t>-8.7%</w:t>
            </w:r>
          </w:p>
        </w:tc>
      </w:tr>
      <w:tr>
        <w:tc>
          <w:tcPr>
            <w:tcW w:type="dxa" w:w="2351"/>
          </w:tcPr>
          <w:p>
            <w:r>
              <w:rPr>
                <w:rFonts w:ascii="Times New Roman" w:hAnsi="Times New Roman"/>
                <w:sz w:val="20"/>
              </w:rPr>
              <w:t>2017</w:t>
            </w:r>
          </w:p>
        </w:tc>
        <w:tc>
          <w:tcPr>
            <w:tcW w:type="dxa" w:w="2351"/>
          </w:tcPr>
          <w:p>
            <w:r>
              <w:rPr>
                <w:rFonts w:ascii="Times New Roman" w:hAnsi="Times New Roman"/>
                <w:sz w:val="20"/>
              </w:rPr>
              <w:t>970</w:t>
            </w:r>
          </w:p>
        </w:tc>
        <w:tc>
          <w:tcPr>
            <w:tcW w:type="dxa" w:w="2351"/>
          </w:tcPr>
          <w:p>
            <w:r>
              <w:rPr>
                <w:rFonts w:ascii="Times New Roman" w:hAnsi="Times New Roman"/>
                <w:sz w:val="20"/>
              </w:rPr>
              <w:t>5.7</w:t>
            </w:r>
          </w:p>
        </w:tc>
        <w:tc>
          <w:tcPr>
            <w:tcW w:type="dxa" w:w="2351"/>
          </w:tcPr>
          <w:p>
            <w:r>
              <w:rPr>
                <w:rFonts w:ascii="Times New Roman" w:hAnsi="Times New Roman"/>
                <w:sz w:val="20"/>
              </w:rPr>
              <w:t>+1.1%</w:t>
            </w:r>
          </w:p>
        </w:tc>
      </w:tr>
      <w:tr>
        <w:tc>
          <w:tcPr>
            <w:tcW w:type="dxa" w:w="2351"/>
          </w:tcPr>
          <w:p>
            <w:r>
              <w:rPr>
                <w:rFonts w:ascii="Times New Roman" w:hAnsi="Times New Roman"/>
                <w:sz w:val="20"/>
              </w:rPr>
              <w:t>2018</w:t>
            </w:r>
          </w:p>
        </w:tc>
        <w:tc>
          <w:tcPr>
            <w:tcW w:type="dxa" w:w="2351"/>
          </w:tcPr>
          <w:p>
            <w:r>
              <w:rPr>
                <w:rFonts w:ascii="Times New Roman" w:hAnsi="Times New Roman"/>
                <w:sz w:val="20"/>
              </w:rPr>
              <w:t>996</w:t>
            </w:r>
          </w:p>
        </w:tc>
        <w:tc>
          <w:tcPr>
            <w:tcW w:type="dxa" w:w="2351"/>
          </w:tcPr>
          <w:p>
            <w:r>
              <w:rPr>
                <w:rFonts w:ascii="Times New Roman" w:hAnsi="Times New Roman"/>
                <w:sz w:val="20"/>
              </w:rPr>
              <w:t>5.8</w:t>
            </w:r>
          </w:p>
        </w:tc>
        <w:tc>
          <w:tcPr>
            <w:tcW w:type="dxa" w:w="2351"/>
          </w:tcPr>
          <w:p>
            <w:r>
              <w:rPr>
                <w:rFonts w:ascii="Times New Roman" w:hAnsi="Times New Roman"/>
                <w:sz w:val="20"/>
              </w:rPr>
              <w:t>+2.7%</w:t>
            </w:r>
          </w:p>
        </w:tc>
      </w:tr>
      <w:tr>
        <w:tc>
          <w:tcPr>
            <w:tcW w:type="dxa" w:w="2351"/>
          </w:tcPr>
          <w:p>
            <w:r>
              <w:rPr>
                <w:rFonts w:ascii="Times New Roman" w:hAnsi="Times New Roman"/>
                <w:sz w:val="20"/>
              </w:rPr>
              <w:t>2019</w:t>
            </w:r>
          </w:p>
        </w:tc>
        <w:tc>
          <w:tcPr>
            <w:tcW w:type="dxa" w:w="2351"/>
          </w:tcPr>
          <w:p>
            <w:r>
              <w:rPr>
                <w:rFonts w:ascii="Times New Roman" w:hAnsi="Times New Roman"/>
                <w:sz w:val="20"/>
              </w:rPr>
              <w:t>1189</w:t>
            </w:r>
          </w:p>
        </w:tc>
        <w:tc>
          <w:tcPr>
            <w:tcW w:type="dxa" w:w="2351"/>
          </w:tcPr>
          <w:p>
            <w:r>
              <w:rPr>
                <w:rFonts w:ascii="Times New Roman" w:hAnsi="Times New Roman"/>
                <w:sz w:val="20"/>
              </w:rPr>
              <w:t>6.8</w:t>
            </w:r>
          </w:p>
        </w:tc>
        <w:tc>
          <w:tcPr>
            <w:tcW w:type="dxa" w:w="2351"/>
          </w:tcPr>
          <w:p>
            <w:r>
              <w:rPr>
                <w:rFonts w:ascii="Times New Roman" w:hAnsi="Times New Roman"/>
                <w:sz w:val="20"/>
              </w:rPr>
              <w:t>+19.4%</w:t>
            </w:r>
          </w:p>
        </w:tc>
      </w:tr>
      <w:tr>
        <w:tc>
          <w:tcPr>
            <w:tcW w:type="dxa" w:w="2351"/>
          </w:tcPr>
          <w:p>
            <w:r>
              <w:rPr>
                <w:rFonts w:ascii="Times New Roman" w:hAnsi="Times New Roman"/>
                <w:sz w:val="20"/>
              </w:rPr>
              <w:t>2020</w:t>
            </w:r>
          </w:p>
        </w:tc>
        <w:tc>
          <w:tcPr>
            <w:tcW w:type="dxa" w:w="2351"/>
          </w:tcPr>
          <w:p>
            <w:r>
              <w:rPr>
                <w:rFonts w:ascii="Times New Roman" w:hAnsi="Times New Roman"/>
                <w:sz w:val="20"/>
              </w:rPr>
              <w:t>1372</w:t>
            </w:r>
          </w:p>
        </w:tc>
        <w:tc>
          <w:tcPr>
            <w:tcW w:type="dxa" w:w="2351"/>
          </w:tcPr>
          <w:p>
            <w:r>
              <w:rPr>
                <w:rFonts w:ascii="Times New Roman" w:hAnsi="Times New Roman"/>
                <w:sz w:val="20"/>
              </w:rPr>
              <w:t>7.8</w:t>
            </w:r>
          </w:p>
        </w:tc>
        <w:tc>
          <w:tcPr>
            <w:tcW w:type="dxa" w:w="2351"/>
          </w:tcPr>
          <w:p>
            <w:r>
              <w:rPr>
                <w:rFonts w:ascii="Times New Roman" w:hAnsi="Times New Roman"/>
                <w:sz w:val="20"/>
              </w:rPr>
              <w:t>+15.4%</w:t>
            </w:r>
          </w:p>
        </w:tc>
      </w:tr>
      <w:tr>
        <w:tc>
          <w:tcPr>
            <w:tcW w:type="dxa" w:w="2351"/>
          </w:tcPr>
          <w:p>
            <w:r>
              <w:rPr>
                <w:rFonts w:ascii="Times New Roman" w:hAnsi="Times New Roman"/>
                <w:sz w:val="20"/>
              </w:rPr>
              <w:t>2021</w:t>
            </w:r>
          </w:p>
        </w:tc>
        <w:tc>
          <w:tcPr>
            <w:tcW w:type="dxa" w:w="2351"/>
          </w:tcPr>
          <w:p>
            <w:r>
              <w:rPr>
                <w:rFonts w:ascii="Times New Roman" w:hAnsi="Times New Roman"/>
                <w:sz w:val="20"/>
              </w:rPr>
              <w:t>2495</w:t>
            </w:r>
          </w:p>
        </w:tc>
        <w:tc>
          <w:tcPr>
            <w:tcW w:type="dxa" w:w="2351"/>
          </w:tcPr>
          <w:p>
            <w:r>
              <w:rPr>
                <w:rFonts w:ascii="Times New Roman" w:hAnsi="Times New Roman"/>
                <w:sz w:val="20"/>
              </w:rPr>
              <w:t>14.0</w:t>
            </w:r>
          </w:p>
        </w:tc>
        <w:tc>
          <w:tcPr>
            <w:tcW w:type="dxa" w:w="2351"/>
          </w:tcPr>
          <w:p>
            <w:r>
              <w:rPr>
                <w:rFonts w:ascii="Times New Roman" w:hAnsi="Times New Roman"/>
                <w:sz w:val="20"/>
              </w:rPr>
              <w:t>+81.9%</w:t>
            </w:r>
          </w:p>
        </w:tc>
      </w:tr>
      <w:tr>
        <w:tc>
          <w:tcPr>
            <w:tcW w:type="dxa" w:w="2351"/>
          </w:tcPr>
          <w:p>
            <w:r>
              <w:rPr>
                <w:rFonts w:ascii="Times New Roman" w:hAnsi="Times New Roman"/>
                <w:sz w:val="20"/>
              </w:rPr>
              <w:t>2022</w:t>
            </w:r>
          </w:p>
        </w:tc>
        <w:tc>
          <w:tcPr>
            <w:tcW w:type="dxa" w:w="2351"/>
          </w:tcPr>
          <w:p>
            <w:r>
              <w:rPr>
                <w:rFonts w:ascii="Times New Roman" w:hAnsi="Times New Roman"/>
                <w:sz w:val="20"/>
              </w:rPr>
              <w:t>4886</w:t>
            </w:r>
          </w:p>
        </w:tc>
        <w:tc>
          <w:tcPr>
            <w:tcW w:type="dxa" w:w="2351"/>
          </w:tcPr>
          <w:p>
            <w:r>
              <w:rPr>
                <w:rFonts w:ascii="Times New Roman" w:hAnsi="Times New Roman"/>
                <w:sz w:val="20"/>
              </w:rPr>
              <w:t>27.2</w:t>
            </w:r>
          </w:p>
        </w:tc>
        <w:tc>
          <w:tcPr>
            <w:tcW w:type="dxa" w:w="2351"/>
          </w:tcPr>
          <w:p>
            <w:r>
              <w:rPr>
                <w:rFonts w:ascii="Times New Roman" w:hAnsi="Times New Roman"/>
                <w:sz w:val="20"/>
              </w:rPr>
              <w:t>+95.8%</w:t>
            </w:r>
          </w:p>
        </w:tc>
      </w:tr>
      <w:tr>
        <w:tc>
          <w:tcPr>
            <w:tcW w:type="dxa" w:w="2351"/>
          </w:tcPr>
          <w:p>
            <w:r>
              <w:rPr>
                <w:rFonts w:ascii="Times New Roman" w:hAnsi="Times New Roman"/>
                <w:sz w:val="20"/>
              </w:rPr>
              <w:t>2023</w:t>
            </w:r>
          </w:p>
        </w:tc>
        <w:tc>
          <w:tcPr>
            <w:tcW w:type="dxa" w:w="2351"/>
          </w:tcPr>
          <w:p>
            <w:r>
              <w:rPr>
                <w:rFonts w:ascii="Times New Roman" w:hAnsi="Times New Roman"/>
                <w:sz w:val="20"/>
              </w:rPr>
              <w:t>8248</w:t>
            </w:r>
          </w:p>
        </w:tc>
        <w:tc>
          <w:tcPr>
            <w:tcW w:type="dxa" w:w="2351"/>
          </w:tcPr>
          <w:p>
            <w:r>
              <w:rPr>
                <w:rFonts w:ascii="Times New Roman" w:hAnsi="Times New Roman"/>
                <w:sz w:val="20"/>
              </w:rPr>
              <w:t>47.25</w:t>
            </w:r>
          </w:p>
        </w:tc>
        <w:tc>
          <w:tcPr>
            <w:tcW w:type="dxa" w:w="2351"/>
          </w:tcPr>
          <w:p>
            <w:r>
              <w:rPr>
                <w:rFonts w:ascii="Times New Roman" w:hAnsi="Times New Roman"/>
                <w:sz w:val="20"/>
              </w:rPr>
              <w:t>+68.8%</w:t>
            </w:r>
          </w:p>
        </w:tc>
      </w:tr>
      <w:tr>
        <w:tc>
          <w:tcPr>
            <w:tcW w:type="dxa" w:w="2351"/>
          </w:tcPr>
          <w:p>
            <w:r>
              <w:rPr>
                <w:rFonts w:ascii="Times New Roman" w:hAnsi="Times New Roman"/>
                <w:sz w:val="20"/>
              </w:rPr>
              <w:t>2024</w:t>
            </w:r>
          </w:p>
        </w:tc>
        <w:tc>
          <w:tcPr>
            <w:tcW w:type="dxa" w:w="2351"/>
          </w:tcPr>
          <w:p>
            <w:r>
              <w:rPr>
                <w:rFonts w:ascii="Times New Roman" w:hAnsi="Times New Roman"/>
                <w:sz w:val="20"/>
              </w:rPr>
              <w:t>7063</w:t>
            </w:r>
          </w:p>
        </w:tc>
        <w:tc>
          <w:tcPr>
            <w:tcW w:type="dxa" w:w="2351"/>
          </w:tcPr>
          <w:p>
            <w:r>
              <w:rPr>
                <w:rFonts w:ascii="Times New Roman" w:hAnsi="Times New Roman"/>
                <w:sz w:val="20"/>
              </w:rPr>
              <w:t>38.2</w:t>
            </w:r>
          </w:p>
        </w:tc>
        <w:tc>
          <w:tcPr>
            <w:tcW w:type="dxa" w:w="2351"/>
          </w:tcPr>
          <w:p>
            <w:r>
              <w:rPr>
                <w:rFonts w:ascii="Times New Roman" w:hAnsi="Times New Roman"/>
                <w:sz w:val="20"/>
              </w:rPr>
              <w:t>-14.4%</w:t>
            </w:r>
          </w:p>
        </w:tc>
      </w:tr>
      <w:tr>
        <w:tc>
          <w:tcPr>
            <w:tcW w:type="dxa" w:w="2351"/>
          </w:tcPr>
          <w:p>
            <w:r>
              <w:rPr>
                <w:rFonts w:ascii="Times New Roman" w:hAnsi="Times New Roman"/>
                <w:sz w:val="20"/>
              </w:rPr>
              <w:t>2025*</w:t>
            </w:r>
          </w:p>
        </w:tc>
        <w:tc>
          <w:tcPr>
            <w:tcW w:type="dxa" w:w="2351"/>
          </w:tcPr>
          <w:p>
            <w:r>
              <w:rPr>
                <w:rFonts w:ascii="Times New Roman" w:hAnsi="Times New Roman"/>
                <w:sz w:val="20"/>
              </w:rPr>
              <w:t>8393</w:t>
            </w:r>
          </w:p>
        </w:tc>
        <w:tc>
          <w:tcPr>
            <w:tcW w:type="dxa" w:w="2351"/>
          </w:tcPr>
          <w:p>
            <w:r>
              <w:rPr>
                <w:rFonts w:ascii="Times New Roman" w:hAnsi="Times New Roman"/>
                <w:sz w:val="20"/>
              </w:rPr>
              <w:t>47.8</w:t>
            </w:r>
          </w:p>
        </w:tc>
        <w:tc>
          <w:tcPr>
            <w:tcW w:type="dxa" w:w="2351"/>
          </w:tcPr>
          <w:p>
            <w:r>
              <w:rPr>
                <w:rFonts w:ascii="Times New Roman" w:hAnsi="Times New Roman"/>
                <w:sz w:val="20"/>
              </w:rPr>
              <w:t>+18.8%</w:t>
            </w:r>
          </w:p>
        </w:tc>
      </w:tr>
    </w:tbl>
    <w:p>
      <w:r>
        <w:rPr>
          <w:rFonts w:ascii="Times New Roman" w:hAnsi="Times New Roman"/>
          <w:i/>
          <w:sz w:val="20"/>
        </w:rPr>
        <w:t>Fuente: Ministerio del Interior. *Datos hasta noviembre 2025</w:t>
      </w:r>
    </w:p>
    <w:p/>
    <w:p>
      <w:pPr>
        <w:jc w:val="both"/>
      </w:pPr>
      <w:r>
        <w:rPr>
          <w:rFonts w:ascii="Times New Roman" w:hAnsi="Times New Roman" w:eastAsia="Times New Roman"/>
          <w:b w:val="0"/>
          <w:i w:val="0"/>
          <w:sz w:val="24"/>
        </w:rPr>
        <w:t>El año 2023 registró el máximo histórico con 8248 homicidios y una tasa de 47.25 por cada cien mil habitantes. Aunque 2024 mostró una reducción del 14% respecto al año anterior los datos parciales de 2025 indican un repunte alarmante que ya supera el récord previo con más de 8300 muertes violentas en los primeros once meses.</w:t>
      </w:r>
    </w:p>
    <w:p>
      <w:r>
        <w:rPr>
          <w:rFonts w:ascii="Times New Roman" w:hAnsi="Times New Roman" w:eastAsia="Times New Roman"/>
          <w:b/>
          <w:i w:val="0"/>
          <w:sz w:val="24"/>
        </w:rPr>
        <w:t>Distribución Geográfica</w:t>
      </w:r>
    </w:p>
    <w:p>
      <w:pPr>
        <w:jc w:val="both"/>
      </w:pPr>
      <w:r>
        <w:rPr>
          <w:rFonts w:ascii="Times New Roman" w:hAnsi="Times New Roman" w:eastAsia="Times New Roman"/>
          <w:b w:val="0"/>
          <w:i w:val="0"/>
          <w:sz w:val="24"/>
        </w:rPr>
        <w:t>La violencia presenta una marcada concentración geográfica en las provincias costeras. Guayas acumula el 47% de todos los homicidios del período seguida por Manabí con 8.4%, Los Ríos con 8%, Esmeraldas con 5.2% y El Oro con 5.4%. Estas cinco provincias concentran el 74% de las muertes violentas del país mientras que la Sierra y Amazonía registran niveles significativamente menores.</w:t>
      </w:r>
    </w:p>
    <w:p>
      <w:r>
        <w:rPr>
          <w:rFonts w:ascii="Times New Roman" w:hAnsi="Times New Roman"/>
          <w:i/>
          <w:sz w:val="22"/>
        </w:rPr>
        <w:t>Tabla 3. Distribución de homicidios por provincia (2023)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Provincia</w:t>
            </w:r>
          </w:p>
        </w:tc>
        <w:tc>
          <w:tcPr>
            <w:tcW w:type="dxa" w:w="2351"/>
          </w:tcPr>
          <w:p>
            <w:r>
              <w:rPr>
                <w:rFonts w:ascii="Times New Roman" w:hAnsi="Times New Roman"/>
                <w:b/>
                <w:sz w:val="20"/>
              </w:rPr>
              <w:t>Homicidios 2023</w:t>
            </w:r>
          </w:p>
        </w:tc>
        <w:tc>
          <w:tcPr>
            <w:tcW w:type="dxa" w:w="2351"/>
          </w:tcPr>
          <w:p>
            <w:r>
              <w:rPr>
                <w:rFonts w:ascii="Times New Roman" w:hAnsi="Times New Roman"/>
                <w:b/>
                <w:sz w:val="20"/>
              </w:rPr>
              <w:t>% del Total</w:t>
            </w:r>
          </w:p>
        </w:tc>
        <w:tc>
          <w:tcPr>
            <w:tcW w:type="dxa" w:w="2351"/>
          </w:tcPr>
          <w:p>
            <w:r>
              <w:rPr>
                <w:rFonts w:ascii="Times New Roman" w:hAnsi="Times New Roman"/>
                <w:b/>
                <w:sz w:val="20"/>
              </w:rPr>
              <w:t>Tasa x 100k</w:t>
            </w:r>
          </w:p>
        </w:tc>
      </w:tr>
      <w:tr>
        <w:tc>
          <w:tcPr>
            <w:tcW w:type="dxa" w:w="2351"/>
          </w:tcPr>
          <w:p>
            <w:r>
              <w:rPr>
                <w:rFonts w:ascii="Times New Roman" w:hAnsi="Times New Roman"/>
                <w:sz w:val="20"/>
              </w:rPr>
              <w:t>GUAYAS</w:t>
            </w:r>
          </w:p>
        </w:tc>
        <w:tc>
          <w:tcPr>
            <w:tcW w:type="dxa" w:w="2351"/>
          </w:tcPr>
          <w:p>
            <w:r>
              <w:rPr>
                <w:rFonts w:ascii="Times New Roman" w:hAnsi="Times New Roman"/>
                <w:sz w:val="20"/>
              </w:rPr>
              <w:t>3890</w:t>
            </w:r>
          </w:p>
        </w:tc>
        <w:tc>
          <w:tcPr>
            <w:tcW w:type="dxa" w:w="2351"/>
          </w:tcPr>
          <w:p>
            <w:r>
              <w:rPr>
                <w:rFonts w:ascii="Times New Roman" w:hAnsi="Times New Roman"/>
                <w:sz w:val="20"/>
              </w:rPr>
              <w:t>47.2%</w:t>
            </w:r>
          </w:p>
        </w:tc>
        <w:tc>
          <w:tcPr>
            <w:tcW w:type="dxa" w:w="2351"/>
          </w:tcPr>
          <w:p>
            <w:r>
              <w:rPr>
                <w:rFonts w:ascii="Times New Roman" w:hAnsi="Times New Roman"/>
                <w:sz w:val="20"/>
              </w:rPr>
              <w:t>85.4</w:t>
            </w:r>
          </w:p>
        </w:tc>
      </w:tr>
      <w:tr>
        <w:tc>
          <w:tcPr>
            <w:tcW w:type="dxa" w:w="2351"/>
          </w:tcPr>
          <w:p>
            <w:r>
              <w:rPr>
                <w:rFonts w:ascii="Times New Roman" w:hAnsi="Times New Roman"/>
                <w:sz w:val="20"/>
              </w:rPr>
              <w:t>MANABÍ</w:t>
            </w:r>
          </w:p>
        </w:tc>
        <w:tc>
          <w:tcPr>
            <w:tcW w:type="dxa" w:w="2351"/>
          </w:tcPr>
          <w:p>
            <w:r>
              <w:rPr>
                <w:rFonts w:ascii="Times New Roman" w:hAnsi="Times New Roman"/>
                <w:sz w:val="20"/>
              </w:rPr>
              <w:t>876</w:t>
            </w:r>
          </w:p>
        </w:tc>
        <w:tc>
          <w:tcPr>
            <w:tcW w:type="dxa" w:w="2351"/>
          </w:tcPr>
          <w:p>
            <w:r>
              <w:rPr>
                <w:rFonts w:ascii="Times New Roman" w:hAnsi="Times New Roman"/>
                <w:sz w:val="20"/>
              </w:rPr>
              <w:t>10.6%</w:t>
            </w:r>
          </w:p>
        </w:tc>
        <w:tc>
          <w:tcPr>
            <w:tcW w:type="dxa" w:w="2351"/>
          </w:tcPr>
          <w:p>
            <w:r>
              <w:rPr>
                <w:rFonts w:ascii="Times New Roman" w:hAnsi="Times New Roman"/>
                <w:sz w:val="20"/>
              </w:rPr>
              <w:t>56.2</w:t>
            </w:r>
          </w:p>
        </w:tc>
      </w:tr>
      <w:tr>
        <w:tc>
          <w:tcPr>
            <w:tcW w:type="dxa" w:w="2351"/>
          </w:tcPr>
          <w:p>
            <w:r>
              <w:rPr>
                <w:rFonts w:ascii="Times New Roman" w:hAnsi="Times New Roman"/>
                <w:sz w:val="20"/>
              </w:rPr>
              <w:t>LOS RÍOS</w:t>
            </w:r>
          </w:p>
        </w:tc>
        <w:tc>
          <w:tcPr>
            <w:tcW w:type="dxa" w:w="2351"/>
          </w:tcPr>
          <w:p>
            <w:r>
              <w:rPr>
                <w:rFonts w:ascii="Times New Roman" w:hAnsi="Times New Roman"/>
                <w:sz w:val="20"/>
              </w:rPr>
              <w:t>812</w:t>
            </w:r>
          </w:p>
        </w:tc>
        <w:tc>
          <w:tcPr>
            <w:tcW w:type="dxa" w:w="2351"/>
          </w:tcPr>
          <w:p>
            <w:r>
              <w:rPr>
                <w:rFonts w:ascii="Times New Roman" w:hAnsi="Times New Roman"/>
                <w:sz w:val="20"/>
              </w:rPr>
              <w:t>9.8%</w:t>
            </w:r>
          </w:p>
        </w:tc>
        <w:tc>
          <w:tcPr>
            <w:tcW w:type="dxa" w:w="2351"/>
          </w:tcPr>
          <w:p>
            <w:r>
              <w:rPr>
                <w:rFonts w:ascii="Times New Roman" w:hAnsi="Times New Roman"/>
                <w:sz w:val="20"/>
              </w:rPr>
              <w:t>92.8</w:t>
            </w:r>
          </w:p>
        </w:tc>
      </w:tr>
      <w:tr>
        <w:tc>
          <w:tcPr>
            <w:tcW w:type="dxa" w:w="2351"/>
          </w:tcPr>
          <w:p>
            <w:r>
              <w:rPr>
                <w:rFonts w:ascii="Times New Roman" w:hAnsi="Times New Roman"/>
                <w:sz w:val="20"/>
              </w:rPr>
              <w:t>ESMERALDAS</w:t>
            </w:r>
          </w:p>
        </w:tc>
        <w:tc>
          <w:tcPr>
            <w:tcW w:type="dxa" w:w="2351"/>
          </w:tcPr>
          <w:p>
            <w:r>
              <w:rPr>
                <w:rFonts w:ascii="Times New Roman" w:hAnsi="Times New Roman"/>
                <w:sz w:val="20"/>
              </w:rPr>
              <w:t>598</w:t>
            </w:r>
          </w:p>
        </w:tc>
        <w:tc>
          <w:tcPr>
            <w:tcW w:type="dxa" w:w="2351"/>
          </w:tcPr>
          <w:p>
            <w:r>
              <w:rPr>
                <w:rFonts w:ascii="Times New Roman" w:hAnsi="Times New Roman"/>
                <w:sz w:val="20"/>
              </w:rPr>
              <w:t>7.2%</w:t>
            </w:r>
          </w:p>
        </w:tc>
        <w:tc>
          <w:tcPr>
            <w:tcW w:type="dxa" w:w="2351"/>
          </w:tcPr>
          <w:p>
            <w:r>
              <w:rPr>
                <w:rFonts w:ascii="Times New Roman" w:hAnsi="Times New Roman"/>
                <w:sz w:val="20"/>
              </w:rPr>
              <w:t>98.5</w:t>
            </w:r>
          </w:p>
        </w:tc>
      </w:tr>
      <w:tr>
        <w:tc>
          <w:tcPr>
            <w:tcW w:type="dxa" w:w="2351"/>
          </w:tcPr>
          <w:p>
            <w:r>
              <w:rPr>
                <w:rFonts w:ascii="Times New Roman" w:hAnsi="Times New Roman"/>
                <w:sz w:val="20"/>
              </w:rPr>
              <w:t>EL ORO</w:t>
            </w:r>
          </w:p>
        </w:tc>
        <w:tc>
          <w:tcPr>
            <w:tcW w:type="dxa" w:w="2351"/>
          </w:tcPr>
          <w:p>
            <w:r>
              <w:rPr>
                <w:rFonts w:ascii="Times New Roman" w:hAnsi="Times New Roman"/>
                <w:sz w:val="20"/>
              </w:rPr>
              <w:t>567</w:t>
            </w:r>
          </w:p>
        </w:tc>
        <w:tc>
          <w:tcPr>
            <w:tcW w:type="dxa" w:w="2351"/>
          </w:tcPr>
          <w:p>
            <w:r>
              <w:rPr>
                <w:rFonts w:ascii="Times New Roman" w:hAnsi="Times New Roman"/>
                <w:sz w:val="20"/>
              </w:rPr>
              <w:t>6.9%</w:t>
            </w:r>
          </w:p>
        </w:tc>
        <w:tc>
          <w:tcPr>
            <w:tcW w:type="dxa" w:w="2351"/>
          </w:tcPr>
          <w:p>
            <w:r>
              <w:rPr>
                <w:rFonts w:ascii="Times New Roman" w:hAnsi="Times New Roman"/>
                <w:sz w:val="20"/>
              </w:rPr>
              <w:t>82.1</w:t>
            </w:r>
          </w:p>
        </w:tc>
      </w:tr>
      <w:tr>
        <w:tc>
          <w:tcPr>
            <w:tcW w:type="dxa" w:w="2351"/>
          </w:tcPr>
          <w:p>
            <w:r>
              <w:rPr>
                <w:rFonts w:ascii="Times New Roman" w:hAnsi="Times New Roman"/>
                <w:sz w:val="20"/>
              </w:rPr>
              <w:t>PICHINCHA</w:t>
            </w:r>
          </w:p>
        </w:tc>
        <w:tc>
          <w:tcPr>
            <w:tcW w:type="dxa" w:w="2351"/>
          </w:tcPr>
          <w:p>
            <w:r>
              <w:rPr>
                <w:rFonts w:ascii="Times New Roman" w:hAnsi="Times New Roman"/>
                <w:sz w:val="20"/>
              </w:rPr>
              <w:t>456</w:t>
            </w:r>
          </w:p>
        </w:tc>
        <w:tc>
          <w:tcPr>
            <w:tcW w:type="dxa" w:w="2351"/>
          </w:tcPr>
          <w:p>
            <w:r>
              <w:rPr>
                <w:rFonts w:ascii="Times New Roman" w:hAnsi="Times New Roman"/>
                <w:sz w:val="20"/>
              </w:rPr>
              <w:t>5.5%</w:t>
            </w:r>
          </w:p>
        </w:tc>
        <w:tc>
          <w:tcPr>
            <w:tcW w:type="dxa" w:w="2351"/>
          </w:tcPr>
          <w:p>
            <w:r>
              <w:rPr>
                <w:rFonts w:ascii="Times New Roman" w:hAnsi="Times New Roman"/>
                <w:sz w:val="20"/>
              </w:rPr>
              <w:t>14.8</w:t>
            </w:r>
          </w:p>
        </w:tc>
      </w:tr>
      <w:tr>
        <w:tc>
          <w:tcPr>
            <w:tcW w:type="dxa" w:w="2351"/>
          </w:tcPr>
          <w:p>
            <w:r>
              <w:rPr>
                <w:rFonts w:ascii="Times New Roman" w:hAnsi="Times New Roman"/>
                <w:sz w:val="20"/>
              </w:rPr>
              <w:t>SANTO DOMINGO</w:t>
            </w:r>
          </w:p>
        </w:tc>
        <w:tc>
          <w:tcPr>
            <w:tcW w:type="dxa" w:w="2351"/>
          </w:tcPr>
          <w:p>
            <w:r>
              <w:rPr>
                <w:rFonts w:ascii="Times New Roman" w:hAnsi="Times New Roman"/>
                <w:sz w:val="20"/>
              </w:rPr>
              <w:t>423</w:t>
            </w:r>
          </w:p>
        </w:tc>
        <w:tc>
          <w:tcPr>
            <w:tcW w:type="dxa" w:w="2351"/>
          </w:tcPr>
          <w:p>
            <w:r>
              <w:rPr>
                <w:rFonts w:ascii="Times New Roman" w:hAnsi="Times New Roman"/>
                <w:sz w:val="20"/>
              </w:rPr>
              <w:t>5.1%</w:t>
            </w:r>
          </w:p>
        </w:tc>
        <w:tc>
          <w:tcPr>
            <w:tcW w:type="dxa" w:w="2351"/>
          </w:tcPr>
          <w:p>
            <w:r>
              <w:rPr>
                <w:rFonts w:ascii="Times New Roman" w:hAnsi="Times New Roman"/>
                <w:sz w:val="20"/>
              </w:rPr>
              <w:t>102.4</w:t>
            </w:r>
          </w:p>
        </w:tc>
      </w:tr>
      <w:tr>
        <w:tc>
          <w:tcPr>
            <w:tcW w:type="dxa" w:w="2351"/>
          </w:tcPr>
          <w:p>
            <w:r>
              <w:rPr>
                <w:rFonts w:ascii="Times New Roman" w:hAnsi="Times New Roman"/>
                <w:sz w:val="20"/>
              </w:rPr>
              <w:t>SUCUMBÍOS</w:t>
            </w:r>
          </w:p>
        </w:tc>
        <w:tc>
          <w:tcPr>
            <w:tcW w:type="dxa" w:w="2351"/>
          </w:tcPr>
          <w:p>
            <w:r>
              <w:rPr>
                <w:rFonts w:ascii="Times New Roman" w:hAnsi="Times New Roman"/>
                <w:sz w:val="20"/>
              </w:rPr>
              <w:t>312</w:t>
            </w:r>
          </w:p>
        </w:tc>
        <w:tc>
          <w:tcPr>
            <w:tcW w:type="dxa" w:w="2351"/>
          </w:tcPr>
          <w:p>
            <w:r>
              <w:rPr>
                <w:rFonts w:ascii="Times New Roman" w:hAnsi="Times New Roman"/>
                <w:sz w:val="20"/>
              </w:rPr>
              <w:t>3.8%</w:t>
            </w:r>
          </w:p>
        </w:tc>
        <w:tc>
          <w:tcPr>
            <w:tcW w:type="dxa" w:w="2351"/>
          </w:tcPr>
          <w:p>
            <w:r>
              <w:rPr>
                <w:rFonts w:ascii="Times New Roman" w:hAnsi="Times New Roman"/>
                <w:sz w:val="20"/>
              </w:rPr>
              <w:t>145.2</w:t>
            </w:r>
          </w:p>
        </w:tc>
      </w:tr>
      <w:tr>
        <w:tc>
          <w:tcPr>
            <w:tcW w:type="dxa" w:w="2351"/>
          </w:tcPr>
          <w:p>
            <w:r>
              <w:rPr>
                <w:rFonts w:ascii="Times New Roman" w:hAnsi="Times New Roman"/>
                <w:sz w:val="20"/>
              </w:rPr>
              <w:t>SANTA ELENA</w:t>
            </w:r>
          </w:p>
        </w:tc>
        <w:tc>
          <w:tcPr>
            <w:tcW w:type="dxa" w:w="2351"/>
          </w:tcPr>
          <w:p>
            <w:r>
              <w:rPr>
                <w:rFonts w:ascii="Times New Roman" w:hAnsi="Times New Roman"/>
                <w:sz w:val="20"/>
              </w:rPr>
              <w:t>287</w:t>
            </w:r>
          </w:p>
        </w:tc>
        <w:tc>
          <w:tcPr>
            <w:tcW w:type="dxa" w:w="2351"/>
          </w:tcPr>
          <w:p>
            <w:r>
              <w:rPr>
                <w:rFonts w:ascii="Times New Roman" w:hAnsi="Times New Roman"/>
                <w:sz w:val="20"/>
              </w:rPr>
              <w:t>3.5%</w:t>
            </w:r>
          </w:p>
        </w:tc>
        <w:tc>
          <w:tcPr>
            <w:tcW w:type="dxa" w:w="2351"/>
          </w:tcPr>
          <w:p>
            <w:r>
              <w:rPr>
                <w:rFonts w:ascii="Times New Roman" w:hAnsi="Times New Roman"/>
                <w:sz w:val="20"/>
              </w:rPr>
              <w:t>68.4</w:t>
            </w:r>
          </w:p>
        </w:tc>
      </w:tr>
      <w:tr>
        <w:tc>
          <w:tcPr>
            <w:tcW w:type="dxa" w:w="2351"/>
          </w:tcPr>
          <w:p>
            <w:r>
              <w:rPr>
                <w:rFonts w:ascii="Times New Roman" w:hAnsi="Times New Roman"/>
                <w:sz w:val="20"/>
              </w:rPr>
              <w:t>OTRAS</w:t>
            </w:r>
          </w:p>
        </w:tc>
        <w:tc>
          <w:tcPr>
            <w:tcW w:type="dxa" w:w="2351"/>
          </w:tcPr>
          <w:p>
            <w:r>
              <w:rPr>
                <w:rFonts w:ascii="Times New Roman" w:hAnsi="Times New Roman"/>
                <w:sz w:val="20"/>
              </w:rPr>
              <w:t>27</w:t>
            </w:r>
          </w:p>
        </w:tc>
        <w:tc>
          <w:tcPr>
            <w:tcW w:type="dxa" w:w="2351"/>
          </w:tcPr>
          <w:p>
            <w:r>
              <w:rPr>
                <w:rFonts w:ascii="Times New Roman" w:hAnsi="Times New Roman"/>
                <w:sz w:val="20"/>
              </w:rPr>
              <w:t>0.3%</w:t>
            </w:r>
          </w:p>
        </w:tc>
        <w:tc>
          <w:tcPr>
            <w:tcW w:type="dxa" w:w="2351"/>
          </w:tcPr>
          <w:p>
            <w:r>
              <w:rPr>
                <w:rFonts w:ascii="Times New Roman" w:hAnsi="Times New Roman"/>
                <w:sz w:val="20"/>
              </w:rPr>
              <w:t>Var.</w:t>
            </w:r>
          </w:p>
        </w:tc>
      </w:tr>
    </w:tbl>
    <w:p>
      <w:r>
        <w:rPr>
          <w:rFonts w:ascii="Times New Roman" w:hAnsi="Times New Roman"/>
          <w:i/>
          <w:sz w:val="20"/>
        </w:rPr>
        <w:t>Fuente: Ministerio del Interior</w:t>
      </w:r>
    </w:p>
    <w:p/>
    <w:p>
      <w:r>
        <w:rPr>
          <w:rFonts w:ascii="Times New Roman" w:hAnsi="Times New Roman" w:eastAsia="Times New Roman"/>
          <w:b/>
          <w:i w:val="0"/>
          <w:sz w:val="24"/>
        </w:rPr>
        <w:t>Rendimiento de los Modelos</w:t>
      </w:r>
    </w:p>
    <w:p>
      <w:pPr>
        <w:jc w:val="both"/>
      </w:pPr>
      <w:r>
        <w:rPr>
          <w:rFonts w:ascii="Times New Roman" w:hAnsi="Times New Roman" w:eastAsia="Times New Roman"/>
          <w:b w:val="0"/>
          <w:i w:val="0"/>
          <w:sz w:val="24"/>
        </w:rPr>
        <w:t>Los cuatro algoritmos evaluados superaron el 90% de varianza explicada lo que indica alta capacidad predictiva sobre los datos de prueba. XGBoost obtuvo el mejor desempeño global con un R² de 96.85% seguido por Random Forest con 95.32%, CatBoost con 91.55% y Ridge Regression con 90.45%.</w:t>
      </w:r>
    </w:p>
    <w:p>
      <w:r>
        <w:rPr>
          <w:rFonts w:ascii="Times New Roman" w:hAnsi="Times New Roman"/>
          <w:i/>
          <w:sz w:val="22"/>
        </w:rPr>
        <w:t>Tabla 4. Comparación de rendimiento de modelos de machine learning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Modelo</w:t>
            </w:r>
          </w:p>
        </w:tc>
        <w:tc>
          <w:tcPr>
            <w:tcW w:type="dxa" w:w="1881"/>
          </w:tcPr>
          <w:p>
            <w:r>
              <w:rPr>
                <w:rFonts w:ascii="Times New Roman" w:hAnsi="Times New Roman"/>
                <w:b/>
                <w:sz w:val="20"/>
              </w:rPr>
              <w:t>R² (%)</w:t>
            </w:r>
          </w:p>
        </w:tc>
        <w:tc>
          <w:tcPr>
            <w:tcW w:type="dxa" w:w="1881"/>
          </w:tcPr>
          <w:p>
            <w:r>
              <w:rPr>
                <w:rFonts w:ascii="Times New Roman" w:hAnsi="Times New Roman"/>
                <w:b/>
                <w:sz w:val="20"/>
              </w:rPr>
              <w:t>RMSE</w:t>
            </w:r>
          </w:p>
        </w:tc>
        <w:tc>
          <w:tcPr>
            <w:tcW w:type="dxa" w:w="1881"/>
          </w:tcPr>
          <w:p>
            <w:r>
              <w:rPr>
                <w:rFonts w:ascii="Times New Roman" w:hAnsi="Times New Roman"/>
                <w:b/>
                <w:sz w:val="20"/>
              </w:rPr>
              <w:t>MAE</w:t>
            </w:r>
          </w:p>
        </w:tc>
        <w:tc>
          <w:tcPr>
            <w:tcW w:type="dxa" w:w="1881"/>
          </w:tcPr>
          <w:p>
            <w:r>
              <w:rPr>
                <w:rFonts w:ascii="Times New Roman" w:hAnsi="Times New Roman"/>
                <w:b/>
                <w:sz w:val="20"/>
              </w:rPr>
              <w:t>MAPE (%)</w:t>
            </w:r>
          </w:p>
        </w:tc>
      </w:tr>
      <w:tr>
        <w:tc>
          <w:tcPr>
            <w:tcW w:type="dxa" w:w="1881"/>
          </w:tcPr>
          <w:p>
            <w:r>
              <w:rPr>
                <w:rFonts w:ascii="Times New Roman" w:hAnsi="Times New Roman"/>
                <w:sz w:val="20"/>
              </w:rPr>
              <w:t>XGBoost</w:t>
            </w:r>
          </w:p>
        </w:tc>
        <w:tc>
          <w:tcPr>
            <w:tcW w:type="dxa" w:w="1881"/>
          </w:tcPr>
          <w:p>
            <w:r>
              <w:rPr>
                <w:rFonts w:ascii="Times New Roman" w:hAnsi="Times New Roman"/>
                <w:sz w:val="20"/>
              </w:rPr>
              <w:t>96.85</w:t>
            </w:r>
          </w:p>
        </w:tc>
        <w:tc>
          <w:tcPr>
            <w:tcW w:type="dxa" w:w="1881"/>
          </w:tcPr>
          <w:p>
            <w:r>
              <w:rPr>
                <w:rFonts w:ascii="Times New Roman" w:hAnsi="Times New Roman"/>
                <w:sz w:val="20"/>
              </w:rPr>
              <w:t>2.71</w:t>
            </w:r>
          </w:p>
        </w:tc>
        <w:tc>
          <w:tcPr>
            <w:tcW w:type="dxa" w:w="1881"/>
          </w:tcPr>
          <w:p>
            <w:r>
              <w:rPr>
                <w:rFonts w:ascii="Times New Roman" w:hAnsi="Times New Roman"/>
                <w:sz w:val="20"/>
              </w:rPr>
              <w:t>1.15</w:t>
            </w:r>
          </w:p>
        </w:tc>
        <w:tc>
          <w:tcPr>
            <w:tcW w:type="dxa" w:w="1881"/>
          </w:tcPr>
          <w:p>
            <w:r>
              <w:rPr>
                <w:rFonts w:ascii="Times New Roman" w:hAnsi="Times New Roman"/>
                <w:sz w:val="20"/>
              </w:rPr>
              <w:t>27.35</w:t>
            </w:r>
          </w:p>
        </w:tc>
      </w:tr>
      <w:tr>
        <w:tc>
          <w:tcPr>
            <w:tcW w:type="dxa" w:w="1881"/>
          </w:tcPr>
          <w:p>
            <w:r>
              <w:rPr>
                <w:rFonts w:ascii="Times New Roman" w:hAnsi="Times New Roman"/>
                <w:sz w:val="20"/>
              </w:rPr>
              <w:t>Random Forest</w:t>
            </w:r>
          </w:p>
        </w:tc>
        <w:tc>
          <w:tcPr>
            <w:tcW w:type="dxa" w:w="1881"/>
          </w:tcPr>
          <w:p>
            <w:r>
              <w:rPr>
                <w:rFonts w:ascii="Times New Roman" w:hAnsi="Times New Roman"/>
                <w:sz w:val="20"/>
              </w:rPr>
              <w:t>95.32</w:t>
            </w:r>
          </w:p>
        </w:tc>
        <w:tc>
          <w:tcPr>
            <w:tcW w:type="dxa" w:w="1881"/>
          </w:tcPr>
          <w:p>
            <w:r>
              <w:rPr>
                <w:rFonts w:ascii="Times New Roman" w:hAnsi="Times New Roman"/>
                <w:sz w:val="20"/>
              </w:rPr>
              <w:t>3.31</w:t>
            </w:r>
          </w:p>
        </w:tc>
        <w:tc>
          <w:tcPr>
            <w:tcW w:type="dxa" w:w="1881"/>
          </w:tcPr>
          <w:p>
            <w:r>
              <w:rPr>
                <w:rFonts w:ascii="Times New Roman" w:hAnsi="Times New Roman"/>
                <w:sz w:val="20"/>
              </w:rPr>
              <w:t>1.35</w:t>
            </w:r>
          </w:p>
        </w:tc>
        <w:tc>
          <w:tcPr>
            <w:tcW w:type="dxa" w:w="1881"/>
          </w:tcPr>
          <w:p>
            <w:r>
              <w:rPr>
                <w:rFonts w:ascii="Times New Roman" w:hAnsi="Times New Roman"/>
                <w:sz w:val="20"/>
              </w:rPr>
              <w:t>25.52</w:t>
            </w:r>
          </w:p>
        </w:tc>
      </w:tr>
      <w:tr>
        <w:tc>
          <w:tcPr>
            <w:tcW w:type="dxa" w:w="1881"/>
          </w:tcPr>
          <w:p>
            <w:r>
              <w:rPr>
                <w:rFonts w:ascii="Times New Roman" w:hAnsi="Times New Roman"/>
                <w:sz w:val="20"/>
              </w:rPr>
              <w:t>CatBoost</w:t>
            </w:r>
          </w:p>
        </w:tc>
        <w:tc>
          <w:tcPr>
            <w:tcW w:type="dxa" w:w="1881"/>
          </w:tcPr>
          <w:p>
            <w:r>
              <w:rPr>
                <w:rFonts w:ascii="Times New Roman" w:hAnsi="Times New Roman"/>
                <w:sz w:val="20"/>
              </w:rPr>
              <w:t>91.55</w:t>
            </w:r>
          </w:p>
        </w:tc>
        <w:tc>
          <w:tcPr>
            <w:tcW w:type="dxa" w:w="1881"/>
          </w:tcPr>
          <w:p>
            <w:r>
              <w:rPr>
                <w:rFonts w:ascii="Times New Roman" w:hAnsi="Times New Roman"/>
                <w:sz w:val="20"/>
              </w:rPr>
              <w:t>4.45</w:t>
            </w:r>
          </w:p>
        </w:tc>
        <w:tc>
          <w:tcPr>
            <w:tcW w:type="dxa" w:w="1881"/>
          </w:tcPr>
          <w:p>
            <w:r>
              <w:rPr>
                <w:rFonts w:ascii="Times New Roman" w:hAnsi="Times New Roman"/>
                <w:sz w:val="20"/>
              </w:rPr>
              <w:t>2.31</w:t>
            </w:r>
          </w:p>
        </w:tc>
        <w:tc>
          <w:tcPr>
            <w:tcW w:type="dxa" w:w="1881"/>
          </w:tcPr>
          <w:p>
            <w:r>
              <w:rPr>
                <w:rFonts w:ascii="Times New Roman" w:hAnsi="Times New Roman"/>
                <w:sz w:val="20"/>
              </w:rPr>
              <w:t>57.44</w:t>
            </w:r>
          </w:p>
        </w:tc>
      </w:tr>
      <w:tr>
        <w:tc>
          <w:tcPr>
            <w:tcW w:type="dxa" w:w="1881"/>
          </w:tcPr>
          <w:p>
            <w:r>
              <w:rPr>
                <w:rFonts w:ascii="Times New Roman" w:hAnsi="Times New Roman"/>
                <w:sz w:val="20"/>
              </w:rPr>
              <w:t>Ridge Regression</w:t>
            </w:r>
          </w:p>
        </w:tc>
        <w:tc>
          <w:tcPr>
            <w:tcW w:type="dxa" w:w="1881"/>
          </w:tcPr>
          <w:p>
            <w:r>
              <w:rPr>
                <w:rFonts w:ascii="Times New Roman" w:hAnsi="Times New Roman"/>
                <w:sz w:val="20"/>
              </w:rPr>
              <w:t>90.45</w:t>
            </w:r>
          </w:p>
        </w:tc>
        <w:tc>
          <w:tcPr>
            <w:tcW w:type="dxa" w:w="1881"/>
          </w:tcPr>
          <w:p>
            <w:r>
              <w:rPr>
                <w:rFonts w:ascii="Times New Roman" w:hAnsi="Times New Roman"/>
                <w:sz w:val="20"/>
              </w:rPr>
              <w:t>4.73</w:t>
            </w:r>
          </w:p>
        </w:tc>
        <w:tc>
          <w:tcPr>
            <w:tcW w:type="dxa" w:w="1881"/>
          </w:tcPr>
          <w:p>
            <w:r>
              <w:rPr>
                <w:rFonts w:ascii="Times New Roman" w:hAnsi="Times New Roman"/>
                <w:sz w:val="20"/>
              </w:rPr>
              <w:t>0.94</w:t>
            </w:r>
          </w:p>
        </w:tc>
        <w:tc>
          <w:tcPr>
            <w:tcW w:type="dxa" w:w="1881"/>
          </w:tcPr>
          <w:p>
            <w:r>
              <w:rPr>
                <w:rFonts w:ascii="Times New Roman" w:hAnsi="Times New Roman"/>
                <w:sz w:val="20"/>
              </w:rPr>
              <w:t>18.87</w:t>
            </w:r>
          </w:p>
        </w:tc>
      </w:tr>
    </w:tbl>
    <w:p>
      <w:r>
        <w:rPr>
          <w:rFonts w:ascii="Times New Roman" w:hAnsi="Times New Roman"/>
          <w:i/>
          <w:sz w:val="20"/>
        </w:rPr>
        <w:t>Fuente: Elaboración propia</w:t>
      </w:r>
    </w:p>
    <w:p/>
    <w:p>
      <w:pPr>
        <w:jc w:val="both"/>
      </w:pPr>
      <w:r>
        <w:rPr>
          <w:rFonts w:ascii="Times New Roman" w:hAnsi="Times New Roman" w:eastAsia="Times New Roman"/>
          <w:b w:val="0"/>
          <w:i w:val="0"/>
          <w:sz w:val="24"/>
        </w:rPr>
        <w:t>El modelo XGBoost explica el 96.85% de la variabilidad en los homicidios mensuales por provincia con un error cuadrático medio de apenas 2.71 casos. Esto significa que en promedio las predicciones difieren de los valores reales en menos de tres homicidios lo cual representa un margen de error muy bajo considerando la complejidad del fenómeno.</w:t>
      </w:r>
    </w:p>
    <w:p>
      <w:r>
        <w:rPr>
          <w:rFonts w:ascii="Times New Roman" w:hAnsi="Times New Roman" w:eastAsia="Times New Roman"/>
          <w:b/>
          <w:i w:val="0"/>
          <w:sz w:val="24"/>
        </w:rPr>
        <w:t>Importancia de Variables</w:t>
      </w:r>
    </w:p>
    <w:p>
      <w:pPr>
        <w:jc w:val="both"/>
      </w:pPr>
      <w:r>
        <w:rPr>
          <w:rFonts w:ascii="Times New Roman" w:hAnsi="Times New Roman" w:eastAsia="Times New Roman"/>
          <w:b w:val="0"/>
          <w:i w:val="0"/>
          <w:sz w:val="24"/>
        </w:rPr>
        <w:t>El análisis de importancia de características revela que la variable con mayor poder predictivo es el número de homicidios del mes anterior con un 28.4% de importancia relativa. Le siguen armas incautadas con 18.7%, la provincia de ocurrencia con 15.3%, el mes del año con 12.1% y personas desaparecidas con 9.8%. Este patrón confirma la naturaleza autorregresiva de la violencia donde los niveles pasados condicionan fuertemente los niveles futuros.</w:t>
      </w:r>
    </w:p>
    <w:p>
      <w:r>
        <w:rPr>
          <w:rFonts w:ascii="Times New Roman" w:hAnsi="Times New Roman"/>
          <w:i/>
          <w:sz w:val="22"/>
        </w:rPr>
        <w:t>Tabla 5. Importancia relativa de variables predictoras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Variable</w:t>
            </w:r>
          </w:p>
        </w:tc>
        <w:tc>
          <w:tcPr>
            <w:tcW w:type="dxa" w:w="3135"/>
          </w:tcPr>
          <w:p>
            <w:r>
              <w:rPr>
                <w:rFonts w:ascii="Times New Roman" w:hAnsi="Times New Roman"/>
                <w:b/>
                <w:sz w:val="20"/>
              </w:rPr>
              <w:t>Importancia (%)</w:t>
            </w:r>
          </w:p>
        </w:tc>
        <w:tc>
          <w:tcPr>
            <w:tcW w:type="dxa" w:w="3135"/>
          </w:tcPr>
          <w:p>
            <w:r>
              <w:rPr>
                <w:rFonts w:ascii="Times New Roman" w:hAnsi="Times New Roman"/>
                <w:b/>
                <w:sz w:val="20"/>
              </w:rPr>
              <w:t>Acumulado (%)</w:t>
            </w:r>
          </w:p>
        </w:tc>
      </w:tr>
      <w:tr>
        <w:tc>
          <w:tcPr>
            <w:tcW w:type="dxa" w:w="3135"/>
          </w:tcPr>
          <w:p>
            <w:r>
              <w:rPr>
                <w:rFonts w:ascii="Times New Roman" w:hAnsi="Times New Roman"/>
                <w:sz w:val="20"/>
              </w:rPr>
              <w:t>Homicidios lag_1</w:t>
            </w:r>
          </w:p>
        </w:tc>
        <w:tc>
          <w:tcPr>
            <w:tcW w:type="dxa" w:w="3135"/>
          </w:tcPr>
          <w:p>
            <w:r>
              <w:rPr>
                <w:rFonts w:ascii="Times New Roman" w:hAnsi="Times New Roman"/>
                <w:sz w:val="20"/>
              </w:rPr>
              <w:t>28.4</w:t>
            </w:r>
          </w:p>
        </w:tc>
        <w:tc>
          <w:tcPr>
            <w:tcW w:type="dxa" w:w="3135"/>
          </w:tcPr>
          <w:p>
            <w:r>
              <w:rPr>
                <w:rFonts w:ascii="Times New Roman" w:hAnsi="Times New Roman"/>
                <w:sz w:val="20"/>
              </w:rPr>
              <w:t>28.4</w:t>
            </w:r>
          </w:p>
        </w:tc>
      </w:tr>
      <w:tr>
        <w:tc>
          <w:tcPr>
            <w:tcW w:type="dxa" w:w="3135"/>
          </w:tcPr>
          <w:p>
            <w:r>
              <w:rPr>
                <w:rFonts w:ascii="Times New Roman" w:hAnsi="Times New Roman"/>
                <w:sz w:val="20"/>
              </w:rPr>
              <w:t>Armas incautadas</w:t>
            </w:r>
          </w:p>
        </w:tc>
        <w:tc>
          <w:tcPr>
            <w:tcW w:type="dxa" w:w="3135"/>
          </w:tcPr>
          <w:p>
            <w:r>
              <w:rPr>
                <w:rFonts w:ascii="Times New Roman" w:hAnsi="Times New Roman"/>
                <w:sz w:val="20"/>
              </w:rPr>
              <w:t>18.7</w:t>
            </w:r>
          </w:p>
        </w:tc>
        <w:tc>
          <w:tcPr>
            <w:tcW w:type="dxa" w:w="3135"/>
          </w:tcPr>
          <w:p>
            <w:r>
              <w:rPr>
                <w:rFonts w:ascii="Times New Roman" w:hAnsi="Times New Roman"/>
                <w:sz w:val="20"/>
              </w:rPr>
              <w:t>47.1</w:t>
            </w:r>
          </w:p>
        </w:tc>
      </w:tr>
      <w:tr>
        <w:tc>
          <w:tcPr>
            <w:tcW w:type="dxa" w:w="3135"/>
          </w:tcPr>
          <w:p>
            <w:r>
              <w:rPr>
                <w:rFonts w:ascii="Times New Roman" w:hAnsi="Times New Roman"/>
                <w:sz w:val="20"/>
              </w:rPr>
              <w:t>Provincia</w:t>
            </w:r>
          </w:p>
        </w:tc>
        <w:tc>
          <w:tcPr>
            <w:tcW w:type="dxa" w:w="3135"/>
          </w:tcPr>
          <w:p>
            <w:r>
              <w:rPr>
                <w:rFonts w:ascii="Times New Roman" w:hAnsi="Times New Roman"/>
                <w:sz w:val="20"/>
              </w:rPr>
              <w:t>15.3</w:t>
            </w:r>
          </w:p>
        </w:tc>
        <w:tc>
          <w:tcPr>
            <w:tcW w:type="dxa" w:w="3135"/>
          </w:tcPr>
          <w:p>
            <w:r>
              <w:rPr>
                <w:rFonts w:ascii="Times New Roman" w:hAnsi="Times New Roman"/>
                <w:sz w:val="20"/>
              </w:rPr>
              <w:t>62.4</w:t>
            </w:r>
          </w:p>
        </w:tc>
      </w:tr>
      <w:tr>
        <w:tc>
          <w:tcPr>
            <w:tcW w:type="dxa" w:w="3135"/>
          </w:tcPr>
          <w:p>
            <w:r>
              <w:rPr>
                <w:rFonts w:ascii="Times New Roman" w:hAnsi="Times New Roman"/>
                <w:sz w:val="20"/>
              </w:rPr>
              <w:t>Mes del año</w:t>
            </w:r>
          </w:p>
        </w:tc>
        <w:tc>
          <w:tcPr>
            <w:tcW w:type="dxa" w:w="3135"/>
          </w:tcPr>
          <w:p>
            <w:r>
              <w:rPr>
                <w:rFonts w:ascii="Times New Roman" w:hAnsi="Times New Roman"/>
                <w:sz w:val="20"/>
              </w:rPr>
              <w:t>12.1</w:t>
            </w:r>
          </w:p>
        </w:tc>
        <w:tc>
          <w:tcPr>
            <w:tcW w:type="dxa" w:w="3135"/>
          </w:tcPr>
          <w:p>
            <w:r>
              <w:rPr>
                <w:rFonts w:ascii="Times New Roman" w:hAnsi="Times New Roman"/>
                <w:sz w:val="20"/>
              </w:rPr>
              <w:t>74.5</w:t>
            </w:r>
          </w:p>
        </w:tc>
      </w:tr>
      <w:tr>
        <w:tc>
          <w:tcPr>
            <w:tcW w:type="dxa" w:w="3135"/>
          </w:tcPr>
          <w:p>
            <w:r>
              <w:rPr>
                <w:rFonts w:ascii="Times New Roman" w:hAnsi="Times New Roman"/>
                <w:sz w:val="20"/>
              </w:rPr>
              <w:t>Desaparecidos</w:t>
            </w:r>
          </w:p>
        </w:tc>
        <w:tc>
          <w:tcPr>
            <w:tcW w:type="dxa" w:w="3135"/>
          </w:tcPr>
          <w:p>
            <w:r>
              <w:rPr>
                <w:rFonts w:ascii="Times New Roman" w:hAnsi="Times New Roman"/>
                <w:sz w:val="20"/>
              </w:rPr>
              <w:t>9.8</w:t>
            </w:r>
          </w:p>
        </w:tc>
        <w:tc>
          <w:tcPr>
            <w:tcW w:type="dxa" w:w="3135"/>
          </w:tcPr>
          <w:p>
            <w:r>
              <w:rPr>
                <w:rFonts w:ascii="Times New Roman" w:hAnsi="Times New Roman"/>
                <w:sz w:val="20"/>
              </w:rPr>
              <w:t>84.3</w:t>
            </w:r>
          </w:p>
        </w:tc>
      </w:tr>
      <w:tr>
        <w:tc>
          <w:tcPr>
            <w:tcW w:type="dxa" w:w="3135"/>
          </w:tcPr>
          <w:p>
            <w:r>
              <w:rPr>
                <w:rFonts w:ascii="Times New Roman" w:hAnsi="Times New Roman"/>
                <w:sz w:val="20"/>
              </w:rPr>
              <w:t>Drogas operativos</w:t>
            </w:r>
          </w:p>
        </w:tc>
        <w:tc>
          <w:tcPr>
            <w:tcW w:type="dxa" w:w="3135"/>
          </w:tcPr>
          <w:p>
            <w:r>
              <w:rPr>
                <w:rFonts w:ascii="Times New Roman" w:hAnsi="Times New Roman"/>
                <w:sz w:val="20"/>
              </w:rPr>
              <w:t>6.2</w:t>
            </w:r>
          </w:p>
        </w:tc>
        <w:tc>
          <w:tcPr>
            <w:tcW w:type="dxa" w:w="3135"/>
          </w:tcPr>
          <w:p>
            <w:r>
              <w:rPr>
                <w:rFonts w:ascii="Times New Roman" w:hAnsi="Times New Roman"/>
                <w:sz w:val="20"/>
              </w:rPr>
              <w:t>90.5</w:t>
            </w:r>
          </w:p>
        </w:tc>
      </w:tr>
      <w:tr>
        <w:tc>
          <w:tcPr>
            <w:tcW w:type="dxa" w:w="3135"/>
          </w:tcPr>
          <w:p>
            <w:r>
              <w:rPr>
                <w:rFonts w:ascii="Times New Roman" w:hAnsi="Times New Roman"/>
                <w:sz w:val="20"/>
              </w:rPr>
              <w:t>Detenidos</w:t>
            </w:r>
          </w:p>
        </w:tc>
        <w:tc>
          <w:tcPr>
            <w:tcW w:type="dxa" w:w="3135"/>
          </w:tcPr>
          <w:p>
            <w:r>
              <w:rPr>
                <w:rFonts w:ascii="Times New Roman" w:hAnsi="Times New Roman"/>
                <w:sz w:val="20"/>
              </w:rPr>
              <w:t>5.1</w:t>
            </w:r>
          </w:p>
        </w:tc>
        <w:tc>
          <w:tcPr>
            <w:tcW w:type="dxa" w:w="3135"/>
          </w:tcPr>
          <w:p>
            <w:r>
              <w:rPr>
                <w:rFonts w:ascii="Times New Roman" w:hAnsi="Times New Roman"/>
                <w:sz w:val="20"/>
              </w:rPr>
              <w:t>95.6</w:t>
            </w:r>
          </w:p>
        </w:tc>
      </w:tr>
      <w:tr>
        <w:tc>
          <w:tcPr>
            <w:tcW w:type="dxa" w:w="3135"/>
          </w:tcPr>
          <w:p>
            <w:r>
              <w:rPr>
                <w:rFonts w:ascii="Times New Roman" w:hAnsi="Times New Roman"/>
                <w:sz w:val="20"/>
              </w:rPr>
              <w:t>Homicidios lag_2</w:t>
            </w:r>
          </w:p>
        </w:tc>
        <w:tc>
          <w:tcPr>
            <w:tcW w:type="dxa" w:w="3135"/>
          </w:tcPr>
          <w:p>
            <w:r>
              <w:rPr>
                <w:rFonts w:ascii="Times New Roman" w:hAnsi="Times New Roman"/>
                <w:sz w:val="20"/>
              </w:rPr>
              <w:t>2.8</w:t>
            </w:r>
          </w:p>
        </w:tc>
        <w:tc>
          <w:tcPr>
            <w:tcW w:type="dxa" w:w="3135"/>
          </w:tcPr>
          <w:p>
            <w:r>
              <w:rPr>
                <w:rFonts w:ascii="Times New Roman" w:hAnsi="Times New Roman"/>
                <w:sz w:val="20"/>
              </w:rPr>
              <w:t>98.4</w:t>
            </w:r>
          </w:p>
        </w:tc>
      </w:tr>
      <w:tr>
        <w:tc>
          <w:tcPr>
            <w:tcW w:type="dxa" w:w="3135"/>
          </w:tcPr>
          <w:p>
            <w:r>
              <w:rPr>
                <w:rFonts w:ascii="Times New Roman" w:hAnsi="Times New Roman"/>
                <w:sz w:val="20"/>
              </w:rPr>
              <w:t>Año</w:t>
            </w:r>
          </w:p>
        </w:tc>
        <w:tc>
          <w:tcPr>
            <w:tcW w:type="dxa" w:w="3135"/>
          </w:tcPr>
          <w:p>
            <w:r>
              <w:rPr>
                <w:rFonts w:ascii="Times New Roman" w:hAnsi="Times New Roman"/>
                <w:sz w:val="20"/>
              </w:rPr>
              <w:t>1.6</w:t>
            </w:r>
          </w:p>
        </w:tc>
        <w:tc>
          <w:tcPr>
            <w:tcW w:type="dxa" w:w="3135"/>
          </w:tcPr>
          <w:p>
            <w:r>
              <w:rPr>
                <w:rFonts w:ascii="Times New Roman" w:hAnsi="Times New Roman"/>
                <w:sz w:val="20"/>
              </w:rPr>
              <w:t>100.0</w:t>
            </w:r>
          </w:p>
        </w:tc>
      </w:tr>
    </w:tbl>
    <w:p>
      <w:r>
        <w:rPr>
          <w:rFonts w:ascii="Times New Roman" w:hAnsi="Times New Roman"/>
          <w:i/>
          <w:sz w:val="20"/>
        </w:rPr>
        <w:t>Fuente: Modelo XGBoost entrenado</w:t>
      </w:r>
    </w:p>
    <w:p/>
    <w:p>
      <w:r>
        <w:rPr>
          <w:rFonts w:ascii="Times New Roman" w:hAnsi="Times New Roman" w:eastAsia="Times New Roman"/>
          <w:b/>
          <w:i w:val="0"/>
          <w:sz w:val="24"/>
        </w:rPr>
        <w:t>Retos y Oportunidades Identificados</w:t>
      </w:r>
    </w:p>
    <w:p>
      <w:pPr>
        <w:jc w:val="both"/>
      </w:pPr>
      <w:r>
        <w:rPr>
          <w:rFonts w:ascii="Times New Roman" w:hAnsi="Times New Roman" w:eastAsia="Times New Roman"/>
          <w:b w:val="0"/>
          <w:i w:val="0"/>
          <w:sz w:val="24"/>
        </w:rPr>
        <w:t>El análisis cualitativo de los resultados permite identificar retos y oportunidades para la implementación operativa del modelo. Entre los principales obstáculos destacan la brecha digital que dificulta el acceso a datos en tiempo real, las limitaciones de calidad y consistencia en los registros oficiales y la volatilidad del fenómeno criminal ante cambios repentinos como estados de excepción o conflictos entre bandas.</w:t>
      </w:r>
    </w:p>
    <w:p>
      <w:r>
        <w:rPr>
          <w:rFonts w:ascii="Times New Roman" w:hAnsi="Times New Roman"/>
          <w:i/>
          <w:sz w:val="22"/>
        </w:rPr>
        <w:t>Tabla 6. Principales retos para la implementación del modelo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Reto</w:t>
            </w:r>
          </w:p>
        </w:tc>
        <w:tc>
          <w:tcPr>
            <w:tcW w:type="dxa" w:w="3135"/>
          </w:tcPr>
          <w:p>
            <w:r>
              <w:rPr>
                <w:rFonts w:ascii="Times New Roman" w:hAnsi="Times New Roman"/>
                <w:b/>
                <w:sz w:val="20"/>
              </w:rPr>
              <w:t>Descripción</w:t>
            </w:r>
          </w:p>
        </w:tc>
        <w:tc>
          <w:tcPr>
            <w:tcW w:type="dxa" w:w="3135"/>
          </w:tcPr>
          <w:p>
            <w:r>
              <w:rPr>
                <w:rFonts w:ascii="Times New Roman" w:hAnsi="Times New Roman"/>
                <w:b/>
                <w:sz w:val="20"/>
              </w:rPr>
              <w:t>Impacto</w:t>
            </w:r>
          </w:p>
        </w:tc>
      </w:tr>
      <w:tr>
        <w:tc>
          <w:tcPr>
            <w:tcW w:type="dxa" w:w="3135"/>
          </w:tcPr>
          <w:p>
            <w:r>
              <w:rPr>
                <w:rFonts w:ascii="Times New Roman" w:hAnsi="Times New Roman"/>
                <w:sz w:val="20"/>
              </w:rPr>
              <w:t>Calidad de datos</w:t>
            </w:r>
          </w:p>
        </w:tc>
        <w:tc>
          <w:tcPr>
            <w:tcW w:type="dxa" w:w="3135"/>
          </w:tcPr>
          <w:p>
            <w:r>
              <w:rPr>
                <w:rFonts w:ascii="Times New Roman" w:hAnsi="Times New Roman"/>
                <w:sz w:val="20"/>
              </w:rPr>
              <w:t>Subregistro y errores en bases oficiales</w:t>
            </w:r>
          </w:p>
        </w:tc>
        <w:tc>
          <w:tcPr>
            <w:tcW w:type="dxa" w:w="3135"/>
          </w:tcPr>
          <w:p>
            <w:r>
              <w:rPr>
                <w:rFonts w:ascii="Times New Roman" w:hAnsi="Times New Roman"/>
                <w:sz w:val="20"/>
              </w:rPr>
              <w:t>Alto</w:t>
            </w:r>
          </w:p>
        </w:tc>
      </w:tr>
      <w:tr>
        <w:tc>
          <w:tcPr>
            <w:tcW w:type="dxa" w:w="3135"/>
          </w:tcPr>
          <w:p>
            <w:r>
              <w:rPr>
                <w:rFonts w:ascii="Times New Roman" w:hAnsi="Times New Roman"/>
                <w:sz w:val="20"/>
              </w:rPr>
              <w:t>Volatilidad</w:t>
            </w:r>
          </w:p>
        </w:tc>
        <w:tc>
          <w:tcPr>
            <w:tcW w:type="dxa" w:w="3135"/>
          </w:tcPr>
          <w:p>
            <w:r>
              <w:rPr>
                <w:rFonts w:ascii="Times New Roman" w:hAnsi="Times New Roman"/>
                <w:sz w:val="20"/>
              </w:rPr>
              <w:t>Cambios bruscos por factores externos</w:t>
            </w:r>
          </w:p>
        </w:tc>
        <w:tc>
          <w:tcPr>
            <w:tcW w:type="dxa" w:w="3135"/>
          </w:tcPr>
          <w:p>
            <w:r>
              <w:rPr>
                <w:rFonts w:ascii="Times New Roman" w:hAnsi="Times New Roman"/>
                <w:sz w:val="20"/>
              </w:rPr>
              <w:t>Alto</w:t>
            </w:r>
          </w:p>
        </w:tc>
      </w:tr>
      <w:tr>
        <w:tc>
          <w:tcPr>
            <w:tcW w:type="dxa" w:w="3135"/>
          </w:tcPr>
          <w:p>
            <w:r>
              <w:rPr>
                <w:rFonts w:ascii="Times New Roman" w:hAnsi="Times New Roman"/>
                <w:sz w:val="20"/>
              </w:rPr>
              <w:t>Actualización</w:t>
            </w:r>
          </w:p>
        </w:tc>
        <w:tc>
          <w:tcPr>
            <w:tcW w:type="dxa" w:w="3135"/>
          </w:tcPr>
          <w:p>
            <w:r>
              <w:rPr>
                <w:rFonts w:ascii="Times New Roman" w:hAnsi="Times New Roman"/>
                <w:sz w:val="20"/>
              </w:rPr>
              <w:t>Rezago en disponibilidad de datos</w:t>
            </w:r>
          </w:p>
        </w:tc>
        <w:tc>
          <w:tcPr>
            <w:tcW w:type="dxa" w:w="3135"/>
          </w:tcPr>
          <w:p>
            <w:r>
              <w:rPr>
                <w:rFonts w:ascii="Times New Roman" w:hAnsi="Times New Roman"/>
                <w:sz w:val="20"/>
              </w:rPr>
              <w:t>Medio</w:t>
            </w:r>
          </w:p>
        </w:tc>
      </w:tr>
      <w:tr>
        <w:tc>
          <w:tcPr>
            <w:tcW w:type="dxa" w:w="3135"/>
          </w:tcPr>
          <w:p>
            <w:r>
              <w:rPr>
                <w:rFonts w:ascii="Times New Roman" w:hAnsi="Times New Roman"/>
                <w:sz w:val="20"/>
              </w:rPr>
              <w:t>Cobertura</w:t>
            </w:r>
          </w:p>
        </w:tc>
        <w:tc>
          <w:tcPr>
            <w:tcW w:type="dxa" w:w="3135"/>
          </w:tcPr>
          <w:p>
            <w:r>
              <w:rPr>
                <w:rFonts w:ascii="Times New Roman" w:hAnsi="Times New Roman"/>
                <w:sz w:val="20"/>
              </w:rPr>
              <w:t>Datos limitados en zonas rurales</w:t>
            </w:r>
          </w:p>
        </w:tc>
        <w:tc>
          <w:tcPr>
            <w:tcW w:type="dxa" w:w="3135"/>
          </w:tcPr>
          <w:p>
            <w:r>
              <w:rPr>
                <w:rFonts w:ascii="Times New Roman" w:hAnsi="Times New Roman"/>
                <w:sz w:val="20"/>
              </w:rPr>
              <w:t>Medio</w:t>
            </w:r>
          </w:p>
        </w:tc>
      </w:tr>
      <w:tr>
        <w:tc>
          <w:tcPr>
            <w:tcW w:type="dxa" w:w="3135"/>
          </w:tcPr>
          <w:p>
            <w:r>
              <w:rPr>
                <w:rFonts w:ascii="Times New Roman" w:hAnsi="Times New Roman"/>
                <w:sz w:val="20"/>
              </w:rPr>
              <w:t>Capacitación</w:t>
            </w:r>
          </w:p>
        </w:tc>
        <w:tc>
          <w:tcPr>
            <w:tcW w:type="dxa" w:w="3135"/>
          </w:tcPr>
          <w:p>
            <w:r>
              <w:rPr>
                <w:rFonts w:ascii="Times New Roman" w:hAnsi="Times New Roman"/>
                <w:sz w:val="20"/>
              </w:rPr>
              <w:t>Falta de personal técnico especializado</w:t>
            </w:r>
          </w:p>
        </w:tc>
        <w:tc>
          <w:tcPr>
            <w:tcW w:type="dxa" w:w="3135"/>
          </w:tcPr>
          <w:p>
            <w:r>
              <w:rPr>
                <w:rFonts w:ascii="Times New Roman" w:hAnsi="Times New Roman"/>
                <w:sz w:val="20"/>
              </w:rPr>
              <w:t>Medio</w:t>
            </w:r>
          </w:p>
        </w:tc>
      </w:tr>
    </w:tbl>
    <w:p>
      <w:r>
        <w:rPr>
          <w:rFonts w:ascii="Times New Roman" w:hAnsi="Times New Roman"/>
          <w:i/>
          <w:sz w:val="20"/>
        </w:rPr>
        <w:t>Fuente: Análisis propio</w:t>
      </w:r>
    </w:p>
    <w:p/>
    <w:p>
      <w:r>
        <w:rPr>
          <w:rFonts w:ascii="Times New Roman" w:hAnsi="Times New Roman"/>
          <w:i/>
          <w:sz w:val="22"/>
        </w:rPr>
        <w:t>Tabla 7. Principales oportunidades derivadas del modelo predictivo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Oportunidad</w:t>
            </w:r>
          </w:p>
        </w:tc>
        <w:tc>
          <w:tcPr>
            <w:tcW w:type="dxa" w:w="3135"/>
          </w:tcPr>
          <w:p>
            <w:r>
              <w:rPr>
                <w:rFonts w:ascii="Times New Roman" w:hAnsi="Times New Roman"/>
                <w:b/>
                <w:sz w:val="20"/>
              </w:rPr>
              <w:t>Descripción</w:t>
            </w:r>
          </w:p>
        </w:tc>
        <w:tc>
          <w:tcPr>
            <w:tcW w:type="dxa" w:w="3135"/>
          </w:tcPr>
          <w:p>
            <w:r>
              <w:rPr>
                <w:rFonts w:ascii="Times New Roman" w:hAnsi="Times New Roman"/>
                <w:b/>
                <w:sz w:val="20"/>
              </w:rPr>
              <w:t>Potencial</w:t>
            </w:r>
          </w:p>
        </w:tc>
      </w:tr>
      <w:tr>
        <w:tc>
          <w:tcPr>
            <w:tcW w:type="dxa" w:w="3135"/>
          </w:tcPr>
          <w:p>
            <w:r>
              <w:rPr>
                <w:rFonts w:ascii="Times New Roman" w:hAnsi="Times New Roman"/>
                <w:sz w:val="20"/>
              </w:rPr>
              <w:t>Alertas tempranas</w:t>
            </w:r>
          </w:p>
        </w:tc>
        <w:tc>
          <w:tcPr>
            <w:tcW w:type="dxa" w:w="3135"/>
          </w:tcPr>
          <w:p>
            <w:r>
              <w:rPr>
                <w:rFonts w:ascii="Times New Roman" w:hAnsi="Times New Roman"/>
                <w:sz w:val="20"/>
              </w:rPr>
              <w:t>Anticipar incrementos de violencia</w:t>
            </w:r>
          </w:p>
        </w:tc>
        <w:tc>
          <w:tcPr>
            <w:tcW w:type="dxa" w:w="3135"/>
          </w:tcPr>
          <w:p>
            <w:r>
              <w:rPr>
                <w:rFonts w:ascii="Times New Roman" w:hAnsi="Times New Roman"/>
                <w:sz w:val="20"/>
              </w:rPr>
              <w:t>Alto</w:t>
            </w:r>
          </w:p>
        </w:tc>
      </w:tr>
      <w:tr>
        <w:tc>
          <w:tcPr>
            <w:tcW w:type="dxa" w:w="3135"/>
          </w:tcPr>
          <w:p>
            <w:r>
              <w:rPr>
                <w:rFonts w:ascii="Times New Roman" w:hAnsi="Times New Roman"/>
                <w:sz w:val="20"/>
              </w:rPr>
              <w:t>Asignación recursos</w:t>
            </w:r>
          </w:p>
        </w:tc>
        <w:tc>
          <w:tcPr>
            <w:tcW w:type="dxa" w:w="3135"/>
          </w:tcPr>
          <w:p>
            <w:r>
              <w:rPr>
                <w:rFonts w:ascii="Times New Roman" w:hAnsi="Times New Roman"/>
                <w:sz w:val="20"/>
              </w:rPr>
              <w:t>Optimizar distribución policial</w:t>
            </w:r>
          </w:p>
        </w:tc>
        <w:tc>
          <w:tcPr>
            <w:tcW w:type="dxa" w:w="3135"/>
          </w:tcPr>
          <w:p>
            <w:r>
              <w:rPr>
                <w:rFonts w:ascii="Times New Roman" w:hAnsi="Times New Roman"/>
                <w:sz w:val="20"/>
              </w:rPr>
              <w:t>Alto</w:t>
            </w:r>
          </w:p>
        </w:tc>
      </w:tr>
      <w:tr>
        <w:tc>
          <w:tcPr>
            <w:tcW w:type="dxa" w:w="3135"/>
          </w:tcPr>
          <w:p>
            <w:r>
              <w:rPr>
                <w:rFonts w:ascii="Times New Roman" w:hAnsi="Times New Roman"/>
                <w:sz w:val="20"/>
              </w:rPr>
              <w:t>Evaluación política</w:t>
            </w:r>
          </w:p>
        </w:tc>
        <w:tc>
          <w:tcPr>
            <w:tcW w:type="dxa" w:w="3135"/>
          </w:tcPr>
          <w:p>
            <w:r>
              <w:rPr>
                <w:rFonts w:ascii="Times New Roman" w:hAnsi="Times New Roman"/>
                <w:sz w:val="20"/>
              </w:rPr>
              <w:t>Medir impacto de intervenciones</w:t>
            </w:r>
          </w:p>
        </w:tc>
        <w:tc>
          <w:tcPr>
            <w:tcW w:type="dxa" w:w="3135"/>
          </w:tcPr>
          <w:p>
            <w:r>
              <w:rPr>
                <w:rFonts w:ascii="Times New Roman" w:hAnsi="Times New Roman"/>
                <w:sz w:val="20"/>
              </w:rPr>
              <w:t>Alto</w:t>
            </w:r>
          </w:p>
        </w:tc>
      </w:tr>
      <w:tr>
        <w:tc>
          <w:tcPr>
            <w:tcW w:type="dxa" w:w="3135"/>
          </w:tcPr>
          <w:p>
            <w:r>
              <w:rPr>
                <w:rFonts w:ascii="Times New Roman" w:hAnsi="Times New Roman"/>
                <w:sz w:val="20"/>
              </w:rPr>
              <w:t>Focalización</w:t>
            </w:r>
          </w:p>
        </w:tc>
        <w:tc>
          <w:tcPr>
            <w:tcW w:type="dxa" w:w="3135"/>
          </w:tcPr>
          <w:p>
            <w:r>
              <w:rPr>
                <w:rFonts w:ascii="Times New Roman" w:hAnsi="Times New Roman"/>
                <w:sz w:val="20"/>
              </w:rPr>
              <w:t>Priorizar territorios más afectados</w:t>
            </w:r>
          </w:p>
        </w:tc>
        <w:tc>
          <w:tcPr>
            <w:tcW w:type="dxa" w:w="3135"/>
          </w:tcPr>
          <w:p>
            <w:r>
              <w:rPr>
                <w:rFonts w:ascii="Times New Roman" w:hAnsi="Times New Roman"/>
                <w:sz w:val="20"/>
              </w:rPr>
              <w:t>Medio</w:t>
            </w:r>
          </w:p>
        </w:tc>
      </w:tr>
      <w:tr>
        <w:tc>
          <w:tcPr>
            <w:tcW w:type="dxa" w:w="3135"/>
          </w:tcPr>
          <w:p>
            <w:r>
              <w:rPr>
                <w:rFonts w:ascii="Times New Roman" w:hAnsi="Times New Roman"/>
                <w:sz w:val="20"/>
              </w:rPr>
              <w:t>Prevención</w:t>
            </w:r>
          </w:p>
        </w:tc>
        <w:tc>
          <w:tcPr>
            <w:tcW w:type="dxa" w:w="3135"/>
          </w:tcPr>
          <w:p>
            <w:r>
              <w:rPr>
                <w:rFonts w:ascii="Times New Roman" w:hAnsi="Times New Roman"/>
                <w:sz w:val="20"/>
              </w:rPr>
              <w:t>Diseñar programas específicos por zona</w:t>
            </w:r>
          </w:p>
        </w:tc>
        <w:tc>
          <w:tcPr>
            <w:tcW w:type="dxa" w:w="3135"/>
          </w:tcPr>
          <w:p>
            <w:r>
              <w:rPr>
                <w:rFonts w:ascii="Times New Roman" w:hAnsi="Times New Roman"/>
                <w:sz w:val="20"/>
              </w:rPr>
              <w:t>Medio</w:t>
            </w:r>
          </w:p>
        </w:tc>
      </w:tr>
    </w:tbl>
    <w:p>
      <w:r>
        <w:rPr>
          <w:rFonts w:ascii="Times New Roman" w:hAnsi="Times New Roman"/>
          <w:i/>
          <w:sz w:val="20"/>
        </w:rPr>
        <w:t>Fuente: Análisis propio</w:t>
      </w:r>
    </w:p>
    <w:p/>
    <w:p>
      <w:r>
        <w:br w:type="page"/>
      </w:r>
    </w:p>
    <w:p>
      <w:pPr>
        <w:jc w:val="center"/>
      </w:pPr>
      <w:r>
        <w:rPr>
          <w:rFonts w:ascii="Times New Roman" w:hAnsi="Times New Roman" w:eastAsia="Times New Roman"/>
          <w:b/>
          <w:i w:val="0"/>
          <w:sz w:val="28"/>
        </w:rPr>
        <w:t>DISCUSIÓN</w:t>
      </w:r>
    </w:p>
    <w:p>
      <w:r>
        <w:rPr>
          <w:rFonts w:ascii="Times New Roman" w:hAnsi="Times New Roman" w:eastAsia="Times New Roman"/>
          <w:b/>
          <w:i w:val="0"/>
          <w:sz w:val="24"/>
        </w:rPr>
        <w:t>Interpretación de Resultados</w:t>
      </w:r>
    </w:p>
    <w:p>
      <w:pPr>
        <w:jc w:val="both"/>
      </w:pPr>
      <w:r>
        <w:rPr>
          <w:rFonts w:ascii="Times New Roman" w:hAnsi="Times New Roman" w:eastAsia="Times New Roman"/>
          <w:b w:val="0"/>
          <w:i w:val="0"/>
          <w:sz w:val="24"/>
        </w:rPr>
        <w:t>Los resultados demuestran la viabilidad de aplicar técnicas de aprendizaje automático para predecir homicidios en Ecuador con alta precisión. El coeficiente R² de 96.85% obtenido por XGBoost supera ampliamente los reportados en estudios similares de la región. Por ejemplo investigaciones en Colombia han alcanzado precisiones del 78% al 85% mientras que trabajos en México reportan valores entre 72% y 82%. Esta diferencia puede explicarse por la mayor granularidad de los datos ecuatorianos y el período de análisis más extenso.</w:t>
      </w:r>
    </w:p>
    <w:p>
      <w:r>
        <w:rPr>
          <w:rFonts w:ascii="Times New Roman" w:hAnsi="Times New Roman" w:eastAsia="Times New Roman"/>
          <w:b/>
          <w:i w:val="0"/>
          <w:sz w:val="24"/>
        </w:rPr>
        <w:t>Comparación con Literatura</w:t>
      </w:r>
    </w:p>
    <w:p>
      <w:pPr>
        <w:jc w:val="both"/>
      </w:pPr>
      <w:r>
        <w:rPr>
          <w:rFonts w:ascii="Times New Roman" w:hAnsi="Times New Roman" w:eastAsia="Times New Roman"/>
          <w:b w:val="0"/>
          <w:i w:val="0"/>
          <w:sz w:val="24"/>
        </w:rPr>
        <w:t>La superioridad de XGBoost sobre otros algoritmos coincide con la evidencia internacional. Estudios de meta-análisis han identificado consistentemente a los métodos de gradient boosting como los más efectivos para problemas de predicción tabular. Random Forest mostró buen desempeño pero su arquitectura de ensamble paralelo resultó menos eficiente que el enfoque secuencial de XGBoost para capturar las dependencias temporales presentes en los datos.</w:t>
      </w:r>
    </w:p>
    <w:p>
      <w:r>
        <w:rPr>
          <w:rFonts w:ascii="Times New Roman" w:hAnsi="Times New Roman" w:eastAsia="Times New Roman"/>
          <w:b/>
          <w:i w:val="0"/>
          <w:sz w:val="24"/>
        </w:rPr>
        <w:t>Implicaciones para Política Pública</w:t>
      </w:r>
    </w:p>
    <w:p>
      <w:pPr>
        <w:jc w:val="both"/>
      </w:pPr>
      <w:r>
        <w:rPr>
          <w:rFonts w:ascii="Times New Roman" w:hAnsi="Times New Roman" w:eastAsia="Times New Roman"/>
          <w:b w:val="0"/>
          <w:i w:val="0"/>
          <w:sz w:val="24"/>
        </w:rPr>
        <w:t>La alta importancia del rezago temporal tiene implicaciones directas para la toma de decisiones. Si los homicidios del mes anterior son el mejor predictor del mes actual entonces las intervenciones deben ser inmediatas una vez detectados incrementos inusuales. Esperar a que se consoliden tendencias puede significar la pérdida de vidas que podrían haberse evitado con acción temprana.</w:t>
      </w:r>
    </w:p>
    <w:p>
      <w:pPr>
        <w:jc w:val="both"/>
      </w:pPr>
      <w:r>
        <w:rPr>
          <w:rFonts w:ascii="Times New Roman" w:hAnsi="Times New Roman" w:eastAsia="Times New Roman"/>
          <w:b w:val="0"/>
          <w:i w:val="0"/>
          <w:sz w:val="24"/>
        </w:rPr>
        <w:t>La concentración geográfica en Guayas justifica políticas diferenciadas por territorio. No tiene sentido aplicar las mismas medidas en Pichincha donde la tasa es de 14.8 por cien mil que en Santo Domingo donde supera los 102 casos. El modelo permite priorizar recursos donde más se necesitan evitando la dispersión ineficiente de esfuerzos.</w:t>
      </w:r>
    </w:p>
    <w:p>
      <w:r>
        <w:rPr>
          <w:rFonts w:ascii="Times New Roman" w:hAnsi="Times New Roman" w:eastAsia="Times New Roman"/>
          <w:b/>
          <w:i w:val="0"/>
          <w:sz w:val="24"/>
        </w:rPr>
        <w:t>Limitaciones del Estudio</w:t>
      </w:r>
    </w:p>
    <w:p>
      <w:pPr>
        <w:jc w:val="both"/>
      </w:pPr>
      <w:r>
        <w:rPr>
          <w:rFonts w:ascii="Times New Roman" w:hAnsi="Times New Roman" w:eastAsia="Times New Roman"/>
          <w:b w:val="0"/>
          <w:i w:val="0"/>
          <w:sz w:val="24"/>
        </w:rPr>
        <w:t>Es importante reconocer las limitaciones de esta investigación. Primero el modelo no incorpora variables socioeconómicas como desempleo, pobreza o desigualdad que podrían enriquecer su capacidad explicativa. Segundo la calidad de los datos oficiales puede verse afectada por subregistro especialmente en zonas rurales donde la denuncia es menos frecuente. Tercero cambios bruscos en las políticas de seguridad o eventos extraordinarios como la declaración de conflicto armado interno podrían alterar los patrones aprendidos reduciendo temporalmente la precisión predictiva.</w:t>
      </w:r>
    </w:p>
    <w:p>
      <w:r>
        <w:rPr>
          <w:rFonts w:ascii="Times New Roman" w:hAnsi="Times New Roman" w:eastAsia="Times New Roman"/>
          <w:b/>
          <w:i w:val="0"/>
          <w:sz w:val="24"/>
        </w:rPr>
        <w:t>Futuras Líneas de Investigación</w:t>
      </w:r>
    </w:p>
    <w:p>
      <w:pPr>
        <w:jc w:val="both"/>
      </w:pPr>
      <w:r>
        <w:rPr>
          <w:rFonts w:ascii="Times New Roman" w:hAnsi="Times New Roman" w:eastAsia="Times New Roman"/>
          <w:b w:val="0"/>
          <w:i w:val="0"/>
          <w:sz w:val="24"/>
        </w:rPr>
        <w:t>Futuras investigaciones podrían incorporar datos georreferenciados a nivel cantonal o parroquial permitiendo predicciones más granulares. También sería valioso incluir información sobre presencia de grupos criminales específicos, rutas de narcotráfico y variables de contexto institucional como presupuesto policial o número de agentes por habitante. La integración con sistemas de información en tiempo real representaría un avance significativo hacia la operacionalización del modelo.</w:t>
      </w:r>
    </w:p>
    <w:p>
      <w:r>
        <w:br w:type="page"/>
      </w:r>
    </w:p>
    <w:p>
      <w:pPr>
        <w:jc w:val="center"/>
      </w:pPr>
      <w:r>
        <w:rPr>
          <w:rFonts w:ascii="Times New Roman" w:hAnsi="Times New Roman" w:eastAsia="Times New Roman"/>
          <w:b/>
          <w:i w:val="0"/>
          <w:sz w:val="28"/>
        </w:rPr>
        <w:t>CONCLUSIONES</w:t>
      </w:r>
    </w:p>
    <w:p>
      <w:pPr>
        <w:jc w:val="both"/>
      </w:pPr>
      <w:r>
        <w:rPr>
          <w:rFonts w:ascii="Times New Roman" w:hAnsi="Times New Roman" w:eastAsia="Times New Roman"/>
          <w:b w:val="0"/>
          <w:i w:val="0"/>
          <w:sz w:val="24"/>
        </w:rPr>
        <w:t>Esta investigación desarrolló y validó un modelo predictivo de homicidios intencionales para Ecuador alcanzando una precisión sin precedentes del 96.85%. Los resultados demuestran que los datos oficiales disponibles contienen información suficiente para anticipar patrones de violencia con alta confiabilidad. El algoritmo XGBoost superó a las alternativas evaluadas confirmando su eficacia para este tipo de problemas.</w:t>
      </w:r>
    </w:p>
    <w:p>
      <w:pPr>
        <w:jc w:val="both"/>
      </w:pPr>
      <w:r>
        <w:rPr>
          <w:rFonts w:ascii="Times New Roman" w:hAnsi="Times New Roman" w:eastAsia="Times New Roman"/>
          <w:b w:val="0"/>
          <w:i w:val="0"/>
          <w:sz w:val="24"/>
        </w:rPr>
        <w:t>El análisis de más de 850 mil registros confirma la dramática transformación de Ecuador en materia de seguridad. El país pasó de tasas de homicidio equiparables a las de naciones desarrolladas a niveles que lo ubican entre los más violentos del continente. La provincia del Guayas concentra casi la mitad de las muertes violentas evidenciando el impacto del narcotráfico internacional sobre el puerto de Guayaquil.</w:t>
      </w:r>
    </w:p>
    <w:p>
      <w:pPr>
        <w:jc w:val="both"/>
      </w:pPr>
      <w:r>
        <w:rPr>
          <w:rFonts w:ascii="Times New Roman" w:hAnsi="Times New Roman" w:eastAsia="Times New Roman"/>
          <w:b w:val="0"/>
          <w:i w:val="0"/>
          <w:sz w:val="24"/>
        </w:rPr>
        <w:t>Las variables con mayor poder predictivo son los homicidios del mes anterior y las armas incautadas. Este hallazgo tiene implicaciones prácticas claras: la violencia tiende a perpetuarse en el tiempo y el espacio. Las intervenciones deben ser tempranas y sostenidas pues esperar a que se consoliden tendencias significa aceptar costos humanos evitables.</w:t>
      </w:r>
    </w:p>
    <w:p>
      <w:pPr>
        <w:jc w:val="both"/>
      </w:pPr>
      <w:r>
        <w:rPr>
          <w:rFonts w:ascii="Times New Roman" w:hAnsi="Times New Roman" w:eastAsia="Times New Roman"/>
          <w:b w:val="0"/>
          <w:i w:val="0"/>
          <w:sz w:val="24"/>
        </w:rPr>
        <w:t>Se recomienda a las autoridades considerar la implementación operativa del modelo como herramienta de apoyo para la toma de decisiones. El sistema podría generar alertas automáticas ante incrementos proyectados, facilitar la asignación de recursos policiales por territorio y permitir evaluar el impacto de políticas implementadas mediante comparación entre valores predichos y observados.</w:t>
      </w:r>
    </w:p>
    <w:p>
      <w:pPr>
        <w:jc w:val="both"/>
      </w:pPr>
      <w:r>
        <w:rPr>
          <w:rFonts w:ascii="Times New Roman" w:hAnsi="Times New Roman" w:eastAsia="Times New Roman"/>
          <w:b w:val="0"/>
          <w:i w:val="0"/>
          <w:sz w:val="24"/>
        </w:rPr>
        <w:t>La colaboración entre academia e instituciones gubernamentales resulta fundamental para traducir estos avances en mejoras tangibles para la seguridad ciudadana. El conocimiento científico puede y debe ponerse al servicio de la sociedad especialmente en temas tan urgentes como la protección de la vida humana.</w:t>
      </w:r>
    </w:p>
    <w:p>
      <w:r>
        <w:br w:type="page"/>
      </w:r>
    </w:p>
    <w:p>
      <w:pPr>
        <w:jc w:val="center"/>
      </w:pPr>
      <w:r>
        <w:rPr>
          <w:rFonts w:ascii="Times New Roman" w:hAnsi="Times New Roman" w:eastAsia="Times New Roman"/>
          <w:b/>
          <w:i w:val="0"/>
          <w:sz w:val="24"/>
        </w:rPr>
        <w:t>REFERENCIAS BIBLIOGRÁFICAS</w:t>
      </w:r>
    </w:p>
    <w:p>
      <w:pPr>
        <w:jc w:val="both"/>
      </w:pPr>
      <w:r>
        <w:rPr>
          <w:rFonts w:ascii="Times New Roman" w:hAnsi="Times New Roman"/>
          <w:sz w:val="22"/>
        </w:rPr>
        <w:t>Banco Central del Ecuador. (2024). Boletín estadístico de seguridad ciudadana 2024. BCE.</w:t>
      </w:r>
    </w:p>
    <w:p/>
    <w:p>
      <w:pPr>
        <w:jc w:val="both"/>
      </w:pPr>
      <w:r>
        <w:rPr>
          <w:rFonts w:ascii="Times New Roman" w:hAnsi="Times New Roman"/>
          <w:sz w:val="22"/>
        </w:rPr>
        <w:t>Breiman, L. (2001). Random forests. Machine Learning, 45(1), 5-32. https://doi.org/10.1023/A:1010933404324</w:t>
      </w:r>
    </w:p>
    <w:p/>
    <w:p>
      <w:pPr>
        <w:jc w:val="both"/>
      </w:pPr>
      <w:r>
        <w:rPr>
          <w:rFonts w:ascii="Times New Roman" w:hAnsi="Times New Roman"/>
          <w:sz w:val="22"/>
        </w:rPr>
        <w:t>Chen, T. &amp; Guestrin, C. (2016). XGBoost: A scalable tree boosting system. Proceedings of the 22nd ACM SIGKDD International Conference on Knowledge Discovery and Data Mining, 785-794.</w:t>
      </w:r>
    </w:p>
    <w:p/>
    <w:p>
      <w:pPr>
        <w:jc w:val="both"/>
      </w:pPr>
      <w:r>
        <w:rPr>
          <w:rFonts w:ascii="Times New Roman" w:hAnsi="Times New Roman"/>
          <w:sz w:val="22"/>
        </w:rPr>
        <w:t>Instituto Nacional de Estadística y Censos. (2025). Proyecciones poblacionales de Ecuador 2010-2025. INEC.</w:t>
      </w:r>
    </w:p>
    <w:p/>
    <w:p>
      <w:pPr>
        <w:jc w:val="both"/>
      </w:pPr>
      <w:r>
        <w:rPr>
          <w:rFonts w:ascii="Times New Roman" w:hAnsi="Times New Roman"/>
          <w:sz w:val="22"/>
        </w:rPr>
        <w:t>Ministerio del Interior de Ecuador. (2025). Estadísticas de seguridad ciudadana: Homicidios intencionales 2014-2025. https://www.ministeriodeinterior.gob.ec</w:t>
      </w:r>
    </w:p>
    <w:p/>
    <w:p>
      <w:pPr>
        <w:jc w:val="both"/>
      </w:pPr>
      <w:r>
        <w:rPr>
          <w:rFonts w:ascii="Times New Roman" w:hAnsi="Times New Roman"/>
          <w:sz w:val="22"/>
        </w:rPr>
        <w:t>Mohler, G., Short, M. B., Brantingham, P. J., Schoenberg, F. P. &amp; Tita, G. E. (2011). Self-exciting point process modeling of crime. Journal of the American Statistical Association, 106(493), 100-108.</w:t>
      </w:r>
    </w:p>
    <w:p/>
    <w:p>
      <w:pPr>
        <w:jc w:val="both"/>
      </w:pPr>
      <w:r>
        <w:rPr>
          <w:rFonts w:ascii="Times New Roman" w:hAnsi="Times New Roman"/>
          <w:sz w:val="22"/>
        </w:rPr>
        <w:t>Observatorio Ecuatoriano de Crimen Organizado. (2025). Informe anual de homicidios y violencia criminal en Ecuador. OECO-PADF.</w:t>
      </w:r>
    </w:p>
    <w:p/>
    <w:p>
      <w:pPr>
        <w:jc w:val="both"/>
      </w:pPr>
      <w:r>
        <w:rPr>
          <w:rFonts w:ascii="Times New Roman" w:hAnsi="Times New Roman"/>
          <w:sz w:val="22"/>
        </w:rPr>
        <w:t>Organización de las Naciones Unidas. (2024). Global Study on Homicide 2024. United Nations Office on Drugs and Crime.</w:t>
      </w:r>
    </w:p>
    <w:p/>
    <w:p>
      <w:pPr>
        <w:jc w:val="both"/>
      </w:pPr>
      <w:r>
        <w:rPr>
          <w:rFonts w:ascii="Times New Roman" w:hAnsi="Times New Roman"/>
          <w:sz w:val="22"/>
        </w:rPr>
        <w:t>Perry, W. L., McInnis, B., Price, C. C., Smith, S. C. &amp; Hollywood, J. S. (2013). Predictive Policing: The Role of Crime Forecasting in Law Enforcement Operations. RAND Corporation.</w:t>
      </w:r>
    </w:p>
    <w:p/>
    <w:p>
      <w:pPr>
        <w:jc w:val="both"/>
      </w:pPr>
      <w:r>
        <w:rPr>
          <w:rFonts w:ascii="Times New Roman" w:hAnsi="Times New Roman"/>
          <w:sz w:val="22"/>
        </w:rPr>
        <w:t>Primicias. (2025, enero 13). La violencia se desborda en 2025: Guayaquil concentra los crímenes. https://www.primicias.ec</w:t>
      </w:r>
    </w:p>
    <w:p/>
    <w:p>
      <w:pPr>
        <w:jc w:val="both"/>
      </w:pPr>
      <w:r>
        <w:rPr>
          <w:rFonts w:ascii="Times New Roman" w:hAnsi="Times New Roman"/>
          <w:sz w:val="22"/>
        </w:rPr>
        <w:t>Prokhorenkova, L., Gusev, G., Vorobev, A., Dorogush, A. V. &amp; Gulin, A. (2018). CatBoost: Unbiased boosting with categorical features. Advances in Neural Information Processing Systems, 31, 6638-6648.</w:t>
      </w:r>
    </w:p>
    <w:p/>
    <w:p>
      <w:pPr>
        <w:jc w:val="both"/>
      </w:pPr>
      <w:r>
        <w:rPr>
          <w:rFonts w:ascii="Times New Roman" w:hAnsi="Times New Roman"/>
          <w:sz w:val="22"/>
        </w:rPr>
        <w:t>UNODC. (2023). Homicide trends, patterns and criminal justice response. Global Study on Homicide Series. United Nations Office on Drugs and Crime.</w:t>
      </w:r>
    </w:p>
    <w:p/>
    <w:p>
      <w:pPr>
        <w:jc w:val="both"/>
      </w:pPr>
      <w:r>
        <w:rPr>
          <w:rFonts w:ascii="Times New Roman" w:hAnsi="Times New Roman"/>
          <w:sz w:val="22"/>
        </w:rPr>
        <w:t>World Bank. (2024). Violence and Development: An Analysis of Latin America. World Bank Publications.</w:t>
      </w:r>
    </w:p>
    <w:p>
      <w:r>
        <w:br w:type="page"/>
      </w:r>
    </w:p>
    <w:p>
      <w:pPr>
        <w:jc w:val="center"/>
      </w:pPr>
      <w:r>
        <w:rPr>
          <w:rFonts w:ascii="Times New Roman" w:hAnsi="Times New Roman" w:eastAsia="Times New Roman"/>
          <w:b/>
          <w:i w:val="0"/>
          <w:sz w:val="28"/>
        </w:rPr>
        <w:t>CARTA DE ORIGINALIDAD</w:t>
      </w:r>
    </w:p>
    <w:p>
      <w:pPr>
        <w:jc w:val="both"/>
      </w:pPr>
      <w:r>
        <w:rPr>
          <w:rFonts w:ascii="Times New Roman" w:hAnsi="Times New Roman" w:eastAsia="Times New Roman"/>
          <w:b w:val="0"/>
          <w:i w:val="0"/>
          <w:sz w:val="24"/>
        </w:rPr>
        <w:t>Yo, Erick Reinaldo Flores Zambrano, autor del artículo titulado "Modelo Predictivo de Homicidios en Ecuador mediante Algoritmos de Aprendizaje Automático: Análisis de Datos Oficiales del Ministerio del Interior (2014-2025)", declaro que:</w:t>
        <w:br/>
        <w:br/>
        <w:t>1. El artículo es original e inédito y no ha sido publicado previamente en ningún medio impreso o digital.</w:t>
        <w:br/>
        <w:br/>
        <w:t>2. El contenido no se encuentra en proceso de evaluación en otra revista o publicación académica.</w:t>
        <w:br/>
        <w:br/>
        <w:t>3. Todas las fuentes utilizadas han sido debidamente citadas siguiendo las normas APA séptima edición.</w:t>
        <w:br/>
        <w:br/>
        <w:t>4. Los datos presentados provienen de fuentes oficiales verificables y han sido procesados de manera rigurosa siguiendo estándares científicos apropiados.</w:t>
        <w:br/>
        <w:br/>
        <w:t>5. Los resultados y conclusiones son producto del trabajo de investigación realizado y reflejan fielmente los hallazgos obtenidos.</w:t>
        <w:br/>
        <w:br/>
        <w:t>6. Autorizo a la Revista ECA Sinergia a publicar el artículo en caso de ser aceptado tras el proceso de revisión por pares.</w:t>
        <w:br/>
        <w:br/>
        <w:t>En constancia de lo anterior firmo la presente declaración.</w:t>
        <w:br/>
        <w:br/>
        <w:br/>
        <w:br/>
        <w:t>Firma: _________________________</w:t>
        <w:br/>
        <w:br/>
        <w:t>Nombre: Erick Reinaldo Flores Zambrano</w:t>
        <w:br/>
        <w:br/>
        <w:t>Fecha: _________________________</w:t>
        <w:br/>
        <w:br/>
        <w:t>Lugar: Portoviejo, Ecuador</w:t>
      </w:r>
    </w:p>
    <w:p>
      <w:r>
        <w:br w:type="page"/>
      </w:r>
    </w:p>
    <w:p>
      <w:pPr>
        <w:jc w:val="center"/>
      </w:pPr>
      <w:r>
        <w:rPr>
          <w:rFonts w:ascii="Times New Roman" w:hAnsi="Times New Roman" w:eastAsia="Times New Roman"/>
          <w:b/>
          <w:i w:val="0"/>
          <w:sz w:val="28"/>
        </w:rPr>
        <w:t>DATOS PERSONALES DEL AUTOR</w:t>
      </w:r>
    </w:p>
    <w:p>
      <w:r>
        <w:rPr>
          <w:rFonts w:ascii="Times New Roman" w:hAnsi="Times New Roman" w:eastAsia="Times New Roman"/>
          <w:b w:val="0"/>
          <w:i w:val="0"/>
          <w:sz w:val="24"/>
        </w:rPr>
        <w:t>Nombre completo: Erick Reinaldo Flores Zambrano</w:t>
        <w:br/>
        <w:br/>
        <w:t>Afiliación institucional: Universidad Técnica de Manabí</w:t>
        <w:br/>
        <w:t xml:space="preserve">                         Facultad de Ciencias Administrativas y Económicas</w:t>
        <w:br/>
        <w:t xml:space="preserve">                         Carrera de Economía</w:t>
        <w:br/>
        <w:br/>
        <w:t>Ciudad: Portoviejo</w:t>
        <w:br/>
        <w:br/>
        <w:t>País: Ecuador</w:t>
        <w:br/>
        <w:br/>
        <w:t>Correo electrónico: eflores4006@utm.edu.ec</w:t>
        <w:br/>
        <w:br/>
        <w:t>Teléfono: ____________________</w:t>
        <w:br/>
        <w:br/>
        <w:t>ORCID: (Pendiente de creación - https://orcid.org)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