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tcBorders>
              <w:top w:val="none" w:color="1A1A1F" w:sz="0"/>
              <w:left w:val="none" w:color="1A1A1F" w:sz="0"/>
              <w:bottom w:val="none" w:color="1A1A1F" w:sz="0"/>
              <w:right w:val="none" w:color="1A1A1F" w:sz="0"/>
            </w:tcBorders>
            <w:shd w:fill="1A1A1F" w:val="clear"/>
            <w:tcMar>
              <w:top w:type="dxa" w:w="2400"/>
              <w:left w:type="dxa" w:w="1440"/>
              <w:bottom w:type="dxa" w:w="400"/>
              <w:right w:type="dxa" w:w="1440"/>
            </w:tcMar>
            <w:vAlign w:val="top"/>
          </w:tcPr>
          <w:p>
            <w:pPr>
              <w:spacing w:after="600"/>
            </w:pPr>
          </w:p>
          <w:p>
            <w:pPr>
              <w:spacing w:after="800"/>
            </w:pPr>
            <w:r>
              <w:drawing>
                <wp:inline distT="0" distB="0" distL="0" distR="0">
                  <wp:extent cx="2667000" cy="523875"/>
                  <wp:effectExtent t="0" r="0" b="0" l="0"/>
                  <wp:docPr id="1" name="logo" descr="Logo" title="Partenaire.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STRATÉGIE DE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CROISSANCE</w:t>
            </w:r>
          </w:p>
          <w:p>
            <w:pPr>
              <w:spacing w:after="400"/>
            </w:pPr>
            <w:r>
              <w:rPr>
                <w:rFonts w:ascii="Arial" w:cs="Arial" w:eastAsia="Arial" w:hAnsi="Arial"/>
                <w:b/>
                <w:bCs/>
                <w:color w:val="E8912D"/>
                <w:sz w:val="60"/>
                <w:szCs w:val="60"/>
              </w:rPr>
              <w:t xml:space="preserve">STRATÉGIQUE</w:t>
            </w:r>
          </w:p>
          <w:p>
            <w:pPr>
              <w:pBdr>
                <w:top w:val="single" w:color="E8912D" w:sz="6" w:space="30"/>
              </w:pBdr>
              <w:spacing w:after="60" w:before="100"/>
            </w:pP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Préparé pour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Midi34</w:t>
            </w:r>
          </w:p>
          <w:p>
            <w:pPr>
              <w:spacing w:before="80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mars 2026  |  Confidentiel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Bdr>
          <w:bottom w:val="single" w:color="E8912D" w:sz="6" w:space="12"/>
        </w:pBdr>
        <w:spacing w:after="200" w:before="1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TABLE DES MATIÈRES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912D"/>
          <w:sz w:val="21"/>
          <w:szCs w:val="21"/>
        </w:rPr>
        <w:t xml:space="preserve">1.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 Audit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912D"/>
          <w:sz w:val="21"/>
          <w:szCs w:val="21"/>
        </w:rPr>
        <w:t xml:space="preserve">2.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 Recherche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912D"/>
          <w:sz w:val="21"/>
          <w:szCs w:val="21"/>
        </w:rPr>
        <w:t xml:space="preserve">3.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 Stratégie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912D"/>
          <w:sz w:val="21"/>
          <w:szCs w:val="21"/>
        </w:rPr>
        <w:t xml:space="preserve">4.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 Build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912D"/>
          <w:sz w:val="21"/>
          <w:szCs w:val="21"/>
        </w:rPr>
        <w:t xml:space="preserve">5.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 Lancement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912D"/>
          <w:sz w:val="21"/>
          <w:szCs w:val="21"/>
        </w:rPr>
        <w:t xml:space="preserve">6.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 Scale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912D"/>
          <w:sz w:val="21"/>
          <w:szCs w:val="21"/>
        </w:rPr>
        <w:t xml:space="preserve">7.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 KPIs &amp; Tracking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8912D"/>
          <w:sz w:val="21"/>
          <w:szCs w:val="21"/>
        </w:rPr>
        <w:t xml:space="preserve">8.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 Pourquoi Partenaire.io</w:t>
      </w:r>
    </w:p>
    <w:p>
      <w:r>
        <w:br w:type="page"/>
      </w:r>
    </w:p>
    <w:p>
      <w:pPr>
        <w:pBdr>
          <w:bottom w:val="single" w:color="E8912D" w:sz="6" w:space="12"/>
        </w:pBdr>
        <w:spacing w:after="200" w:before="10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1. Audit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ANALYSE SITUATION ACTUELLE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Problème critique: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0 conversion sur 1 010$ dépensés (CPL impossible à calculer)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ROAS dégradé: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9.46x → 4.50x (-52% performance)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E8912D"/>
          <w:sz w:val="25"/>
          <w:szCs w:val="25"/>
        </w:rPr>
        <w:t xml:space="preserve">3 campagnes actives inefficaces: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Notoriété Q4, Ventes Mars, Saint-Valentin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Dette technique: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Migration Mailchimp → Omnisend EN RETARD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FORCES IDENTIFIÉES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ROAS historique excellent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(9.46x) = produit/marché validé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Budget stable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3k$/mois = capacité d'investissement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Marché francophone Québec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= moins de concurrence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E-commerce bijoux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= fort potentiel AOV et repeat purchase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FAIBLESSES CRITIQUES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Tracking défaillant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(probablement iOS 14.5+ impact)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Email automation cassée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(migration incomplète)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Audiences fatiguées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(mêmes créatifs/targeting)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Seasonal campaigns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mal optimisées post-Saint-Valentin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OPPORTUNITÉS IMMÉDIATES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Récupération ROAS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vers 6-8x (benchmark bijoux)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Email revenue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25-30% du total avec Omnisend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Q2 optimization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(Fête des Mères, graduations)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Catalogue DPA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inexploité</w:t>
      </w:r>
    </w:p>
    <w:p>
      <w:r>
        <w:br w:type="page"/>
      </w:r>
    </w:p>
    <w:p>
      <w:pPr>
        <w:pBdr>
          <w:bottom w:val="single" w:color="E8912D" w:sz="6" w:space="12"/>
        </w:pBdr>
        <w:spacing w:after="200" w:before="10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2. Recherche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AUDIENCE CIBLE QUÉBEC FRANCOPHONE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Démographie: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Femmes 25-45 ans, revenus 50k$+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Psychographie: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Valeurs familiales, occasions spéciales, authenticité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Comportement: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Recherche qualité/prix, sensible aux reviews/UGC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Saisonnalité: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Saint-Valentin, Fête des Mères, Noël (70% revenus annuels)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BENCHMARKS E-COMMERCE BIJOUX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ROAS target: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4-6x (premium 6-8x)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AOV moyen: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75-150$ CAD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Conversion rate: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1.5-3%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Email revenue: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25-30% du total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Repeat rate: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15-25%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ANALYSE CONCURRENTIELLE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Pandora, Birks: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Dominance premium, prix élevés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Bijoux locaux: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Positionnement artisanal/authentique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Opportunité: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Made in Quebec, rapport qualité/prix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TENDANCES Q2 2024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UGC video content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surperforme (+40% engagement)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Micro-influenceurs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québécois authentiques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Mobile-first: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75%+ trafic mobile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Sustainability messaging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important pour milléniales</w:t>
      </w:r>
    </w:p>
    <w:p>
      <w:r>
        <w:br w:type="page"/>
      </w:r>
    </w:p>
    <w:p>
      <w:pPr>
        <w:pBdr>
          <w:bottom w:val="single" w:color="E8912D" w:sz="6" w:space="12"/>
        </w:pBdr>
        <w:spacing w:after="200" w:before="10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3. Stratégie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FUNNEL OPTIMISÉ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 → Collection Page → Add to Cart → Checkout → Purchase → Email Nurture → Repeat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PLAN MARKETING 3-PILIERS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Pilier 1: ACQUISITION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Meta Ads: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Catalogue DPA + Lookalike audiences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Google Shopping: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Capture intent high-funnel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Créatifs: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UGC videos + lifestyle content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Pilier 2: RETENTION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Email Omnisend: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Welcome series, abandon cart, post-purchase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Retargeting: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30-180 jours, offres progressives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Reviews: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Système automatisé post-achat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Pilier 3: EXPANSION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Upsells: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Collections complémentaires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Seasonal campaigns: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Fête des Mères (mai)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Referral program: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Encourage bouche-à-oreille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ALLOCATION BUDGET 3K$/MOIS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E8912D"/>
          <w:sz w:val="25"/>
          <w:szCs w:val="25"/>
        </w:rPr>
        <w:t xml:space="preserve">60% Meta Ads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(1 800$): Catalogue + Prospection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E8912D"/>
          <w:sz w:val="25"/>
          <w:szCs w:val="25"/>
        </w:rPr>
        <w:t xml:space="preserve">30% Google Ads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(900$): Shopping + Search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E8912D"/>
          <w:sz w:val="25"/>
          <w:szCs w:val="25"/>
        </w:rPr>
        <w:t xml:space="preserve">10% Tests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(300$): Nouvelles plateformes/créatifs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OBJECTIFS Q2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ROAS: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5-6x minimum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AOV: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100$+ CAD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Email revenue: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20%+ du total</w:t>
      </w:r>
    </w:p>
    <w:p>
      <w:r>
        <w:br w:type="page"/>
      </w:r>
    </w:p>
    <w:p>
      <w:pPr>
        <w:pBdr>
          <w:bottom w:val="single" w:color="E8912D" w:sz="6" w:space="12"/>
        </w:pBdr>
        <w:spacing w:after="200" w:before="10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4. Build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CRÉATIFS (MOBILE-FIRST)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UGC Videos: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Unboxing + styling (15-30s)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Lifestyle Content: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Occasions spéciales québécoises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Before/After: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Mise en valeur produits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Carousel Ads: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Collections complètes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Format: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9:16 Stories + 1:1 Feed prioritaires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COPY FRAMEWORK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Hook: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Problème/désir ("Le bijou parfait pour...")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Benefits: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Qualité, style, occasions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Social Proof: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Reviews, témoignages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CTA: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"Découvrir la collection" / "Magasiner maintenant"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Langue: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100% français québécois authentique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SETUP OMNISEND (URGENTE)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Welcome Series: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3 emails, discount progressif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Abandon Cart: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3 emails (1h, 24h, 72h)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Post-Purchase: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Thank you + cross-sell + review request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Win-Back: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Clients inactifs 90+ jours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Segments: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VIP (3+ achats), High AOV, Seasonal buyers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TRACKING SETUP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Pixel Meta: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Événements e-commerce complets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Google Analytics 4: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Enhanced e-commerce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Conversions API: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Backup iOS 14.5+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UTM tracking: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Campagnes/sources granulaires</w:t>
      </w:r>
    </w:p>
    <w:p>
      <w:r>
        <w:br w:type="page"/>
      </w:r>
    </w:p>
    <w:p>
      <w:pPr>
        <w:pBdr>
          <w:bottom w:val="single" w:color="E8912D" w:sz="6" w:space="12"/>
        </w:pBdr>
        <w:spacing w:after="200" w:before="10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5. Lancement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SEMAINE 1: FONDATIONS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Jour 1-2: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Finaliser migration Omnisend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Jour 3-4: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Upload créatifs + setup campagnes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Jour 5-7: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Launch + monitoring initial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Budget: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750$ (25% du mensuel, tests conservateurs)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SEMAINE 2: OPTIMISATION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Analyse performance: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CTR, CPM, CPC par créatif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Pause: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Ads sous 1% CTR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Scale: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Winners +50% budget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Budget: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750$ (focus sur performers)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SEMAINE 3: EXPANSION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Lookalike audiences: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Basées sur purchasers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Retargeting: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7-30 jours visitors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Google Shopping: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Launch si Meta stable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Budget: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900$ (progression contrôlée)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SEMAINE 4: SCALE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Campaign Budget Optimization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sur winners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Nouveaux créatifs: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Refresh fatigue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Email: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Analyse performance sequences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Budget: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1 200$ (si ROAS &gt;4x)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SEUILS DE DÉCISION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Scale: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ROAS &gt;4x sustained 3+ jours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Pause: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ROAS &lt;2x après 48h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Pivot: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CPM &gt;20$ CAD audience fatigue</w:t>
      </w:r>
    </w:p>
    <w:p>
      <w:r>
        <w:br w:type="page"/>
      </w:r>
    </w:p>
    <w:p>
      <w:pPr>
        <w:pBdr>
          <w:bottom w:val="single" w:color="E8912D" w:sz="6" w:space="12"/>
        </w:pBdr>
        <w:spacing w:after="200" w:before="10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6. Scale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SCALE VERTICAL (MOIS 2-3)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Budget +20%/semaine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sur campaigns ROAS &gt;5x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Duplicate winners: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Nouvelles audiences similaires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Expand territories: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Ontario francophone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Goal: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5-7k$/mois budget (ROAS maintenu)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SCALE HORIZONTAL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Pinterest Ads: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Visual platform parfait bijoux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TikTok Ads: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UGC creators québécois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Google Display: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Remarketing visuel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YouTube: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Video testimonials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AUTOMATION ADVANCED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Dynamic Product Ads: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Catalogue complet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Predictive Audiences: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AI-powered targeting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Email Automation: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Behaviour-triggered flows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Inventory Alerts: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Stock-based campaign pause/resume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SCALE TRIGGERS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ROAS stable &gt;4x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pendant 14 jours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Email revenue &gt;15%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du total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Repeat rate &gt;10%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(customer retention)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Positive cash flow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sur 30 jours rolling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SCALE GUARDS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Daily ROAS monitoring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(pause &lt;3x)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Audience overlap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&lt;10% entre campaigns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Creative refresh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chaque 14 jours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Budget caps: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Max 50% increase per week</w:t>
      </w:r>
    </w:p>
    <w:p>
      <w:r>
        <w:br w:type="page"/>
      </w:r>
    </w:p>
    <w:p>
      <w:pPr>
        <w:pBdr>
          <w:bottom w:val="single" w:color="E8912D" w:sz="6" w:space="12"/>
        </w:pBdr>
        <w:spacing w:after="200" w:before="10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7. KPIs &amp; Tracking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MÉTRIQUES PRIMAIRES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CPP (Cost Per Purchase):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&lt;30$ CAD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AOV (Average Order Value):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100$+ CAD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pacing w:val="40"/>
                <w:sz w:val="14"/>
                <w:szCs w:val="14"/>
              </w:rPr>
              <w:t xml:space="preserve">MÉTRIQUE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6B"/>
                <w:spacing w:val="40"/>
                <w:sz w:val="14"/>
                <w:szCs w:val="14"/>
              </w:rPr>
              <w:t xml:space="preserve">ACTUEL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FF6B"/>
                <w:spacing w:val="40"/>
                <w:sz w:val="14"/>
                <w:szCs w:val="14"/>
              </w:rPr>
              <w:t xml:space="preserve">CIBLE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ROAS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4x (target 5-6x)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Conversion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2%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Email Revenue 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20% du total</w:t>
            </w:r>
          </w:p>
        </w:tc>
      </w:tr>
    </w:tbl>
    <w:p>
      <w:pPr>
        <w:spacing w:after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PIPELINE TRACKING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Ad Impressions → Clicks → Website Visits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Collection Views → Add to Cart → Checkout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Purchase → Email Signup → Repeat Purchase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SCORING/GRADING CUSTOMERS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A-Grade: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3+ purchases, AOV &gt;150$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B-Grade: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2 purchases, AOV 75-150$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C-Grade: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1 purchase, AOV &lt;75$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Prospects: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Email subscribers, no purchase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DASHBOARD WEEKLY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Spend vs Revenue: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ROAS trending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Top Products: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Best sellers analysis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Customer Segments: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Behavior patterns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Seasonal Performance: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YoY comparisons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REPORTING STRUCTURE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Daily: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ROAS, spend, conversions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Weekly: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Creative performance, audience analysis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Monthly: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Full funnel, customer LTV, projections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Quarterly: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Business review, strategy pivots</w:t>
      </w:r>
    </w:p>
    <w:p>
      <w:r>
        <w:br w:type="page"/>
      </w:r>
    </w:p>
    <w:p>
      <w:pPr>
        <w:pBdr>
          <w:bottom w:val="single" w:color="E8912D" w:sz="6" w:space="12"/>
        </w:pBdr>
        <w:spacing w:after="200" w:before="10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Pourquoi Partenaire.io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Partenaire.io est une agence de croissance spécialisée dans la performance marketing pour les entreprises ambitieuses au Québec et en Amérique du Nord.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2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69+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pacing w:val="60"/>
                <w:sz w:val="14"/>
                <w:szCs w:val="14"/>
              </w:rPr>
              <w:t xml:space="preserve">CLIENTS ACTIFS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2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912D"/>
                <w:sz w:val="40"/>
                <w:szCs w:val="40"/>
              </w:rPr>
              <w:t xml:space="preserve">$687K+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pacing w:val="60"/>
                <w:sz w:val="14"/>
                <w:szCs w:val="14"/>
              </w:rPr>
              <w:t xml:space="preserve">REVENUE GÉNÉRÉ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2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22x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pacing w:val="60"/>
                <w:sz w:val="14"/>
                <w:szCs w:val="14"/>
              </w:rPr>
              <w:t xml:space="preserve">ROAS MOYEN</w:t>
            </w:r>
          </w:p>
        </w:tc>
      </w:tr>
    </w:tbl>
    <w:p>
      <w:pPr>
        <w:spacing w:after="2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CE QUI NOUS DISTINGUE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Approche data-driven : chaque décision est basée sur les données, pas les suppositions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Méthodologie 6 phases éprouvée : Audit, Recherche, Stratégie, Build, Lancement, Scale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Infrastructure technique complète : CRM, automatisations, tracking, rapports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Expertise multi-industrie : ecommerce, coaching, services locaux, SaaS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Équipe dédiée avec un seul point de contact stratégique</w:t>
      </w:r>
    </w:p>
    <w:p>
      <w:pPr>
        <w:spacing w:before="2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912D"/>
          <w:sz w:val="19"/>
          <w:szCs w:val="19"/>
        </w:rPr>
        <w:t xml:space="preserve">PROCHAINES ÉTAPES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Validation de cette stratégie avec votre équipe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Alignement sur les priorités et le calendrier</w:t>
      </w:r>
    </w:p>
    <w:p>
      <w:pPr>
        <w:spacing w:after="70" w:line="300"/>
        <w:ind w:left="50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→ 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Démarrage immédiat de la Phase 1</w:t>
      </w:r>
    </w:p>
    <w:sectPr>
      <w:headerReference w:type="default" r:id="rId7"/>
      <w:footerReference w:type="default" r:id="rId8"/>
      <w:pgSz w:w="12240" w:h="15840" w:orient="portrait"/>
      <w:pgMar w:top="12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8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Confidentiel — mars 2026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b/>
        <w:bCs/>
        <w:color w:val="333333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912D" w:sz="2" w:space="8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E8912D"/>
        <w:spacing w:val="60"/>
        <w:sz w:val="16"/>
        <w:szCs w:val="16"/>
      </w:rPr>
      <w:t xml:space="preserve">PARTENAIRE.IO</w:t>
    </w:r>
    <w:r>
      <w:rPr>
        <w:rFonts w:ascii="Arial" w:cs="Arial" w:eastAsia="Arial" w:hAnsi="Arial"/>
        <w:color w:val="999999"/>
        <w:sz w:val="16"/>
        <w:szCs w:val="16"/>
      </w:rPr>
      <w:t xml:space="preserve">	Stratégie — Midi34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cacd9433d1c753674de8ead297e6be148538d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2026-03-23T02:46:50.199Z</dcterms:created>
  <dcterms:modified xsi:type="dcterms:W3CDTF">2026-03-23T02:46:50.200Z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