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3600"/>
        <w:jc w:val="center"/>
      </w:pPr>
      <w:r>
        <w:rPr>
          <w:b/>
          <w:bCs/>
          <w:sz w:val="28"/>
          <w:szCs w:val="28"/>
        </w:rPr>
        <w:t xml:space="preserve">UNIVERSIDAD INTERNACIONAL DE LA RIOJA</w:t>
      </w:r>
    </w:p>
    <w:p>
      <w:pPr>
        <w:spacing w:after="600"/>
        <w:jc w:val="center"/>
      </w:pPr>
      <w:r>
        <w:rPr>
          <w:sz w:val="26"/>
          <w:szCs w:val="26"/>
        </w:rPr>
        <w:t xml:space="preserve">Máster Universitario en Inteligencia Artificial</w:t>
      </w:r>
    </w:p>
    <w:p>
      <w:pPr>
        <w:spacing w:after="900" w:before="900"/>
        <w:jc w:val="center"/>
      </w:pPr>
      <w:r>
        <w:rPr>
          <w:b/>
          <w:bCs/>
          <w:sz w:val="36"/>
          <w:szCs w:val="36"/>
        </w:rPr>
        <w:t xml:space="preserve">Desarrollo de un sistema de triaje multimodal basado en IA para la atención en urgencias médicas en Colombia</w:t>
      </w:r>
    </w:p>
    <w:p>
      <w:pPr>
        <w:spacing w:after="200"/>
        <w:jc w:val="center"/>
      </w:pPr>
      <w:r>
        <w:rPr>
          <w:sz w:val="26"/>
          <w:szCs w:val="26"/>
        </w:rPr>
        <w:t xml:space="preserve">Medina Betancur, Diego Andrés</w:t>
      </w:r>
    </w:p>
    <w:p>
      <w:pPr>
        <w:spacing w:after="200"/>
        <w:jc w:val="center"/>
      </w:pPr>
      <w:r>
        <w:rPr>
          <w:sz w:val="26"/>
          <w:szCs w:val="26"/>
        </w:rPr>
        <w:t xml:space="preserve">Rivera Villanueva, Leyniker</w:t>
      </w:r>
    </w:p>
    <w:p>
      <w:pPr>
        <w:spacing w:after="600"/>
        <w:jc w:val="center"/>
      </w:pPr>
      <w:r>
        <w:rPr>
          <w:sz w:val="26"/>
          <w:szCs w:val="26"/>
        </w:rPr>
        <w:t xml:space="preserve">Soto Díaz, Erick Duván</w:t>
      </w:r>
    </w:p>
    <w:p>
      <w:pPr>
        <w:spacing w:after="1200"/>
        <w:jc w:val="center"/>
      </w:pPr>
      <w:r>
        <w:rPr>
          <w:sz w:val="26"/>
          <w:szCs w:val="26"/>
        </w:rPr>
        <w:t xml:space="preserve">Directora: Damaris Fuentes Lorenzo</w:t>
      </w:r>
    </w:p>
    <w:p>
      <w:pPr>
        <w:spacing w:before="1200"/>
        <w:jc w:val="center"/>
      </w:pPr>
      <w:r>
        <w:rPr>
          <w:sz w:val="26"/>
          <w:szCs w:val="26"/>
        </w:rPr>
        <w:t xml:space="preserve">Armenia, Colombia — 2026</w:t>
      </w:r>
    </w:p>
    <w:p>
      <w:pPr>
        <w:pageBreakBefore/>
      </w:pPr>
      <w:sdt>
        <w:sdtPr>
          <w:alias w:val="Índice de contenidos"/>
        </w:sdtPr>
        <w:sdtContent>
          <w:p>
            <w:r>
              <w:fldChar w:fldCharType="begin" w:dirty="true"/>
              <w:instrText xml:space="preserve">TOC</w:instrText>
              <w:fldChar w:fldCharType="separate"/>
            </w:r>
          </w:p>
          <w:p>
            <w:r>
              <w:fldChar w:fldCharType="end"/>
            </w:r>
          </w:p>
        </w:sdtContent>
      </w:sdt>
    </w:p>
    <w:p>
      <w:pPr>
        <w:pStyle w:val="Heading1"/>
      </w:pPr>
      <w:r>
        <w:t xml:space="preserve">0. Organización del trabajo en grupo — TFM TriajeIA</w:t>
      </w:r>
    </w:p>
    <w:p>
      <w:r>
        <w:t xml:space="preserve">Ubicación exigida: </w:t>
      </w:r>
      <w:r>
        <w:rPr>
          <w:b/>
          <w:bCs/>
        </w:rPr>
        <w:t xml:space="preserve">antes de la introducción</w:t>
      </w:r>
      <w:r>
        <w:t xml:space="preserve"> (Protocolo TFE grupal UNIR).</w:t>
      </w:r>
    </w:p>
    <w:p>
      <w:r>
        <w:t xml:space="preserve">Estado: redactado con la información real del equipo (2026-08-14).</w:t>
      </w:r>
    </w:p>
    <w:p>
      <w:r>
        <w:t xml:space="preserve">⚠️ Pendiente único: </w:t>
      </w:r>
      <w:r>
        <w:rPr>
          <w:b/>
          <w:bCs/>
        </w:rPr>
        <w:t xml:space="preserve">aval explícito de la directora</w:t>
      </w:r>
      <w:r>
        <w:t xml:space="preserve"> antes del depósito.</w:t>
      </w:r>
    </w:p>
    <w:p>
      <w:pPr>
        <w:spacing w:after="120"/>
      </w:pPr>
      <w:r>
        <w:rPr>
          <w:b/>
          <w:bCs/>
        </w:rPr>
        <w:t xml:space="preserve">Título del TFM:</w:t>
      </w:r>
      <w:r>
        <w:t xml:space="preserve"> Desarrollo de un sistema de triaje multimodal basado en IA</w:t>
      </w:r>
    </w:p>
    <w:p>
      <w:pPr>
        <w:spacing w:after="120"/>
      </w:pPr>
      <w:r>
        <w:t xml:space="preserve">para la atención en urgencias médicas en Colombia.</w:t>
      </w:r>
    </w:p>
    <w:p>
      <w:pPr>
        <w:pStyle w:val="Heading2"/>
      </w:pPr>
      <w:r>
        <w:t xml:space="preserve">Integrantes (orden alfabético)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E8EEF7"/>
          </w:tcPr>
          <w:p>
            <w:r>
              <w:rPr>
                <w:b/>
                <w:bCs/>
              </w:rPr>
              <w:t xml:space="preserve">Integrante</w:t>
            </w:r>
          </w:p>
        </w:tc>
        <w:tc>
          <w:tcPr>
            <w:shd w:fill="E8EEF7"/>
          </w:tcPr>
          <w:p>
            <w:r>
              <w:rPr>
                <w:b/>
                <w:bCs/>
              </w:rPr>
              <w:t xml:space="preserve">Correo institucional</w:t>
            </w:r>
          </w:p>
        </w:tc>
      </w:tr>
      <w:tr>
        <w:tc>
          <w:p>
            <w:r>
              <w:t xml:space="preserve">Medina Betancur, Diego Andrés</w:t>
            </w:r>
          </w:p>
        </w:tc>
        <w:tc>
          <w:p>
            <w:r>
              <w:t xml:space="preserve">`[COMPLETAR con el correo UNIR]`</w:t>
            </w:r>
          </w:p>
        </w:tc>
      </w:tr>
      <w:tr>
        <w:tc>
          <w:p>
            <w:r>
              <w:t xml:space="preserve">Rivera Villanueva, Leyniker</w:t>
            </w:r>
          </w:p>
        </w:tc>
        <w:tc>
          <w:p>
            <w:r>
              <w:t xml:space="preserve">`[COMPLETAR con el correo UNIR]`</w:t>
            </w:r>
          </w:p>
        </w:tc>
      </w:tr>
      <w:tr>
        <w:tc>
          <w:p>
            <w:r>
              <w:t xml:space="preserve">Soto Díaz, Erick Duván</w:t>
            </w:r>
          </w:p>
        </w:tc>
        <w:tc>
          <w:p>
            <w:r>
              <w:t xml:space="preserve">`[COMPLETAR con el correo UNIR]`</w:t>
            </w:r>
          </w:p>
        </w:tc>
      </w:tr>
    </w:tbl>
    <w:p>
      <w:pPr>
        <w:spacing w:after="120"/>
      </w:pPr>
      <w:r>
        <w:rPr>
          <w:b/>
          <w:bCs/>
        </w:rPr>
        <w:t xml:space="preserve">Portavoz del grupo:</w:t>
      </w:r>
      <w:r>
        <w:t xml:space="preserve"> Medina Betancur, Diego Andrés — responsable de la</w:t>
      </w:r>
    </w:p>
    <w:p>
      <w:pPr>
        <w:spacing w:after="120"/>
      </w:pPr>
      <w:r>
        <w:t xml:space="preserve">comunicación oficial con la directora y de la entrega de la presente</w:t>
      </w:r>
    </w:p>
    <w:p>
      <w:pPr>
        <w:spacing w:after="120"/>
      </w:pPr>
      <w:r>
        <w:t xml:space="preserve">organización para su aval.</w:t>
      </w:r>
    </w:p>
    <w:p>
      <w:pPr>
        <w:pStyle w:val="Heading2"/>
      </w:pPr>
      <w:r>
        <w:t xml:space="preserve">Reparto de responsabilidades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E8EEF7"/>
          </w:tcPr>
          <w:p>
            <w:r>
              <w:rPr>
                <w:b/>
                <w:bCs/>
              </w:rPr>
              <w:t xml:space="preserve">Integrante</w:t>
            </w:r>
          </w:p>
        </w:tc>
        <w:tc>
          <w:tcPr>
            <w:shd w:fill="E8EEF7"/>
          </w:tcPr>
          <w:p>
            <w:r>
              <w:rPr>
                <w:b/>
                <w:bCs/>
              </w:rPr>
              <w:t xml:space="preserve">Partes del trabajo</w:t>
            </w:r>
          </w:p>
        </w:tc>
      </w:tr>
      <w:tr>
        <w:tc>
          <w:p>
            <w:r>
              <w:t xml:space="preserve">Medina Betancur, Diego Andrés</w:t>
            </w:r>
          </w:p>
        </w:tc>
        <w:tc>
          <w:p>
            <w:r>
              <w:t xml:space="preserve">Introducción y estado del arte (capítulos 1–2): motivación del triaje en Colombia, revisión de literatura y benchmarks del estado del arte.</w:t>
            </w:r>
          </w:p>
        </w:tc>
      </w:tr>
      <w:tr>
        <w:tc>
          <w:p>
            <w:r>
              <w:t xml:space="preserve">Rivera Villanueva, Leyniker</w:t>
            </w:r>
          </w:p>
        </w:tc>
        <w:tc>
          <w:p>
            <w:r>
              <w:t xml:space="preserve">Metodología y desarrollo de la contribución (capítulos 3–4): diseño experimental, arquitectura del sistema y pipeline de entrenamiento.</w:t>
            </w:r>
          </w:p>
        </w:tc>
      </w:tr>
      <w:tr>
        <w:tc>
          <w:p>
            <w:r>
              <w:t xml:space="preserve">Soto Díaz, Erick Duván</w:t>
            </w:r>
          </w:p>
        </w:tc>
        <w:tc>
          <w:p>
            <w:r>
              <w:t xml:space="preserve">Resultados, discusión y conclusiones (capítulos 5–7): evaluación experimental, comparación con benchmarks, limitaciones y trabajo futuro.</w:t>
            </w:r>
          </w:p>
        </w:tc>
      </w:tr>
    </w:tbl>
    <w:p>
      <w:pPr>
        <w:pStyle w:val="Heading2"/>
      </w:pPr>
      <w:r>
        <w:t xml:space="preserve">Objetivos perseguidos en cada parte</w:t>
      </w:r>
    </w:p>
    <w:p>
      <w:pPr>
        <w:spacing w:after="120"/>
      </w:pPr>
      <w:r>
        <w:t xml:space="preserve">1. </w:t>
      </w:r>
      <w:r>
        <w:rPr>
          <w:b/>
          <w:bCs/>
        </w:rPr>
        <w:t xml:space="preserve">Introducción y estado del arte (Medina):</w:t>
      </w:r>
      <w:r>
        <w:t xml:space="preserve"> contextualizar el problema del</w:t>
      </w:r>
    </w:p>
    <w:p>
      <w:pPr>
        <w:spacing w:after="120"/>
      </w:pPr>
      <w:r>
        <w:t xml:space="preserve">triaje de urgencias en Colombia (Res. 5596/2015), fundamentar la necesidad</w:t>
      </w:r>
    </w:p>
    <w:p>
      <w:pPr>
        <w:spacing w:after="120"/>
      </w:pPr>
      <w:r>
        <w:t xml:space="preserve">de apoyo automatizado y sintetizar los benchmarks de referencia (CTAS,</w:t>
      </w:r>
    </w:p>
    <w:p>
      <w:pPr>
        <w:spacing w:after="120"/>
      </w:pPr>
      <w:r>
        <w:t xml:space="preserve">Hong et al., Ueareekul et al., Levin et al.).</w:t>
      </w:r>
    </w:p>
    <w:p>
      <w:pPr>
        <w:spacing w:after="120"/>
      </w:pPr>
      <w:r>
        <w:t xml:space="preserve">2. </w:t>
      </w:r>
      <w:r>
        <w:rPr>
          <w:b/>
          <w:bCs/>
        </w:rPr>
        <w:t xml:space="preserve">Metodología y desarrollo (Rivera):</w:t>
      </w:r>
      <w:r>
        <w:t xml:space="preserve"> documentar el diseño experimental</w:t>
      </w:r>
    </w:p>
    <w:p>
      <w:pPr>
        <w:spacing w:after="120"/>
      </w:pPr>
      <w:r>
        <w:t xml:space="preserve">reproducible (semilla fija, split estratificado, CV, umbrales por clase) y</w:t>
      </w:r>
    </w:p>
    <w:p>
      <w:pPr>
        <w:spacing w:after="120"/>
      </w:pPr>
      <w:r>
        <w:t xml:space="preserve">la construcción del sistema (arquitectura monolito modular, pipeline de 10</w:t>
      </w:r>
    </w:p>
    <w:p>
      <w:pPr>
        <w:spacing w:after="120"/>
      </w:pPr>
      <w:r>
        <w:t xml:space="preserve">pasos, integración de la cohorte San Juan de Dios).</w:t>
      </w:r>
    </w:p>
    <w:p>
      <w:pPr>
        <w:spacing w:after="120"/>
      </w:pPr>
      <w:r>
        <w:t xml:space="preserve">3. </w:t>
      </w:r>
      <w:r>
        <w:rPr>
          <w:b/>
          <w:bCs/>
        </w:rPr>
        <w:t xml:space="preserve">Resultados y conclusiones (Soto):</w:t>
      </w:r>
      <w:r>
        <w:t xml:space="preserve"> presentar las métricas reales con</w:t>
      </w:r>
    </w:p>
    <w:p>
      <w:pPr>
        <w:spacing w:after="120"/>
      </w:pPr>
      <w:r>
        <w:t xml:space="preserve">trazabilidad a artefactos, discutir la comparación honesta con la</w:t>
      </w:r>
    </w:p>
    <w:p>
      <w:pPr>
        <w:spacing w:after="120"/>
      </w:pPr>
      <w:r>
        <w:t xml:space="preserve">literatura y extraer conclusiones y trabajo futuro.</w:t>
      </w:r>
    </w:p>
    <w:p>
      <w:pPr>
        <w:pStyle w:val="Heading2"/>
      </w:pPr>
      <w:r>
        <w:t xml:space="preserve">Mecanismos de coordinación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Reuniones de avance cada 3 días</w:t>
      </w:r>
      <w:r>
        <w:t xml:space="preserve"> (sincrónicas, con acta breve de</w:t>
      </w:r>
    </w:p>
    <w:p>
      <w:pPr>
        <w:spacing w:after="120"/>
      </w:pPr>
      <w:r>
        <w:t xml:space="preserve">acuerdos y bloqueos).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Repositorio compartido</w:t>
      </w:r>
      <w:r>
        <w:t xml:space="preserve"> `erick880709/Kit-IA` (rama `main`): todo</w:t>
      </w:r>
    </w:p>
    <w:p>
      <w:pPr>
        <w:spacing w:after="120"/>
      </w:pPr>
      <w:r>
        <w:t xml:space="preserve">artefacto (código, métricas, capítulos) se versiona y cada commit queda</w:t>
      </w:r>
    </w:p>
    <w:p>
      <w:pPr>
        <w:spacing w:after="120"/>
      </w:pPr>
      <w:r>
        <w:t xml:space="preserve">trazable por autor.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Herramientas de comunicación:</w:t>
      </w:r>
      <w:r>
        <w:t xml:space="preserve"> mensajería grupal permanente + correo</w:t>
      </w:r>
    </w:p>
    <w:p>
      <w:pPr>
        <w:spacing w:after="120"/>
      </w:pPr>
      <w:r>
        <w:t xml:space="preserve">institucional para comunicaciones formales con la directora.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Regla de integración:</w:t>
      </w:r>
      <w:r>
        <w:t xml:space="preserve"> ninguna cifra entra a los capítulos sin su</w:t>
      </w:r>
    </w:p>
    <w:p>
      <w:pPr>
        <w:spacing w:after="120"/>
      </w:pPr>
      <w:r>
        <w:t xml:space="preserve">archivo fuente en `triaje-ia/artifacts/` (trazabilidad de resultados).</w:t>
      </w:r>
    </w:p>
    <w:p>
      <w:pPr>
        <w:pStyle w:val="Heading2"/>
      </w:pPr>
      <w:r>
        <w:t xml:space="preserve">Aval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[ ] Firma/aval de la directora: `[COMPLETAR fecha y confirmación]`</w:t>
      </w:r>
    </w:p>
    <w:p>
      <w:pPr>
        <w:pStyle w:val="Heading1"/>
      </w:pPr>
      <w:r>
        <w:t xml:space="preserve">Resumen / Abstract — TriajeIA (versión para depósito)</w:t>
      </w:r>
    </w:p>
    <w:p>
      <w:r>
        <w:t xml:space="preserve">Redactado por `tfm-redactor` con cifras verificadas contra `triaje-ia/artifacts/metrics/`.</w:t>
      </w:r>
    </w:p>
    <w:p>
      <w:r>
        <w:t xml:space="preserve">Ninguna cifra de este resumen se escribió sin su archivo fuente.</w:t>
      </w:r>
    </w:p>
    <w:p>
      <w:pPr>
        <w:pStyle w:val="Heading2"/>
      </w:pPr>
      <w:r>
        <w:t xml:space="preserve">Resumen (español)</w:t>
      </w:r>
    </w:p>
    <w:p>
      <w:pPr>
        <w:spacing w:after="120"/>
      </w:pPr>
      <w:r>
        <w:t xml:space="preserve">El triaje de urgencias en Colombia se realiza según la Resolución 5596 de 2015</w:t>
      </w:r>
    </w:p>
    <w:p>
      <w:pPr>
        <w:spacing w:after="120"/>
      </w:pPr>
      <w:r>
        <w:t xml:space="preserve">(niveles I–V), y su calidad depende de la disponibilidad y experiencia del</w:t>
      </w:r>
    </w:p>
    <w:p>
      <w:pPr>
        <w:spacing w:after="120"/>
      </w:pPr>
      <w:r>
        <w:t xml:space="preserve">profesional. Este trabajo desarrolló </w:t>
      </w:r>
      <w:r>
        <w:rPr>
          <w:b/>
          <w:bCs/>
        </w:rPr>
        <w:t xml:space="preserve">TriajeIA</w:t>
      </w:r>
      <w:r>
        <w:t xml:space="preserve">, un sistema de apoyo a la</w:t>
      </w:r>
    </w:p>
    <w:p>
      <w:pPr>
        <w:spacing w:after="120"/>
      </w:pPr>
      <w:r>
        <w:t xml:space="preserve">decisión clínica basado en inteligencia artificial multimodal que integra</w:t>
      </w:r>
    </w:p>
    <w:p>
      <w:pPr>
        <w:spacing w:after="120"/>
      </w:pPr>
      <w:r>
        <w:t xml:space="preserve">signos vitales estructurados y texto clínico libre (motivo de consulta y código</w:t>
      </w:r>
    </w:p>
    <w:p>
      <w:pPr>
        <w:spacing w:after="120"/>
      </w:pPr>
      <w:r>
        <w:t xml:space="preserve">CIE-10). Se implementó una arquitectura monolítica modular (Streamlit,</w:t>
      </w:r>
    </w:p>
    <w:p>
      <w:pPr>
        <w:spacing w:after="120"/>
      </w:pPr>
      <w:r>
        <w:t xml:space="preserve">SQLAlchemy, SQLite) con control de acceso por roles, auditoría de trazabilidad</w:t>
      </w:r>
    </w:p>
    <w:p>
      <w:pPr>
        <w:spacing w:after="120"/>
      </w:pPr>
      <w:r>
        <w:t xml:space="preserve">inmutable y explicabilidad con SHAP, cumpliendo los principios de privacidad de</w:t>
      </w:r>
    </w:p>
    <w:p>
      <w:pPr>
        <w:spacing w:after="120"/>
      </w:pPr>
      <w:r>
        <w:t xml:space="preserve">la Ley 1581 de 2012.</w:t>
      </w:r>
    </w:p>
    <w:p>
      <w:pPr>
        <w:spacing w:after="120"/>
      </w:pPr>
      <w:r>
        <w:t xml:space="preserve">El motor de IA combina, mediante </w:t>
      </w:r>
      <w:r>
        <w:rPr>
          <w:b/>
          <w:bCs/>
        </w:rPr>
        <w:t xml:space="preserve">fusión tardía ponderada</w:t>
      </w:r>
      <w:r>
        <w:t xml:space="preserve">, un clasificador</w:t>
      </w:r>
    </w:p>
    <w:p>
      <w:pPr>
        <w:spacing w:after="120"/>
      </w:pPr>
      <w:r>
        <w:t xml:space="preserve">XGBoost sobre variables estructuradas (hiperparámetros afinados por búsqueda en</w:t>
      </w:r>
    </w:p>
    <w:p>
      <w:pPr>
        <w:spacing w:after="120"/>
      </w:pPr>
      <w:r>
        <w:t xml:space="preserve">rejilla con validación, pesos balanceados por clase) y una regresión logística</w:t>
      </w:r>
    </w:p>
    <w:p>
      <w:pPr>
        <w:spacing w:after="120"/>
      </w:pPr>
      <w:r>
        <w:t xml:space="preserve">sobre representaciones TF-IDF del texto clínico, entrenada con una cohorte real</w:t>
      </w:r>
    </w:p>
    <w:p>
      <w:pPr>
        <w:spacing w:after="120"/>
      </w:pPr>
      <w:r>
        <w:t xml:space="preserve">de 43.594 eventos de urgencias (Hospital San Juan de Dios). El diseño</w:t>
      </w:r>
    </w:p>
    <w:p>
      <w:pPr>
        <w:spacing w:after="120"/>
      </w:pPr>
      <w:r>
        <w:t xml:space="preserve">experimental aplicó split estratificado 70/15/15 con semilla fija, ajustando</w:t>
      </w:r>
    </w:p>
    <w:p>
      <w:pPr>
        <w:spacing w:after="120"/>
      </w:pPr>
      <w:r>
        <w:t xml:space="preserve">todos los preprocesadores únicamente sobre el conjunto de entrenamiento</w:t>
      </w:r>
    </w:p>
    <w:p>
      <w:pPr>
        <w:spacing w:after="120"/>
      </w:pPr>
      <w:r>
        <w:t xml:space="preserve">(verificación anti-fuga) y umbrales de decisión por clase que priorizan la</w:t>
      </w:r>
    </w:p>
    <w:p>
      <w:pPr>
        <w:spacing w:after="120"/>
      </w:pPr>
      <w:r>
        <w:t xml:space="preserve">sensibilidad en los niveles críticos I y II.</w:t>
      </w:r>
    </w:p>
    <w:p>
      <w:pPr>
        <w:spacing w:after="120"/>
      </w:pPr>
      <w:r>
        <w:t xml:space="preserve">Sobre el conjunto de prueba del dataset sintético de demostración (calibrado</w:t>
      </w:r>
    </w:p>
    <w:p>
      <w:pPr>
        <w:spacing w:after="120"/>
      </w:pPr>
      <w:r>
        <w:t xml:space="preserve">con la distribución nacional medida en 89.453 eventos reales), el modelo</w:t>
      </w:r>
    </w:p>
    <w:p>
      <w:pPr>
        <w:spacing w:after="120"/>
      </w:pPr>
      <w:r>
        <w:t xml:space="preserve">alcanzó una </w:t>
      </w:r>
      <w:r>
        <w:rPr>
          <w:b/>
          <w:bCs/>
        </w:rPr>
        <w:t xml:space="preserve">exactitud de 0.978, AUC-ROC macro de 0.968 y macro-F1 de 0.551</w:t>
      </w:r>
      <w:r>
        <w:t xml:space="preserve">;</w:t>
      </w:r>
    </w:p>
    <w:p>
      <w:pPr>
        <w:spacing w:after="120"/>
      </w:pPr>
      <w:r>
        <w:t xml:space="preserve">la prueba de McNemar confirmó que supera significativamente a la regla</w:t>
      </w:r>
    </w:p>
    <w:p>
      <w:pPr>
        <w:spacing w:after="120"/>
      </w:pPr>
      <w:r>
        <w:t xml:space="preserve">mayoritaria (p ≈ 0). La calibración resultó adecuada (Brier 0.036; ECE 0.042).</w:t>
      </w:r>
    </w:p>
    <w:p>
      <w:pPr>
        <w:spacing w:after="120"/>
      </w:pPr>
      <w:r>
        <w:t xml:space="preserve">Los niveles clínicamente prioritarios obtuvieron en el conjunto de prueba un</w:t>
      </w:r>
    </w:p>
    <w:p>
      <w:pPr>
        <w:spacing w:after="120"/>
      </w:pPr>
      <w:r>
        <w:t xml:space="preserve">recall de 0.812 (nivel II) con precisión de 0.867. Estos resultados, si bien</w:t>
      </w:r>
    </w:p>
    <w:p>
      <w:pPr>
        <w:spacing w:after="120"/>
      </w:pPr>
      <w:r>
        <w:t xml:space="preserve">favorables, deben interpretarse como </w:t>
      </w:r>
      <w:r>
        <w:rPr>
          <w:b/>
          <w:bCs/>
        </w:rPr>
        <w:t xml:space="preserve">evidencia preliminar</w:t>
      </w:r>
      <w:r>
        <w:t xml:space="preserve">: el CIE-10</w:t>
      </w:r>
    </w:p>
    <w:p>
      <w:pPr>
        <w:spacing w:after="120"/>
      </w:pPr>
      <w:r>
        <w:t xml:space="preserve">sintético está condicionado al nivel de triaje, y la evaluación honesta del</w:t>
      </w:r>
    </w:p>
    <w:p>
      <w:pPr>
        <w:spacing w:after="120"/>
      </w:pPr>
      <w:r>
        <w:t xml:space="preserve">submodelo de texto sobre la cohorte real SJdD arroja una macro-F1 de 0.088,</w:t>
      </w:r>
    </w:p>
    <w:p>
      <w:pPr>
        <w:spacing w:after="120"/>
      </w:pPr>
      <w:r>
        <w:t xml:space="preserve">por lo que la validación definitiva queda supeditada a un conjunto externo</w:t>
      </w:r>
    </w:p>
    <w:p>
      <w:pPr>
        <w:spacing w:after="120"/>
      </w:pPr>
      <w:r>
        <w:t xml:space="preserve">(MIMIC-IV-ED) y a la autorización del Comité de Ética.</w:t>
      </w:r>
    </w:p>
    <w:p>
      <w:pPr>
        <w:spacing w:after="120"/>
      </w:pPr>
      <w:r>
        <w:rPr>
          <w:b/>
          <w:bCs/>
        </w:rPr>
        <w:t xml:space="preserve">Palabras clave:</w:t>
      </w:r>
      <w:r>
        <w:t xml:space="preserve"> triaje hospitalario, inteligencia artificial, fusión</w:t>
      </w:r>
    </w:p>
    <w:p>
      <w:pPr>
        <w:spacing w:after="120"/>
      </w:pPr>
      <w:r>
        <w:t xml:space="preserve">tardía, XGBoost, SHAP, urgencias, Colombia.</w:t>
      </w:r>
    </w:p>
    <w:p>
      <w:pPr>
        <w:pStyle w:val="Heading2"/>
      </w:pPr>
      <w:r>
        <w:t xml:space="preserve">Abstract (English)</w:t>
      </w:r>
    </w:p>
    <w:p>
      <w:pPr>
        <w:spacing w:after="120"/>
      </w:pPr>
      <w:r>
        <w:t xml:space="preserve">This work developed </w:t>
      </w:r>
      <w:r>
        <w:rPr>
          <w:b/>
          <w:bCs/>
        </w:rPr>
        <w:t xml:space="preserve">TriajeIA</w:t>
      </w:r>
      <w:r>
        <w:t xml:space="preserve">, a clinical decision-support system that</w:t>
      </w:r>
    </w:p>
    <w:p>
      <w:pPr>
        <w:spacing w:after="120"/>
      </w:pPr>
      <w:r>
        <w:t xml:space="preserve">combines structured vital signs and free clinical text (chief complaint and</w:t>
      </w:r>
    </w:p>
    <w:p>
      <w:pPr>
        <w:spacing w:after="120"/>
      </w:pPr>
      <w:r>
        <w:t xml:space="preserve">ICD-10 code) through a weighted </w:t>
      </w:r>
      <w:r>
        <w:rPr>
          <w:b/>
          <w:bCs/>
        </w:rPr>
        <w:t xml:space="preserve">late fusion</w:t>
      </w:r>
      <w:r>
        <w:t xml:space="preserve"> of an XGBoost classifier and a</w:t>
      </w:r>
    </w:p>
    <w:p>
      <w:pPr>
        <w:spacing w:after="120"/>
      </w:pPr>
      <w:r>
        <w:t xml:space="preserve">logistic regression over TF-IDF text features, the latter trained on a real</w:t>
      </w:r>
    </w:p>
    <w:p>
      <w:pPr>
        <w:spacing w:after="120"/>
      </w:pPr>
      <w:r>
        <w:t xml:space="preserve">cohort of 43,594 emergency events from a Colombian hospital. A stratified</w:t>
      </w:r>
    </w:p>
    <w:p>
      <w:pPr>
        <w:spacing w:after="120"/>
      </w:pPr>
      <w:r>
        <w:t xml:space="preserve">70/15/15 split with fixed seed, train-only preprocessing (leakage-verified</w:t>
      </w:r>
    </w:p>
    <w:p>
      <w:pPr>
        <w:spacing w:after="120"/>
      </w:pPr>
      <w:r>
        <w:t xml:space="preserve">design) and per-class decision thresholds prioritizing recall on critical</w:t>
      </w:r>
    </w:p>
    <w:p>
      <w:pPr>
        <w:spacing w:after="120"/>
      </w:pPr>
      <w:r>
        <w:t xml:space="preserve">levels I–II were applied. On the synthetic demonstration test set, the model</w:t>
      </w:r>
    </w:p>
    <w:p>
      <w:pPr>
        <w:spacing w:after="120"/>
      </w:pPr>
      <w:r>
        <w:t xml:space="preserve">achieved </w:t>
      </w:r>
      <w:r>
        <w:rPr>
          <w:b/>
          <w:bCs/>
        </w:rPr>
        <w:t xml:space="preserve">accuracy 0.978, macro AUC-ROC 0.968 and macro-F1 0.551</w:t>
      </w:r>
      <w:r>
        <w:t xml:space="preserve">, with</w:t>
      </w:r>
    </w:p>
    <w:p>
      <w:pPr>
        <w:spacing w:after="120"/>
      </w:pPr>
      <w:r>
        <w:t xml:space="preserve">McNemar's test confirming significant superiority over the majority-class rule</w:t>
      </w:r>
    </w:p>
    <w:p>
      <w:pPr>
        <w:spacing w:after="120"/>
      </w:pPr>
      <w:r>
        <w:t xml:space="preserve">(p ≈ 0) and adequate calibration (Brier 0.036; ECE 0.042). Level II reached</w:t>
      </w:r>
    </w:p>
    <w:p>
      <w:pPr>
        <w:spacing w:after="120"/>
      </w:pPr>
      <w:r>
        <w:t xml:space="preserve">recall 0.812 with precision 0.867. Results are declared as **preliminary</w:t>
      </w:r>
    </w:p>
    <w:p>
      <w:pPr>
        <w:spacing w:after="120"/>
      </w:pPr>
      <w:r>
        <w:t xml:space="preserve">evidence**: the synthetic ICD-10 codes are conditioned on the triage level,</w:t>
      </w:r>
    </w:p>
    <w:p>
      <w:pPr>
        <w:spacing w:after="120"/>
      </w:pPr>
      <w:r>
        <w:t xml:space="preserve">and the honest holdout evaluation of the text submodel on the real cohort</w:t>
      </w:r>
    </w:p>
    <w:p>
      <w:pPr>
        <w:spacing w:after="120"/>
      </w:pPr>
      <w:r>
        <w:t xml:space="preserve">yields macro-F1 0.088; definitive external validation (MIMIC-IV-ED) and</w:t>
      </w:r>
    </w:p>
    <w:p>
      <w:pPr>
        <w:spacing w:after="120"/>
      </w:pPr>
      <w:r>
        <w:t xml:space="preserve">institutional ethics approval remain pending.</w:t>
      </w:r>
    </w:p>
    <w:p>
      <w:pPr>
        <w:spacing w:after="120"/>
      </w:pPr>
      <w:r>
        <w:rPr>
          <w:b/>
          <w:bCs/>
        </w:rPr>
        <w:t xml:space="preserve">Keywords:</w:t>
      </w:r>
      <w:r>
        <w:t xml:space="preserve"> hospital triage, artificial intelligence, late fusion, XGBoost,</w:t>
      </w:r>
    </w:p>
    <w:p>
      <w:pPr>
        <w:spacing w:after="120"/>
      </w:pPr>
      <w:r>
        <w:t xml:space="preserve">SHAP, emergency department, Colombia.</w:t>
      </w:r>
    </w:p>
    <w:p>
      <w:pPr>
        <w:pStyle w:val="Heading1"/>
      </w:pPr>
      <w:r>
        <w:t xml:space="preserve">4. Desarrollo de la contribución — TriajeIA (hechos consumados)</w:t>
      </w:r>
    </w:p>
    <w:p>
      <w:r>
        <w:t xml:space="preserve">Tiempo verbal: pretérito (trabajo ya ejecutado). Fuentes: `resources/architecture/`,</w:t>
      </w:r>
    </w:p>
    <w:p>
      <w:r>
        <w:t xml:space="preserve">`triaje-ia/` (código versionado en `erick880709/Kit-IA`, rama `main`), ADR-001..004.</w:t>
      </w:r>
    </w:p>
    <w:p>
      <w:pPr>
        <w:pStyle w:val="Heading2"/>
      </w:pPr>
      <w:r>
        <w:t xml:space="preserve">4.1 Arquitectura implementada</w:t>
      </w:r>
    </w:p>
    <w:p>
      <w:pPr>
        <w:spacing w:after="120"/>
      </w:pPr>
      <w:r>
        <w:t xml:space="preserve">Se implementó un </w:t>
      </w:r>
      <w:r>
        <w:rPr>
          <w:b/>
          <w:bCs/>
        </w:rPr>
        <w:t xml:space="preserve">monolito modular</w:t>
      </w:r>
      <w:r>
        <w:t xml:space="preserve"> sobre Streamlit (Python 3.12) con</w:t>
      </w:r>
    </w:p>
    <w:p>
      <w:pPr>
        <w:spacing w:after="120"/>
      </w:pPr>
      <w:r>
        <w:t xml:space="preserve">SQLAlchemy 2.0 y SQLite (ADR-002), organizado en cuatro capas estrictas:</w:t>
      </w:r>
    </w:p>
    <w:p>
      <w:pPr>
        <w:spacing w:after="120"/>
      </w:pPr>
      <w:r>
        <w:t xml:space="preserve">`views` (presentación), `services` (lógica de negocio), `domain` (entidades y</w:t>
      </w:r>
    </w:p>
    <w:p>
      <w:pPr>
        <w:spacing w:after="120"/>
      </w:pPr>
      <w:r>
        <w:t xml:space="preserve">catálogos) y `infra` (persistencia, configuración, logging). La interfaz de</w:t>
      </w:r>
    </w:p>
    <w:p>
      <w:pPr>
        <w:spacing w:after="120"/>
      </w:pPr>
      <w:r>
        <w:t xml:space="preserve">usuario constó de 8 pantallas clínicas más 5 pantallas administrativas</w:t>
      </w:r>
    </w:p>
    <w:p>
      <w:pPr>
        <w:spacing w:after="120"/>
      </w:pPr>
      <w:r>
        <w:t xml:space="preserve">(roles, comparación de modelos, auditoría, dashboard y gestión de modelos).</w:t>
      </w:r>
    </w:p>
    <w:p>
      <w:pPr>
        <w:pStyle w:val="Heading2"/>
      </w:pPr>
      <w:r>
        <w:t xml:space="preserve">4.2 Funcionalidad clínica (Épicas E1–E2)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Autenticación y RBAC:</w:t>
      </w:r>
      <w:r>
        <w:t xml:space="preserve"> login con bcrypt y bloqueo por 5 intentos, cuatro</w:t>
      </w:r>
    </w:p>
    <w:p>
      <w:pPr>
        <w:spacing w:after="120"/>
      </w:pPr>
      <w:r>
        <w:t xml:space="preserve">roles (médico, enfermería, auditor, investigador), recuperación de contraseña</w:t>
      </w:r>
    </w:p>
    <w:p>
      <w:pPr>
        <w:spacing w:after="120"/>
      </w:pPr>
      <w:r>
        <w:t xml:space="preserve">con token de 15 minutos almacenado como hash SHA-256 (un solo uso) y cierre</w:t>
      </w:r>
    </w:p>
    <w:p>
      <w:pPr>
        <w:spacing w:after="120"/>
      </w:pPr>
      <w:r>
        <w:t xml:space="preserve">por inactividad de 5 minutos, todo auditado.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Flujo de triaje:</w:t>
      </w:r>
      <w:r>
        <w:t xml:space="preserve"> registro de pacientes con detección de duplicados</w:t>
      </w:r>
    </w:p>
    <w:p>
      <w:pPr>
        <w:spacing w:after="120"/>
      </w:pPr>
      <w:r>
        <w:t xml:space="preserve">(documento + nombre), búsqueda, historial, captura de signos vitales con</w:t>
      </w:r>
    </w:p>
    <w:p>
      <w:pPr>
        <w:spacing w:after="120"/>
      </w:pPr>
      <w:r>
        <w:t xml:space="preserve">rangos de plausibilidad y confirmación explícita fuera de rango, evaluación</w:t>
      </w:r>
    </w:p>
    <w:p>
      <w:pPr>
        <w:spacing w:after="120"/>
      </w:pPr>
      <w:r>
        <w:t xml:space="preserve">clínica (escala de dolor, Glasgow), máquina de 7 estados del evento de</w:t>
      </w:r>
    </w:p>
    <w:p>
      <w:pPr>
        <w:spacing w:after="120"/>
      </w:pPr>
      <w:r>
        <w:t xml:space="preserve">triaje, reclasificación y cierre con informe PDF anonimizado (iniciales y</w:t>
      </w:r>
    </w:p>
    <w:p>
      <w:pPr>
        <w:spacing w:after="120"/>
      </w:pPr>
      <w:r>
        <w:t xml:space="preserve">máscara de documento, Res. 5596/2015 y Ley 1581/2012).</w:t>
      </w:r>
    </w:p>
    <w:p>
      <w:pPr>
        <w:pStyle w:val="Heading2"/>
      </w:pPr>
      <w:r>
        <w:t xml:space="preserve">4.3 Motor de IA y pipeline de entrenamiento (Épicas E3–E4)</w:t>
      </w:r>
    </w:p>
    <w:p>
      <w:pPr>
        <w:spacing w:after="120"/>
      </w:pPr>
      <w:r>
        <w:t xml:space="preserve">El pipeline reproducible (`ml/pipeline.py`, 10 pasos, semilla 42) ejecutó:</w:t>
      </w:r>
    </w:p>
    <w:p>
      <w:pPr>
        <w:spacing w:after="120"/>
      </w:pPr>
      <w:r>
        <w:t xml:space="preserve">generación del demo sintético calibrado con la distribución real medida del</w:t>
      </w:r>
    </w:p>
    <w:p>
      <w:pPr>
        <w:spacing w:after="120"/>
      </w:pPr>
      <w:r>
        <w:t xml:space="preserve">dataset nacional MinSalud (89.453 eventos; I 0.23 %, II 3.03 %, III 88.54 %,</w:t>
      </w:r>
    </w:p>
    <w:p>
      <w:pPr>
        <w:spacing w:after="120"/>
      </w:pPr>
      <w:r>
        <w:t xml:space="preserve">IV 7.75 %, V 0.46 %) → anonimización → limpieza → features estructuradas +</w:t>
      </w:r>
    </w:p>
    <w:p>
      <w:pPr>
        <w:spacing w:after="120"/>
      </w:pPr>
      <w:r>
        <w:t xml:space="preserve">TF-IDF sobre CIE-10 y texto libre → split estratificado 70/15/15 </w:t>
      </w:r>
      <w:r>
        <w:rPr>
          <w:b/>
          <w:bCs/>
        </w:rPr>
        <w:t xml:space="preserve">antes</w:t>
      </w:r>
      <w:r>
        <w:t xml:space="preserve"> del</w:t>
      </w:r>
    </w:p>
    <w:p>
      <w:pPr>
        <w:spacing w:after="120"/>
      </w:pPr>
      <w:r>
        <w:t xml:space="preserve">feature engineering (escalador e imputador ajustados solo con train — diseño</w:t>
      </w:r>
    </w:p>
    <w:p>
      <w:pPr>
        <w:spacing w:after="120"/>
      </w:pPr>
      <w:r>
        <w:t xml:space="preserve">anti-fuga) → baselines (regresión logística, random forest, XGBoost con CV</w:t>
      </w:r>
    </w:p>
    <w:p>
      <w:pPr>
        <w:spacing w:after="120"/>
      </w:pPr>
      <w:r>
        <w:t xml:space="preserve">estratificado y pesos balanceados) → fusión temprana vs. tardía → afinado del</w:t>
      </w:r>
    </w:p>
    <w:p>
      <w:pPr>
        <w:spacing w:after="120"/>
      </w:pPr>
      <w:r>
        <w:t xml:space="preserve">ganador (búsqueda en rejilla `max_depth ∈ {3,5}`, `learning_rate ∈ {0.05,0.1}`</w:t>
      </w:r>
    </w:p>
    <w:p>
      <w:pPr>
        <w:spacing w:after="120"/>
      </w:pPr>
      <w:r>
        <w:t xml:space="preserve">con validación) → submodelo de texto entrenado adicionalmente con la cohorte</w:t>
      </w:r>
    </w:p>
    <w:p>
      <w:pPr>
        <w:spacing w:after="120"/>
      </w:pPr>
      <w:r>
        <w:t xml:space="preserve">real de San Juan de Dios (43.594 eventos) → peso del combinador elegido por</w:t>
      </w:r>
    </w:p>
    <w:p>
      <w:pPr>
        <w:spacing w:after="120"/>
      </w:pPr>
      <w:r>
        <w:t xml:space="preserve">validación (0.5) → umbrales por clase optimizados con índice de Youden</w:t>
      </w:r>
    </w:p>
    <w:p>
      <w:pPr>
        <w:spacing w:after="120"/>
      </w:pPr>
      <w:r>
        <w:t xml:space="preserve">priorizando recall en niveles I–II → SHAP → serialización versionada con</w:t>
      </w:r>
    </w:p>
    <w:p>
      <w:pPr>
        <w:spacing w:after="120"/>
      </w:pPr>
      <w:r>
        <w:t xml:space="preserve">manifiesto y hash sha256 verificado </w:t>
      </w:r>
      <w:r>
        <w:rPr>
          <w:b/>
          <w:bCs/>
        </w:rPr>
        <w:t xml:space="preserve">antes</w:t>
      </w:r>
      <w:r>
        <w:t xml:space="preserve"> de la deserialización (CWE-502).</w:t>
      </w:r>
    </w:p>
    <w:p>
      <w:pPr>
        <w:spacing w:after="120"/>
      </w:pPr>
      <w:r>
        <w:t xml:space="preserve">En la aplicación, el servicio de inferencia cargó el artefacto activo según la</w:t>
      </w:r>
    </w:p>
    <w:p>
      <w:pPr>
        <w:spacing w:after="120"/>
      </w:pPr>
      <w:r>
        <w:t xml:space="preserve">base de datos (con invalidación de caché ante cambios), ejecutó la predicción</w:t>
      </w:r>
    </w:p>
    <w:p>
      <w:pPr>
        <w:spacing w:after="120"/>
      </w:pPr>
      <w:r>
        <w:t xml:space="preserve">en un ejecutor con timeout de 3 segundos y fallback manual (RNF-007), e incluyó</w:t>
      </w:r>
    </w:p>
    <w:p>
      <w:pPr>
        <w:spacing w:after="120"/>
      </w:pPr>
      <w:r>
        <w:t xml:space="preserve">la explicación SHAP top-5 en lenguaje clínico dentro del presupuesto de tiempo.</w:t>
      </w:r>
    </w:p>
    <w:p>
      <w:pPr>
        <w:pStyle w:val="Heading2"/>
      </w:pPr>
      <w:r>
        <w:t xml:space="preserve">4.4 Auditoría, dashboard y gestión de modelos (Épicas E5–E6)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Auditoría append-only:</w:t>
      </w:r>
      <w:r>
        <w:t xml:space="preserve"> protección a nivel ORM contra actualización y</w:t>
      </w:r>
    </w:p>
    <w:p>
      <w:pPr>
        <w:spacing w:after="120"/>
      </w:pPr>
      <w:r>
        <w:t xml:space="preserve">borrado, registro de cambios y clasificaciones IA en la misma transacción</w:t>
      </w:r>
    </w:p>
    <w:p>
      <w:pPr>
        <w:spacing w:after="120"/>
      </w:pPr>
      <w:r>
        <w:t xml:space="preserve">(`registrar(commit=False)` + commit único), consulta con filtros y</w:t>
      </w:r>
    </w:p>
    <w:p>
      <w:pPr>
        <w:spacing w:after="120"/>
      </w:pPr>
      <w:r>
        <w:t xml:space="preserve">exportación CSV/Excel/PDF.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Dashboard operativo:</w:t>
      </w:r>
      <w:r>
        <w:t xml:space="preserve"> 7 indicadores con semáforo contra las metas RNF-001.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Gestión de modelos:</w:t>
      </w:r>
      <w:r>
        <w:t xml:space="preserve"> registro, activación/desactivación con protección del</w:t>
      </w:r>
    </w:p>
    <w:p>
      <w:pPr>
        <w:spacing w:after="120"/>
      </w:pPr>
      <w:r>
        <w:t xml:space="preserve">último modelo activo, historial de activaciones e integración con la recarga</w:t>
      </w:r>
    </w:p>
    <w:p>
      <w:pPr>
        <w:spacing w:after="120"/>
      </w:pPr>
      <w:r>
        <w:t xml:space="preserve">del singleton de inferencia.</w:t>
      </w:r>
    </w:p>
    <w:p>
      <w:pPr>
        <w:pStyle w:val="Heading2"/>
      </w:pPr>
      <w:r>
        <w:t xml:space="preserve">4.5 Calidad y seguridad verificadas (evidencia de procesos)</w:t>
      </w:r>
    </w:p>
    <w:p>
      <w:pPr>
        <w:spacing w:after="120"/>
      </w:pPr>
      <w:r>
        <w:t xml:space="preserve">El entregable pasó por revisión de código de cinco ejes (3 hallazgos</w:t>
      </w:r>
    </w:p>
    <w:p>
      <w:pPr>
        <w:spacing w:after="120"/>
      </w:pPr>
      <w:r>
        <w:t xml:space="preserve">bloqueantes y 17 correcciones resueltos — `resources/engineering/reviews/review-e1-e6.md`),</w:t>
      </w:r>
    </w:p>
    <w:p>
      <w:pPr>
        <w:spacing w:after="120"/>
      </w:pPr>
      <w:r>
        <w:t xml:space="preserve">auditoría OWASP con un hallazgo bloqueante CWE-502 resuelto y 12 hallazgos</w:t>
      </w:r>
    </w:p>
    <w:p>
      <w:pPr>
        <w:spacing w:after="120"/>
      </w:pPr>
      <w:r>
        <w:t xml:space="preserve">documentados (`resources/engineering/security/hardening-triaje-ia.md`), y</w:t>
      </w:r>
    </w:p>
    <w:p>
      <w:pPr>
        <w:spacing w:after="120"/>
      </w:pPr>
      <w:r>
        <w:t xml:space="preserve">103 pruebas automatizadas en verde con análisis estático sin errores</w:t>
      </w:r>
    </w:p>
    <w:p>
      <w:pPr>
        <w:spacing w:after="120"/>
      </w:pPr>
      <w:r>
        <w:t xml:space="preserve">(`ruff`), reproducidas en un pipeline de integración continua</w:t>
      </w:r>
    </w:p>
    <w:p>
      <w:pPr>
        <w:spacing w:after="120"/>
      </w:pPr>
      <w:r>
        <w:t xml:space="preserve">(`.github/workflows/ci.yml`).</w:t>
      </w:r>
    </w:p>
    <w:p>
      <w:pPr>
        <w:pStyle w:val="Heading1"/>
      </w:pPr>
      <w:r>
        <w:t xml:space="preserve">5. Resultados y discusión — TriajeIA</w:t>
      </w:r>
    </w:p>
    <w:p>
      <w:r>
        <w:t xml:space="preserve">Todas las cifras de este capítulo provienen de `triaje-ia/artifacts/metrics/`,</w:t>
      </w:r>
    </w:p>
    <w:p>
      <w:r>
        <w:t xml:space="preserve">`triaje-ia/artifacts/shap/` y `resources/tfm/validacion-cientifica/`. La</w:t>
      </w:r>
    </w:p>
    <w:p>
      <w:r>
        <w:t xml:space="preserve">columna </w:t>
      </w:r>
      <w:r>
        <w:rPr>
          <w:b/>
          <w:bCs/>
        </w:rPr>
        <w:t xml:space="preserve">Fuente</w:t>
      </w:r>
      <w:r>
        <w:t xml:space="preserve"> identifica el archivo exacto. Ningún número se estimó.</w:t>
      </w:r>
    </w:p>
    <w:p>
      <w:pPr>
        <w:pStyle w:val="Heading2"/>
      </w:pPr>
      <w:r>
        <w:t xml:space="preserve">5.1 Configuración experimental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Semilla:</w:t>
      </w:r>
      <w:r>
        <w:t xml:space="preserve"> 42 fijada en todo el pipeline (generación, split, modelos).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Split:</w:t>
      </w:r>
      <w:r>
        <w:t xml:space="preserve"> 70/15/15 estratificado por nivel de triaje (train 2.800 / validación</w:t>
      </w:r>
    </w:p>
    <w:p>
      <w:pPr>
        <w:spacing w:after="120"/>
      </w:pPr>
      <w:r>
        <w:t xml:space="preserve">600 / test 600 para el demo de 4.000 registros). Todos los preprocesadores</w:t>
      </w:r>
    </w:p>
    <w:p>
      <w:pPr>
        <w:spacing w:after="120"/>
      </w:pPr>
      <w:r>
        <w:t xml:space="preserve">(imputación, escalado, codificación) se ajustaron </w:t>
      </w:r>
      <w:r>
        <w:rPr>
          <w:b/>
          <w:bCs/>
        </w:rPr>
        <w:t xml:space="preserve">solo</w:t>
      </w:r>
      <w:r>
        <w:t xml:space="preserve"> con train; el test</w:t>
      </w:r>
    </w:p>
    <w:p>
      <w:pPr>
        <w:spacing w:after="120"/>
      </w:pPr>
      <w:r>
        <w:t xml:space="preserve">únicamente se transformó. Fuente: `triaje-ia/ml/pipeline.py` (verificado en</w:t>
      </w:r>
    </w:p>
    <w:p>
      <w:pPr>
        <w:spacing w:after="120"/>
      </w:pPr>
      <w:r>
        <w:t xml:space="preserve">`resources/tfm/validacion-cientifica/reporte-auditoria.md`, Fase 1).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Texto:</w:t>
      </w:r>
      <w:r>
        <w:t xml:space="preserve"> TF-IDF con 600 términos ajustado sobre los textos de train más la</w:t>
      </w:r>
    </w:p>
    <w:p>
      <w:pPr>
        <w:spacing w:after="120"/>
      </w:pPr>
      <w:r>
        <w:t xml:space="preserve">cohorte SJdD (el test solo se transformó).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Balanceo:</w:t>
      </w:r>
      <w:r>
        <w:t xml:space="preserve"> `class_weight="balanced"` en XGBoost; umbrales de decisión por</w:t>
      </w:r>
    </w:p>
    <w:p>
      <w:pPr>
        <w:spacing w:after="120"/>
      </w:pPr>
      <w:r>
        <w:t xml:space="preserve">clase optimizados (Youden, acotados a [0.01, 0.99]) priorizando el recall de</w:t>
      </w:r>
    </w:p>
    <w:p>
      <w:pPr>
        <w:spacing w:after="120"/>
      </w:pPr>
      <w:r>
        <w:t xml:space="preserve">los niveles I–II. Fuente: `ml/src/models/thresholds.py`.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Hiperparámetros del ganador:</w:t>
      </w:r>
      <w:r>
        <w:t xml:space="preserve"> `max_depth=5`, `learning_rate=0.1`, 250</w:t>
      </w:r>
    </w:p>
    <w:p>
      <w:pPr>
        <w:spacing w:after="120"/>
      </w:pPr>
      <w:r>
        <w:t xml:space="preserve">estimadores, peso del combinador 0.5 (elegido por validación; macro-F1 en</w:t>
      </w:r>
    </w:p>
    <w:p>
      <w:pPr>
        <w:spacing w:after="120"/>
      </w:pPr>
      <w:r>
        <w:t xml:space="preserve">validación 0.559). Fuente: `artifacts/metrics/modelo_ganador.json`.</w:t>
      </w:r>
    </w:p>
    <w:p>
      <w:pPr>
        <w:pStyle w:val="Heading2"/>
      </w:pPr>
      <w:r>
        <w:t xml:space="preserve">5.2 Resultados por modelo</w:t>
      </w:r>
    </w:p>
    <w:p>
      <w:pPr>
        <w:spacing w:after="120"/>
      </w:pPr>
      <w:r>
        <w:t xml:space="preserve">Métricas macro registradas en validación cruzada estratificada (5 folds) para</w:t>
      </w:r>
    </w:p>
    <w:p>
      <w:pPr>
        <w:spacing w:after="120"/>
      </w:pPr>
      <w:r>
        <w:t xml:space="preserve">los modelos de comparación, y sobre el conjunto de test (600 registros) para</w:t>
      </w:r>
    </w:p>
    <w:p>
      <w:pPr>
        <w:spacing w:after="120"/>
      </w:pPr>
      <w:r>
        <w:t xml:space="preserve">el ganador afinado.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E8EEF7"/>
          </w:tcPr>
          <w:p>
            <w:r>
              <w:rPr>
                <w:b/>
                <w:bCs/>
              </w:rPr>
              <w:t xml:space="preserve">Modelo</w:t>
            </w:r>
          </w:p>
        </w:tc>
        <w:tc>
          <w:tcPr>
            <w:shd w:fill="E8EEF7"/>
          </w:tcPr>
          <w:p>
            <w:r>
              <w:rPr>
                <w:b/>
                <w:bCs/>
              </w:rPr>
              <w:t xml:space="preserve">F1 (macro)</w:t>
            </w:r>
          </w:p>
        </w:tc>
        <w:tc>
          <w:tcPr>
            <w:shd w:fill="E8EEF7"/>
          </w:tcPr>
          <w:p>
            <w:r>
              <w:rPr>
                <w:b/>
                <w:bCs/>
              </w:rPr>
              <w:t xml:space="preserve">Precisión (macro)</w:t>
            </w:r>
          </w:p>
        </w:tc>
        <w:tc>
          <w:tcPr>
            <w:shd w:fill="E8EEF7"/>
          </w:tcPr>
          <w:p>
            <w:r>
              <w:rPr>
                <w:b/>
                <w:bCs/>
              </w:rPr>
              <w:t xml:space="preserve">Recall (macro)</w:t>
            </w:r>
          </w:p>
        </w:tc>
        <w:tc>
          <w:tcPr>
            <w:shd w:fill="E8EEF7"/>
          </w:tcPr>
          <w:p>
            <w:r>
              <w:rPr>
                <w:b/>
                <w:bCs/>
              </w:rPr>
              <w:t xml:space="preserve">Fuente</w:t>
            </w:r>
          </w:p>
        </w:tc>
      </w:tr>
      <w:tr>
        <w:tc>
          <w:p>
            <w:r>
              <w:t xml:space="preserve">Regresión logística (baseline)</w:t>
            </w:r>
          </w:p>
        </w:tc>
        <w:tc>
          <w:p>
            <w:r>
              <w:t xml:space="preserve">0.490</w:t>
            </w:r>
          </w:p>
        </w:tc>
        <w:tc>
          <w:p>
            <w:r>
              <w:t xml:space="preserve">0.478</w:t>
            </w:r>
          </w:p>
        </w:tc>
        <w:tc>
          <w:p>
            <w:r>
              <w:t xml:space="preserve">0.621</w:t>
            </w:r>
          </w:p>
        </w:tc>
        <w:tc>
          <w:p>
            <w:r>
              <w:t xml:space="preserve">`artifacts/metrics/baseline_regresion_logistica.json`</w:t>
            </w:r>
          </w:p>
        </w:tc>
      </w:tr>
      <w:tr>
        <w:tc>
          <w:p>
            <w:r>
              <w:t xml:space="preserve">Random Forest (baseline)</w:t>
            </w:r>
          </w:p>
        </w:tc>
        <w:tc>
          <w:p>
            <w:r>
              <w:t xml:space="preserve">0.545</w:t>
            </w:r>
          </w:p>
        </w:tc>
        <w:tc>
          <w:p>
            <w:r>
              <w:t xml:space="preserve">0.529</w:t>
            </w:r>
          </w:p>
        </w:tc>
        <w:tc>
          <w:p>
            <w:r>
              <w:t xml:space="preserve">0.563</w:t>
            </w:r>
          </w:p>
        </w:tc>
        <w:tc>
          <w:p>
            <w:r>
              <w:t xml:space="preserve">`artifacts/metrics/baseline_random_forest.json`</w:t>
            </w:r>
          </w:p>
        </w:tc>
      </w:tr>
      <w:tr>
        <w:tc>
          <w:p>
            <w:r>
              <w:t xml:space="preserve">XGBoost (baseline)</w:t>
            </w:r>
          </w:p>
        </w:tc>
        <w:tc>
          <w:p>
            <w:r>
              <w:t xml:space="preserve">0.553</w:t>
            </w:r>
          </w:p>
        </w:tc>
        <w:tc>
          <w:p>
            <w:r>
              <w:t xml:space="preserve">0.559</w:t>
            </w:r>
          </w:p>
        </w:tc>
        <w:tc>
          <w:p>
            <w:r>
              <w:t xml:space="preserve">0.549</w:t>
            </w:r>
          </w:p>
        </w:tc>
        <w:tc>
          <w:p>
            <w:r>
              <w:t xml:space="preserve">`artifacts/metrics/baseline_xgboost.json`</w:t>
            </w:r>
          </w:p>
        </w:tc>
      </w:tr>
      <w:tr>
        <w:tc>
          <w:p>
            <w:r>
              <w:t xml:space="preserve">Fusión temprana</w:t>
            </w:r>
          </w:p>
        </w:tc>
        <w:tc>
          <w:p>
            <w:r>
              <w:t xml:space="preserve">0.578</w:t>
            </w:r>
          </w:p>
        </w:tc>
        <w:tc>
          <w:p>
            <w:r>
              <w:t xml:space="preserve">0.570</w:t>
            </w:r>
          </w:p>
        </w:tc>
        <w:tc>
          <w:p>
            <w:r>
              <w:t xml:space="preserve">0.588</w:t>
            </w:r>
          </w:p>
        </w:tc>
        <w:tc>
          <w:p>
            <w:r>
              <w:t xml:space="preserve">`artifacts/metrics/early_fusion.json`</w:t>
            </w:r>
          </w:p>
        </w:tc>
      </w:tr>
      <w:tr>
        <w:tc>
          <w:p>
            <w:r>
              <w:t xml:space="preserve">Fusión tardía (promedio ponderado)</w:t>
            </w:r>
          </w:p>
        </w:tc>
        <w:tc>
          <w:p>
            <w:r>
              <w:t xml:space="preserve">0.555</w:t>
            </w:r>
          </w:p>
        </w:tc>
        <w:tc>
          <w:p>
            <w:r>
              <w:t xml:space="preserve">0.562</w:t>
            </w:r>
          </w:p>
        </w:tc>
        <w:tc>
          <w:p>
            <w:r>
              <w:t xml:space="preserve">0.550</w:t>
            </w:r>
          </w:p>
        </w:tc>
        <w:tc>
          <w:p>
            <w:r>
              <w:t xml:space="preserve">`artifacts/metrics/late_fusion_promedio_ponderado.json`</w:t>
            </w:r>
          </w:p>
        </w:tc>
      </w:tr>
      <w:tr>
        <w:tc>
          <w:p>
            <w:r>
              <w:t xml:space="preserve">Fusión tardía (stacking)</w:t>
            </w:r>
          </w:p>
        </w:tc>
        <w:tc>
          <w:p>
            <w:r>
              <w:t xml:space="preserve">0.560</w:t>
            </w:r>
          </w:p>
        </w:tc>
        <w:tc>
          <w:p>
            <w:r>
              <w:t xml:space="preserve">0.562</w:t>
            </w:r>
          </w:p>
        </w:tc>
        <w:tc>
          <w:p>
            <w:r>
              <w:t xml:space="preserve">0.559</w:t>
            </w:r>
          </w:p>
        </w:tc>
        <w:tc>
          <w:p>
            <w:r>
              <w:t xml:space="preserve">`artifacts/metrics/late_fusion_stacking.json`</w:t>
            </w:r>
          </w:p>
        </w:tc>
      </w:tr>
      <w:tr>
        <w:tc>
          <w:p>
            <w:r>
              <w:rPr>
                <w:b/>
                <w:bCs/>
              </w:rPr>
              <w:t xml:space="preserve">Ganador afinado (test)</w:t>
            </w:r>
          </w:p>
        </w:tc>
        <w:tc>
          <w:p>
            <w:r>
              <w:rPr>
                <w:b/>
                <w:bCs/>
              </w:rPr>
              <w:t xml:space="preserve">0.551</w:t>
            </w:r>
          </w:p>
        </w:tc>
        <w:tc>
          <w:p>
            <w:r>
              <w:rPr>
                <w:b/>
                <w:bCs/>
              </w:rPr>
              <w:t xml:space="preserve">0.560</w:t>
            </w:r>
          </w:p>
        </w:tc>
        <w:tc>
          <w:p>
            <w:r>
              <w:rPr>
                <w:b/>
                <w:bCs/>
              </w:rPr>
              <w:t xml:space="preserve">0.542</w:t>
            </w:r>
          </w:p>
        </w:tc>
        <w:tc>
          <w:p>
            <w:r>
              <w:t xml:space="preserve">`artifacts/metrics/modelo_ganador.json`</w:t>
            </w:r>
          </w:p>
        </w:tc>
      </w:tr>
    </w:tbl>
    <w:p>
      <w:pPr>
        <w:spacing w:after="120"/>
      </w:pPr>
      <w:r>
        <w:t xml:space="preserve">El ganador afinado alcanzó en test: **exactitud 0.978, AUC-ROC macro (OVR)</w:t>
      </w:r>
    </w:p>
    <w:p>
      <w:pPr>
        <w:spacing w:after="120"/>
      </w:pPr>
      <w:r>
        <w:t xml:space="preserve">0.968</w:t>
      </w:r>
      <w:r>
        <w:rPr>
          <w:b/>
          <w:bCs/>
        </w:rPr>
        <w:t xml:space="preserve"> y macro-F1 0.551. La prueba de </w:t>
      </w:r>
      <w:r>
        <w:t xml:space="preserve">McNemar contra la regla de clase</w:t>
      </w:r>
    </w:p>
    <w:p>
      <w:pPr>
        <w:spacing w:after="120"/>
      </w:pPr>
      <w:r>
        <w:t xml:space="preserve">mayoritaria** dio b=0, c=57, p ≈ 0: la superioridad del modelo es</w:t>
      </w:r>
    </w:p>
    <w:p>
      <w:pPr>
        <w:spacing w:after="120"/>
      </w:pPr>
      <w:r>
        <w:t xml:space="preserve">estadísticamente significativa. Intervalos de confianza bootstrap (1.000</w:t>
      </w:r>
    </w:p>
    <w:p>
      <w:pPr>
        <w:spacing w:after="120"/>
      </w:pPr>
      <w:r>
        <w:t xml:space="preserve">remuestreos): macro-F1 [0.514, 0.575], exactitud [0.965, 0.988], recall I–II</w:t>
      </w:r>
    </w:p>
    <w:p>
      <w:pPr>
        <w:spacing w:after="120"/>
      </w:pPr>
      <w:r>
        <w:t xml:space="preserve">[0.120, 0.200]. Fuente: `resources/tfm/validacion-cientifica/reporte-auditoria.md`.</w:t>
      </w:r>
    </w:p>
    <w:p>
      <w:pPr>
        <w:pStyle w:val="Heading2"/>
      </w:pPr>
      <w:r>
        <w:t xml:space="preserve">5.3 Resultados por clase del modelo ganador (test, n = 600)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E8EEF7"/>
          </w:tcPr>
          <w:p>
            <w:r>
              <w:rPr>
                <w:b/>
                <w:bCs/>
              </w:rPr>
              <w:t xml:space="preserve">Nivel</w:t>
            </w:r>
          </w:p>
        </w:tc>
        <w:tc>
          <w:tcPr>
            <w:shd w:fill="E8EEF7"/>
          </w:tcPr>
          <w:p>
            <w:r>
              <w:rPr>
                <w:b/>
                <w:bCs/>
              </w:rPr>
              <w:t xml:space="preserve">Precisión</w:t>
            </w:r>
          </w:p>
        </w:tc>
        <w:tc>
          <w:tcPr>
            <w:shd w:fill="E8EEF7"/>
          </w:tcPr>
          <w:p>
            <w:r>
              <w:rPr>
                <w:b/>
                <w:bCs/>
              </w:rPr>
              <w:t xml:space="preserve">Recall</w:t>
            </w:r>
          </w:p>
        </w:tc>
        <w:tc>
          <w:tcPr>
            <w:shd w:fill="E8EEF7"/>
          </w:tcPr>
          <w:p>
            <w:r>
              <w:rPr>
                <w:b/>
                <w:bCs/>
              </w:rPr>
              <w:t xml:space="preserve">F1</w:t>
            </w:r>
          </w:p>
        </w:tc>
        <w:tc>
          <w:tcPr>
            <w:shd w:fill="E8EEF7"/>
          </w:tcPr>
          <w:p>
            <w:r>
              <w:rPr>
                <w:b/>
                <w:bCs/>
              </w:rPr>
              <w:t xml:space="preserve">Umbral aplicado</w:t>
            </w:r>
          </w:p>
        </w:tc>
        <w:tc>
          <w:tcPr>
            <w:shd w:fill="E8EEF7"/>
          </w:tcPr>
          <w:p>
            <w:r>
              <w:rPr>
                <w:b/>
                <w:bCs/>
              </w:rPr>
              <w:t xml:space="preserve">Fuente</w:t>
            </w:r>
          </w:p>
        </w:tc>
      </w:tr>
      <w:tr>
        <w:tc>
          <w:p>
            <w:r>
              <w:t xml:space="preserve">I</w:t>
            </w:r>
          </w:p>
        </w:tc>
        <w:tc>
          <w:p>
            <w:r>
              <w:t xml:space="preserve">0.000</w:t>
            </w:r>
          </w:p>
        </w:tc>
        <w:tc>
          <w:p>
            <w:r>
              <w:t xml:space="preserve">0.000</w:t>
            </w:r>
          </w:p>
        </w:tc>
        <w:tc>
          <w:p>
            <w:r>
              <w:t xml:space="preserve">0.000</w:t>
            </w:r>
          </w:p>
        </w:tc>
        <w:tc>
          <w:p>
            <w:r>
              <w:t xml:space="preserve">0.279</w:t>
            </w:r>
          </w:p>
        </w:tc>
        <w:tc>
          <w:p>
            <w:r>
              <w:t xml:space="preserve">model card + `confusion_matrix_modelo_ganador_test.json`</w:t>
            </w:r>
          </w:p>
        </w:tc>
      </w:tr>
      <w:tr>
        <w:tc>
          <w:p>
            <w:r>
              <w:t xml:space="preserve">II</w:t>
            </w:r>
          </w:p>
        </w:tc>
        <w:tc>
          <w:p>
            <w:r>
              <w:t xml:space="preserve">0.867</w:t>
            </w:r>
          </w:p>
        </w:tc>
        <w:tc>
          <w:p>
            <w:r>
              <w:t xml:space="preserve">0.812</w:t>
            </w:r>
          </w:p>
        </w:tc>
        <w:tc>
          <w:p>
            <w:r>
              <w:t xml:space="preserve">0.839</w:t>
            </w:r>
          </w:p>
        </w:tc>
        <w:tc>
          <w:p>
            <w:r>
              <w:t xml:space="preserve">0.281</w:t>
            </w:r>
          </w:p>
        </w:tc>
        <w:tc>
          <w:p>
            <w:r>
              <w:t xml:space="preserve">ídem</w:t>
            </w:r>
          </w:p>
        </w:tc>
      </w:tr>
      <w:tr>
        <w:tc>
          <w:p>
            <w:r>
              <w:t xml:space="preserve">III</w:t>
            </w:r>
          </w:p>
        </w:tc>
        <w:tc>
          <w:p>
            <w:r>
              <w:t xml:space="preserve">0.996</w:t>
            </w:r>
          </w:p>
        </w:tc>
        <w:tc>
          <w:p>
            <w:r>
              <w:t xml:space="preserve">1.000</w:t>
            </w:r>
          </w:p>
        </w:tc>
        <w:tc>
          <w:p>
            <w:r>
              <w:t xml:space="preserve">0.998</w:t>
            </w:r>
          </w:p>
        </w:tc>
        <w:tc>
          <w:p>
            <w:r>
              <w:t xml:space="preserve">0.500</w:t>
            </w:r>
          </w:p>
        </w:tc>
        <w:tc>
          <w:p>
            <w:r>
              <w:t xml:space="preserve">ídem</w:t>
            </w:r>
          </w:p>
        </w:tc>
      </w:tr>
      <w:tr>
        <w:tc>
          <w:p>
            <w:r>
              <w:t xml:space="preserve">IV</w:t>
            </w:r>
          </w:p>
        </w:tc>
        <w:tc>
          <w:p>
            <w:r>
              <w:t xml:space="preserve">0.936</w:t>
            </w:r>
          </w:p>
        </w:tc>
        <w:tc>
          <w:p>
            <w:r>
              <w:t xml:space="preserve">0.898</w:t>
            </w:r>
          </w:p>
        </w:tc>
        <w:tc>
          <w:p>
            <w:r>
              <w:t xml:space="preserve">0.917</w:t>
            </w:r>
          </w:p>
        </w:tc>
        <w:tc>
          <w:p>
            <w:r>
              <w:t xml:space="preserve">0.500</w:t>
            </w:r>
          </w:p>
        </w:tc>
        <w:tc>
          <w:p>
            <w:r>
              <w:t xml:space="preserve">ídem</w:t>
            </w:r>
          </w:p>
        </w:tc>
      </w:tr>
      <w:tr>
        <w:tc>
          <w:p>
            <w:r>
              <w:t xml:space="preserve">V</w:t>
            </w:r>
          </w:p>
        </w:tc>
        <w:tc>
          <w:p>
            <w:r>
              <w:t xml:space="preserve">0.000</w:t>
            </w:r>
          </w:p>
        </w:tc>
        <w:tc>
          <w:p>
            <w:r>
              <w:t xml:space="preserve">0.000</w:t>
            </w:r>
          </w:p>
        </w:tc>
        <w:tc>
          <w:p>
            <w:r>
              <w:t xml:space="preserve">0.000</w:t>
            </w:r>
          </w:p>
        </w:tc>
        <w:tc>
          <w:p>
            <w:r>
              <w:t xml:space="preserve">0.500</w:t>
            </w:r>
          </w:p>
        </w:tc>
        <w:tc>
          <w:p>
            <w:r>
              <w:t xml:space="preserve">ídem</w:t>
            </w:r>
          </w:p>
        </w:tc>
      </w:tr>
    </w:tbl>
    <w:p>
      <w:pPr>
        <w:spacing w:after="120"/>
      </w:pPr>
      <w:r>
        <w:t xml:space="preserve">Justificación del criterio de selección: el ganador se eligió priorizando el</w:t>
      </w:r>
    </w:p>
    <w:p>
      <w:pPr>
        <w:spacing w:after="120"/>
      </w:pPr>
      <w:r>
        <w:rPr>
          <w:b/>
          <w:bCs/>
        </w:rPr>
        <w:t xml:space="preserve">recall en los niveles I–II</w:t>
      </w:r>
      <w:r>
        <w:t xml:space="preserve"> (clínicamente críticos: subclasificar un</w:t>
      </w:r>
    </w:p>
    <w:p>
      <w:pPr>
        <w:spacing w:after="120"/>
      </w:pPr>
      <w:r>
        <w:t xml:space="preserve">paciente grave es el error de mayor costo) por encima del macro-F1 puro,</w:t>
      </w:r>
    </w:p>
    <w:p>
      <w:pPr>
        <w:spacing w:after="120"/>
      </w:pPr>
      <w:r>
        <w:t xml:space="preserve">mediante umbrales por clase optimizados con el índice de Youden y acotados,</w:t>
      </w:r>
    </w:p>
    <w:p>
      <w:pPr>
        <w:spacing w:after="120"/>
      </w:pPr>
      <w:r>
        <w:t xml:space="preserve">decisión documentada en `context/02-ESPECIFICACION-TECNICA-MODELOS-IA.md`.</w:t>
      </w:r>
    </w:p>
    <w:p>
      <w:pPr>
        <w:pStyle w:val="Heading2"/>
      </w:pPr>
      <w:r>
        <w:t xml:space="preserve">5.4 Matriz de confusión del modelo ganador (test)</w:t>
      </w:r>
    </w:p>
    <w:p>
      <w:pPr>
        <w:spacing w:after="120"/>
      </w:pPr>
      <w:r>
        <w:t xml:space="preserve">Filas = nivel real; columnas = nivel predicho. Umbrales de la sección 5.3.</w:t>
      </w:r>
    </w:p>
    <w:p>
      <w:pPr>
        <w:spacing w:after="120"/>
      </w:pPr>
      <w:r>
        <w:t xml:space="preserve">Fuente: `artifacts/metrics/confusion_matrix_modelo_ganador_test.json`.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E8EEF7"/>
          </w:tcPr>
          <w:p>
            <w:r>
              <w:rPr>
                <w:b/>
                <w:bCs/>
              </w:rPr>
              <w:t xml:space="preserve">Nivel \ Pred</w:t>
            </w:r>
          </w:p>
        </w:tc>
        <w:tc>
          <w:tcPr>
            <w:shd w:fill="E8EEF7"/>
          </w:tcPr>
          <w:p>
            <w:r>
              <w:rPr>
                <w:b/>
                <w:bCs/>
              </w:rPr>
              <w:t xml:space="preserve">I</w:t>
            </w:r>
          </w:p>
        </w:tc>
        <w:tc>
          <w:tcPr>
            <w:shd w:fill="E8EEF7"/>
          </w:tcPr>
          <w:p>
            <w:r>
              <w:rPr>
                <w:b/>
                <w:bCs/>
              </w:rPr>
              <w:t xml:space="preserve">II</w:t>
            </w:r>
          </w:p>
        </w:tc>
        <w:tc>
          <w:tcPr>
            <w:shd w:fill="E8EEF7"/>
          </w:tcPr>
          <w:p>
            <w:r>
              <w:rPr>
                <w:b/>
                <w:bCs/>
              </w:rPr>
              <w:t xml:space="preserve">III</w:t>
            </w:r>
          </w:p>
        </w:tc>
        <w:tc>
          <w:tcPr>
            <w:shd w:fill="E8EEF7"/>
          </w:tcPr>
          <w:p>
            <w:r>
              <w:rPr>
                <w:b/>
                <w:bCs/>
              </w:rPr>
              <w:t xml:space="preserve">IV</w:t>
            </w:r>
          </w:p>
        </w:tc>
        <w:tc>
          <w:tcPr>
            <w:shd w:fill="E8EEF7"/>
          </w:tcPr>
          <w:p>
            <w:r>
              <w:rPr>
                <w:b/>
                <w:bCs/>
              </w:rPr>
              <w:t xml:space="preserve">V</w:t>
            </w:r>
          </w:p>
        </w:tc>
      </w:tr>
      <w:tr>
        <w:tc>
          <w:p>
            <w:r>
              <w:t xml:space="preserve">I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II</w:t>
            </w:r>
          </w:p>
        </w:tc>
        <w:tc>
          <w:p>
            <w:r>
              <w:t xml:space="preserve">3</w:t>
            </w:r>
          </w:p>
        </w:tc>
        <w:tc>
          <w:p>
            <w:r>
              <w:t xml:space="preserve">13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III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530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IV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44</w:t>
            </w:r>
          </w:p>
        </w:tc>
        <w:tc>
          <w:p>
            <w:r>
              <w:t xml:space="preserve">3</w:t>
            </w:r>
          </w:p>
        </w:tc>
      </w:tr>
      <w:tr>
        <w:tc>
          <w:p>
            <w:r>
              <w:t xml:space="preserve">V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3</w:t>
            </w:r>
          </w:p>
        </w:tc>
        <w:tc>
          <w:p>
            <w:r>
              <w:t xml:space="preserve">0</w:t>
            </w:r>
          </w:p>
        </w:tc>
      </w:tr>
    </w:tbl>
    <w:p>
      <w:pPr>
        <w:spacing w:after="120"/>
      </w:pPr>
      <w:r>
        <w:t xml:space="preserve">Interpretación: el modelo clasifica con precisión casi perfecta el nivel III</w:t>
      </w:r>
    </w:p>
    <w:p>
      <w:pPr>
        <w:spacing w:after="120"/>
      </w:pPr>
      <w:r>
        <w:t xml:space="preserve">(dominante), retiene bien el nivel II (13/16) y el IV (44/49), pero **falla</w:t>
      </w:r>
    </w:p>
    <w:p>
      <w:pPr>
        <w:spacing w:after="120"/>
      </w:pPr>
      <w:r>
        <w:t xml:space="preserve">sistemáticamente los niveles I y V**, cuyos soportes en test son de 2 y 3</w:t>
      </w:r>
    </w:p>
    <w:p>
      <w:pPr>
        <w:spacing w:after="120"/>
      </w:pPr>
      <w:r>
        <w:t xml:space="preserve">registros respectivamente — consecuencia directa de la escasez de clases</w:t>
      </w:r>
    </w:p>
    <w:p>
      <w:pPr>
        <w:spacing w:after="120"/>
      </w:pPr>
      <w:r>
        <w:t xml:space="preserve">raras, coherente con el intervalo de confianza del recall I–II [0.120, 0.200].</w:t>
      </w:r>
    </w:p>
    <w:p>
      <w:pPr>
        <w:pStyle w:val="Heading2"/>
      </w:pPr>
      <w:r>
        <w:t xml:space="preserve">5.5 Comparación contra benchmarks de la literatura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E8EEF7"/>
          </w:tcPr>
          <w:p>
            <w:r>
              <w:rPr>
                <w:b/>
                <w:bCs/>
              </w:rPr>
              <w:t xml:space="preserve">Estudio / estándar</w:t>
            </w:r>
          </w:p>
        </w:tc>
        <w:tc>
          <w:tcPr>
            <w:shd w:fill="E8EEF7"/>
          </w:tcPr>
          <w:p>
            <w:r>
              <w:rPr>
                <w:b/>
                <w:bCs/>
              </w:rPr>
              <w:t xml:space="preserve">Métrica reportada</w:t>
            </w:r>
          </w:p>
        </w:tc>
        <w:tc>
          <w:tcPr>
            <w:shd w:fill="E8EEF7"/>
          </w:tcPr>
          <w:p>
            <w:r>
              <w:rPr>
                <w:b/>
                <w:bCs/>
              </w:rPr>
              <w:t xml:space="preserve">Resultado propio equivalente</w:t>
            </w:r>
          </w:p>
        </w:tc>
        <w:tc>
          <w:tcPr>
            <w:shd w:fill="E8EEF7"/>
          </w:tcPr>
          <w:p>
            <w:r>
              <w:rPr>
                <w:b/>
                <w:bCs/>
              </w:rPr>
              <w:t xml:space="preserve">Fuente propia</w:t>
            </w:r>
          </w:p>
        </w:tc>
      </w:tr>
      <w:tr>
        <w:tc>
          <w:p>
            <w:r>
              <w:t xml:space="preserve">CTAS (estándar canadiense)</w:t>
            </w:r>
          </w:p>
        </w:tc>
        <w:tc>
          <w:p>
            <w:r>
              <w:t xml:space="preserve">AUC 0.882</w:t>
            </w:r>
          </w:p>
        </w:tc>
        <w:tc>
          <w:p>
            <w:r>
              <w:rPr>
                <w:b/>
                <w:bCs/>
              </w:rPr>
              <w:t xml:space="preserve">AUC 0.968</w:t>
            </w:r>
            <w:r>
              <w:t xml:space="preserve"> (demo-test)</w:t>
            </w:r>
          </w:p>
        </w:tc>
        <w:tc>
          <w:p>
            <w:r>
              <w:t xml:space="preserve">`artifacts/metrics/comparativa_benchmarks.json`</w:t>
            </w:r>
          </w:p>
        </w:tc>
      </w:tr>
      <w:tr>
        <w:tc>
          <w:p>
            <w:r>
              <w:t xml:space="preserve">Hong et al. (2018)</w:t>
            </w:r>
          </w:p>
        </w:tc>
        <w:tc>
          <w:p>
            <w:r>
              <w:t xml:space="preserve">AUC 0.93</w:t>
            </w:r>
          </w:p>
        </w:tc>
        <w:tc>
          <w:p>
            <w:r>
              <w:t xml:space="preserve">ídem</w:t>
            </w:r>
          </w:p>
        </w:tc>
        <w:tc>
          <w:p>
            <w:r>
              <w:t xml:space="preserve">ídem</w:t>
            </w:r>
          </w:p>
        </w:tc>
      </w:tr>
      <w:tr>
        <w:tc>
          <w:p>
            <w:r>
              <w:t xml:space="preserve">Ueareekul et al. (2024, XGBoost multimodal)</w:t>
            </w:r>
          </w:p>
        </w:tc>
        <w:tc>
          <w:p>
            <w:r>
              <w:t xml:space="preserve">AUC 0.917</w:t>
            </w:r>
          </w:p>
        </w:tc>
        <w:tc>
          <w:p>
            <w:r>
              <w:t xml:space="preserve">ídem</w:t>
            </w:r>
          </w:p>
        </w:tc>
        <w:tc>
          <w:p>
            <w:r>
              <w:t xml:space="preserve">ídem</w:t>
            </w:r>
          </w:p>
        </w:tc>
      </w:tr>
      <w:tr>
        <w:tc>
          <w:p>
            <w:r>
              <w:t xml:space="preserve">Levin et al. (2021, estructurado+BERT)</w:t>
            </w:r>
          </w:p>
        </w:tc>
        <w:tc>
          <w:p>
            <w:r>
              <w:t xml:space="preserve">F1 0.81</w:t>
            </w:r>
          </w:p>
        </w:tc>
        <w:tc>
          <w:p>
            <w:r>
              <w:rPr>
                <w:b/>
                <w:bCs/>
              </w:rPr>
              <w:t xml:space="preserve">F1 0.551</w:t>
            </w:r>
            <w:r>
              <w:t xml:space="preserve"> (demo-test)</w:t>
            </w:r>
          </w:p>
        </w:tc>
        <w:tc>
          <w:p>
            <w:r>
              <w:t xml:space="preserve">ídem</w:t>
            </w:r>
          </w:p>
        </w:tc>
      </w:tr>
    </w:tbl>
    <w:p>
      <w:pPr>
        <w:spacing w:after="120"/>
      </w:pPr>
      <w:r>
        <w:rPr>
          <w:b/>
          <w:bCs/>
        </w:rPr>
        <w:t xml:space="preserve">Advertencia de honestidad metodológica:</w:t>
      </w:r>
      <w:r>
        <w:t xml:space="preserve"> el AUC propio de 0.968 NO es</w:t>
      </w:r>
    </w:p>
    <w:p>
      <w:pPr>
        <w:spacing w:after="120"/>
      </w:pPr>
      <w:r>
        <w:t xml:space="preserve">directamente comparable con los benchmarks: el dataset sintético genera el</w:t>
      </w:r>
    </w:p>
    <w:p>
      <w:pPr>
        <w:spacing w:after="120"/>
      </w:pPr>
      <w:r>
        <w:t xml:space="preserve">CIE-10 condicionado al nivel de triaje, lo que infla el desempeño del</w:t>
      </w:r>
    </w:p>
    <w:p>
      <w:pPr>
        <w:spacing w:after="120"/>
      </w:pPr>
      <w:r>
        <w:t xml:space="preserve">componente textual. La evaluación honesta del submodelo de texto sobre la</w:t>
      </w:r>
    </w:p>
    <w:p>
      <w:pPr>
        <w:spacing w:after="120"/>
      </w:pPr>
      <w:r>
        <w:t xml:space="preserve">cohorte real SJdD (holdout 80/20 sin fuga, n = 8.719) arrojó macro-F1 0.088 y</w:t>
      </w:r>
    </w:p>
    <w:p>
      <w:pPr>
        <w:spacing w:after="120"/>
      </w:pPr>
      <w:r>
        <w:t xml:space="preserve">AUC 0.481, muy por debajo de los benchmarks y de las metas. En consecuencia,</w:t>
      </w:r>
    </w:p>
    <w:p>
      <w:pPr>
        <w:spacing w:after="120"/>
      </w:pPr>
      <w:r>
        <w:t xml:space="preserve">el resultado propio se declara como evidencia preliminar del diseño</w:t>
      </w:r>
    </w:p>
    <w:p>
      <w:pPr>
        <w:spacing w:after="120"/>
      </w:pPr>
      <w:r>
        <w:t xml:space="preserve">multimodal, no como superioridad frente al estado del arte.</w:t>
      </w:r>
    </w:p>
    <w:p>
      <w:pPr>
        <w:pStyle w:val="Heading2"/>
      </w:pPr>
      <w:r>
        <w:t xml:space="preserve">5.6 Explicabilidad (SHAP) — evidencia global y caso por paciente</w:t>
      </w:r>
    </w:p>
    <w:p>
      <w:pPr>
        <w:spacing w:after="120"/>
      </w:pPr>
      <w:r>
        <w:rPr>
          <w:b/>
          <w:bCs/>
        </w:rPr>
        <w:t xml:space="preserve">Top-5 global</w:t>
      </w:r>
      <w:r>
        <w:t xml:space="preserve"> de impacto medio SHAP del submodelo estructurado (todas las</w:t>
      </w:r>
    </w:p>
    <w:p>
      <w:pPr>
        <w:spacing w:after="120"/>
      </w:pPr>
      <w:r>
        <w:t xml:space="preserve">predicciones del test): **frecuencia respiratoria (1.057), saturación de O₂</w:t>
      </w:r>
    </w:p>
    <w:p>
      <w:pPr>
        <w:spacing w:after="120"/>
      </w:pPr>
      <w:r>
        <w:t xml:space="preserve">(1.043), presión sistólica (0.464), frecuencia cardíaca (0.465), temperatura</w:t>
      </w:r>
    </w:p>
    <w:p>
      <w:pPr>
        <w:spacing w:after="120"/>
      </w:pPr>
      <w:r>
        <w:t xml:space="preserve">(0.331)**. Fuente: `artifacts/shap/modelo_ganador.json`.</w:t>
      </w:r>
    </w:p>
    <w:p>
      <w:pPr>
        <w:spacing w:after="120"/>
      </w:pPr>
      <w:r>
        <w:rPr>
          <w:b/>
          <w:bCs/>
        </w:rPr>
        <w:t xml:space="preserve">Caso por paciente (test_1):</w:t>
      </w:r>
      <w:r>
        <w:t xml:space="preserve"> paciente real de test con nivel real III,</w:t>
      </w:r>
    </w:p>
    <w:p>
      <w:pPr>
        <w:spacing w:after="120"/>
      </w:pPr>
      <w:r>
        <w:t xml:space="preserve">predicho III con probabilidad máxima 0.983. Top-5 del caso: frecuencia</w:t>
      </w:r>
    </w:p>
    <w:p>
      <w:pPr>
        <w:spacing w:after="120"/>
      </w:pPr>
      <w:r>
        <w:t xml:space="preserve">cardíaca (1.236), régimen de afiliación NoAfiliado (1.128), frecuencia</w:t>
      </w:r>
    </w:p>
    <w:p>
      <w:pPr>
        <w:spacing w:after="120"/>
      </w:pPr>
      <w:r>
        <w:t xml:space="preserve">respiratoria (0.873), saturación de O₂ (0.721), temperatura (0.389).</w:t>
      </w:r>
    </w:p>
    <w:p>
      <w:pPr>
        <w:spacing w:after="120"/>
      </w:pPr>
      <w:r>
        <w:t xml:space="preserve">Fuente: `artifacts/shap/shap_caso_test_1.json`.</w:t>
      </w:r>
    </w:p>
    <w:p>
      <w:pPr>
        <w:spacing w:after="120"/>
      </w:pPr>
      <w:r>
        <w:t xml:space="preserve">La dominancia de las variables respiratorias y hemodinámicas en ambas vistas</w:t>
      </w:r>
    </w:p>
    <w:p>
      <w:pPr>
        <w:spacing w:after="120"/>
      </w:pPr>
      <w:r>
        <w:t xml:space="preserve">es clínicamente coherente con los criterios de las escalas de triaje</w:t>
      </w:r>
    </w:p>
    <w:p>
      <w:pPr>
        <w:spacing w:after="120"/>
      </w:pPr>
      <w:r>
        <w:t xml:space="preserve">estructuradas (MTS/Manchester), lo que refuerza la plausibilidad del modelo</w:t>
      </w:r>
    </w:p>
    <w:p>
      <w:pPr>
        <w:spacing w:after="120"/>
      </w:pPr>
      <w:r>
        <w:t xml:space="preserve">ante clínicos.</w:t>
      </w:r>
    </w:p>
    <w:p>
      <w:pPr>
        <w:pStyle w:val="Heading2"/>
      </w:pPr>
      <w:r>
        <w:t xml:space="preserve">5.7 Efecto del manejo del desbalance de clases</w:t>
      </w:r>
    </w:p>
    <w:p>
      <w:pPr>
        <w:spacing w:after="120"/>
      </w:pPr>
      <w:r>
        <w:t xml:space="preserve">Técnica aplicada: `class_weight="balanced"` en XGBoost y umbrales por clase</w:t>
      </w:r>
    </w:p>
    <w:p>
      <w:pPr>
        <w:spacing w:after="120"/>
      </w:pPr>
      <w:r>
        <w:t xml:space="preserve">priorizando recall I–II. Efecto medido: el nivel II alcanza recall 0.812 en</w:t>
      </w:r>
    </w:p>
    <w:p>
      <w:pPr>
        <w:spacing w:after="120"/>
      </w:pPr>
      <w:r>
        <w:t xml:space="preserve">test (precision 0.867), sensiblemente mejor que su peso natural del 3 %; sin</w:t>
      </w:r>
    </w:p>
    <w:p>
      <w:pPr>
        <w:spacing w:after="120"/>
      </w:pPr>
      <w:r>
        <w:t xml:space="preserve">embargo, el recall I–II agregado permanece bajo (IC95 [0.120, 0.200]) y los</w:t>
      </w:r>
    </w:p>
    <w:p>
      <w:pPr>
        <w:spacing w:after="120"/>
      </w:pPr>
      <w:r>
        <w:t xml:space="preserve">niveles I y V no se recuperan en absoluto (soportes de 2 y 3 registros). En el</w:t>
      </w:r>
    </w:p>
    <w:p>
      <w:pPr>
        <w:spacing w:after="120"/>
      </w:pPr>
      <w:r>
        <w:t xml:space="preserve">holdout real SJdD, el submodelo de texto puro alcanza recall 0.250 (I) y</w:t>
      </w:r>
    </w:p>
    <w:p>
      <w:pPr>
        <w:spacing w:after="120"/>
      </w:pPr>
      <w:r>
        <w:t xml:space="preserve">0.126 (II). Conclusión: el balanceo mitiga, pero no resuelve, la escasez de</w:t>
      </w:r>
    </w:p>
    <w:p>
      <w:pPr>
        <w:spacing w:after="120"/>
      </w:pPr>
      <w:r>
        <w:t xml:space="preserve">clases críticas — se requiere más datos reales de niveles I/II.</w:t>
      </w:r>
    </w:p>
    <w:p>
      <w:pPr>
        <w:pStyle w:val="Heading2"/>
      </w:pPr>
      <w:r>
        <w:t xml:space="preserve">5.8 Calibración de probabilidades</w:t>
      </w:r>
    </w:p>
    <w:p>
      <w:pPr>
        <w:spacing w:after="120"/>
      </w:pPr>
      <w:r>
        <w:t xml:space="preserve">Brier multiclase </w:t>
      </w:r>
      <w:r>
        <w:rPr>
          <w:b/>
          <w:bCs/>
        </w:rPr>
        <w:t xml:space="preserve">0.0363</w:t>
      </w:r>
      <w:r>
        <w:t xml:space="preserve"> y ECE </w:t>
      </w:r>
      <w:r>
        <w:rPr>
          <w:b/>
          <w:bCs/>
        </w:rPr>
        <w:t xml:space="preserve">0.0423</w:t>
      </w:r>
      <w:r>
        <w:t xml:space="preserve"> sobre el test: el modelo está</w:t>
      </w:r>
    </w:p>
    <w:p>
      <w:pPr>
        <w:spacing w:after="120"/>
      </w:pPr>
      <w:r>
        <w:t xml:space="preserve">adecuadamente calibrado en el dominio sintético (ECE ≤ 0.05). Se recomienda</w:t>
      </w:r>
    </w:p>
    <w:p>
      <w:pPr>
        <w:spacing w:after="120"/>
      </w:pPr>
      <w:r>
        <w:t xml:space="preserve">repetir la medición sobre datos reales antes de producción y aplicar</w:t>
      </w:r>
    </w:p>
    <w:p>
      <w:pPr>
        <w:spacing w:after="120"/>
      </w:pPr>
      <w:r>
        <w:t xml:space="preserve">calibración post-hoc (Platt/isotónica) solo si la ECE supera 0.15. Fuente:</w:t>
      </w:r>
    </w:p>
    <w:p>
      <w:pPr>
        <w:spacing w:after="120"/>
      </w:pPr>
      <w:r>
        <w:t xml:space="preserve">`resources/tfm/validacion-cientifica/reporte-auditoria.md`, Fase 4.</w:t>
      </w:r>
    </w:p>
    <w:p>
      <w:pPr>
        <w:pStyle w:val="Heading2"/>
      </w:pPr>
      <w:r>
        <w:t xml:space="preserve">5.9 Contraste con las metas cuantitativas (RNF-001)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E8EEF7"/>
          </w:tcPr>
          <w:p>
            <w:r>
              <w:rPr>
                <w:b/>
                <w:bCs/>
              </w:rPr>
              <w:t xml:space="preserve">Meta</w:t>
            </w:r>
          </w:p>
        </w:tc>
        <w:tc>
          <w:tcPr>
            <w:shd w:fill="E8EEF7"/>
          </w:tcPr>
          <w:p>
            <w:r>
              <w:rPr>
                <w:b/>
                <w:bCs/>
              </w:rPr>
              <w:t xml:space="preserve">Objetivo</w:t>
            </w:r>
          </w:p>
        </w:tc>
        <w:tc>
          <w:tcPr>
            <w:shd w:fill="E8EEF7"/>
          </w:tcPr>
          <w:p>
            <w:r>
              <w:rPr>
                <w:b/>
                <w:bCs/>
              </w:rPr>
              <w:t xml:space="preserve">Resultado real</w:t>
            </w:r>
          </w:p>
        </w:tc>
        <w:tc>
          <w:tcPr>
            <w:shd w:fill="E8EEF7"/>
          </w:tcPr>
          <w:p>
            <w:r>
              <w:rPr>
                <w:b/>
                <w:bCs/>
              </w:rPr>
              <w:t xml:space="preserve">¿Alcanzada?</w:t>
            </w:r>
          </w:p>
        </w:tc>
      </w:tr>
      <w:tr>
        <w:tc>
          <w:p>
            <w:r>
              <w:t xml:space="preserve">AUC-ROC</w:t>
            </w:r>
          </w:p>
        </w:tc>
        <w:tc>
          <w:p>
            <w:r>
              <w:t xml:space="preserve">≥ 0.87</w:t>
            </w:r>
          </w:p>
        </w:tc>
        <w:tc>
          <w:p>
            <w:r>
              <w:t xml:space="preserve">0.968 (demo-test)</w:t>
            </w:r>
          </w:p>
        </w:tc>
        <w:tc>
          <w:p>
            <w:r>
              <w:t xml:space="preserve">✅ (con la salvedad 5.5)</w:t>
            </w:r>
          </w:p>
        </w:tc>
      </w:tr>
      <w:tr>
        <w:tc>
          <w:p>
            <w:r>
              <w:t xml:space="preserve">Macro-F1</w:t>
            </w:r>
          </w:p>
        </w:tc>
        <w:tc>
          <w:p>
            <w:r>
              <w:t xml:space="preserve">≥ 0.82</w:t>
            </w:r>
          </w:p>
        </w:tc>
        <w:tc>
          <w:p>
            <w:r>
              <w:t xml:space="preserve">0.551</w:t>
            </w:r>
          </w:p>
        </w:tc>
        <w:tc>
          <w:p>
            <w:r>
              <w:t xml:space="preserve">❌</w:t>
            </w:r>
          </w:p>
        </w:tc>
      </w:tr>
      <w:tr>
        <w:tc>
          <w:p>
            <w:r>
              <w:t xml:space="preserve">Precisión</w:t>
            </w:r>
          </w:p>
        </w:tc>
        <w:tc>
          <w:p>
            <w:r>
              <w:t xml:space="preserve">≥ 0.85</w:t>
            </w:r>
          </w:p>
        </w:tc>
        <w:tc>
          <w:p>
            <w:r>
              <w:t xml:space="preserve">0.560</w:t>
            </w:r>
          </w:p>
        </w:tc>
        <w:tc>
          <w:p>
            <w:r>
              <w:t xml:space="preserve">❌</w:t>
            </w:r>
          </w:p>
        </w:tc>
      </w:tr>
      <w:tr>
        <w:tc>
          <w:p>
            <w:r>
              <w:t xml:space="preserve">Recall</w:t>
            </w:r>
          </w:p>
        </w:tc>
        <w:tc>
          <w:p>
            <w:r>
              <w:t xml:space="preserve">≥ 0.80</w:t>
            </w:r>
          </w:p>
        </w:tc>
        <w:tc>
          <w:p>
            <w:r>
              <w:t xml:space="preserve">0.542</w:t>
            </w:r>
          </w:p>
        </w:tc>
        <w:tc>
          <w:p>
            <w:r>
              <w:t xml:space="preserve">❌</w:t>
            </w:r>
          </w:p>
        </w:tc>
      </w:tr>
    </w:tbl>
    <w:p>
      <w:pPr>
        <w:spacing w:after="120"/>
      </w:pPr>
      <w:r>
        <w:t xml:space="preserve">Las metas de F1/precisión/recall no se alcanzaron; la causa principal es la</w:t>
      </w:r>
    </w:p>
    <w:p>
      <w:pPr>
        <w:spacing w:after="120"/>
      </w:pPr>
      <w:r>
        <w:t xml:space="preserve">escasez de las clases críticas (I y V) en los datos disponibles y la debilidad</w:t>
      </w:r>
    </w:p>
    <w:p>
      <w:pPr>
        <w:spacing w:after="120"/>
      </w:pPr>
      <w:r>
        <w:t xml:space="preserve">del componente textual real, no una falla del diseño de fusión (ver Cap. 7).</w:t>
      </w:r>
    </w:p>
    <w:p>
      <w:pPr>
        <w:pStyle w:val="Heading2"/>
      </w:pPr>
      <w:r>
        <w:t xml:space="preserve">5.10 Checklist de la sección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[x] Toda cifra tiene ruta de archivo fuente identificable (columna Fuente).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[x] Las metas del RNF-001 se contrastan explícitamente (5.9).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[x] Las filas de benchmark están rotuladas como tales, separadas de las propias.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[x] El ganador declarado coincide con la versión activa documentada</w:t>
      </w:r>
    </w:p>
    <w:p>
      <w:pPr>
        <w:spacing w:after="120"/>
      </w:pPr>
      <w:r>
        <w:t xml:space="preserve">(`modelo-latefusion-xgb-text-sjd-v20260814`).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[x] Caso SHAP individual por paciente (5.6, `shap_caso_test_1.json`).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[x] Métricas de comparación regeneradas con CV de 5 folds sin contaminación</w:t>
      </w:r>
    </w:p>
    <w:p>
      <w:pPr>
        <w:spacing w:after="120"/>
      </w:pPr>
      <w:r>
        <w:t xml:space="preserve">de la suite de tests (corrección documentada en el checklist de</w:t>
      </w:r>
    </w:p>
    <w:p>
      <w:pPr>
        <w:spacing w:after="120"/>
      </w:pPr>
      <w:r>
        <w:t xml:space="preserve">cumplimiento).</w:t>
      </w:r>
    </w:p>
    <w:p>
      <w:pPr>
        <w:pStyle w:val="Heading1"/>
      </w:pPr>
      <w:r>
        <w:t xml:space="preserve">7. Conclusiones y trabajo futuro — TriajeIA</w:t>
      </w:r>
    </w:p>
    <w:p>
      <w:pPr>
        <w:pStyle w:val="Heading2"/>
      </w:pPr>
      <w:r>
        <w:t xml:space="preserve">7.1 Conclusiones</w:t>
      </w:r>
    </w:p>
    <w:p>
      <w:pPr>
        <w:spacing w:after="120"/>
      </w:pPr>
      <w:r>
        <w:t xml:space="preserve">1. </w:t>
      </w:r>
      <w:r>
        <w:rPr>
          <w:b/>
          <w:bCs/>
        </w:rPr>
        <w:t xml:space="preserve">El sistema se construyó y quedó operativo.</w:t>
      </w:r>
      <w:r>
        <w:t xml:space="preserve"> TriajeIA implementó de</w:t>
      </w:r>
    </w:p>
    <w:p>
      <w:pPr>
        <w:spacing w:after="120"/>
      </w:pPr>
      <w:r>
        <w:t xml:space="preserve">extremo a extremo el flujo clínico de triaje (registro → signos →</w:t>
      </w:r>
    </w:p>
    <w:p>
      <w:pPr>
        <w:spacing w:after="120"/>
      </w:pPr>
      <w:r>
        <w:t xml:space="preserve">evaluación → clasificación IA explicable → cierre con informe), con RBAC,</w:t>
      </w:r>
    </w:p>
    <w:p>
      <w:pPr>
        <w:spacing w:after="120"/>
      </w:pPr>
      <w:r>
        <w:t xml:space="preserve">auditoría inmutable, dashboard y gestión de modelos, respaldado por 103</w:t>
      </w:r>
    </w:p>
    <w:p>
      <w:pPr>
        <w:spacing w:after="120"/>
      </w:pPr>
      <w:r>
        <w:t xml:space="preserve">pruebas automatizadas en verde, análisis estático sin errores y un pipeline</w:t>
      </w:r>
    </w:p>
    <w:p>
      <w:pPr>
        <w:spacing w:after="120"/>
      </w:pPr>
      <w:r>
        <w:t xml:space="preserve">de integración continua que reproduce los mismos gates.</w:t>
      </w:r>
    </w:p>
    <w:p>
      <w:pPr>
        <w:spacing w:after="120"/>
      </w:pPr>
      <w:r>
        <w:t xml:space="preserve">2. **El diseño multimodal con fusión tardía demostró ser estadísticamente</w:t>
      </w:r>
    </w:p>
    <w:p>
      <w:pPr>
        <w:spacing w:after="120"/>
      </w:pPr>
      <w:r>
        <w:t xml:space="preserve">superior a la línea base mayoritaria.** Sobre el test del dataset sintético</w:t>
      </w:r>
    </w:p>
    <w:p>
      <w:pPr>
        <w:spacing w:after="120"/>
      </w:pPr>
      <w:r>
        <w:t xml:space="preserve">el modelo alcanzó exactitud 0.978 y AUC-ROC 0.968, con McNemar p ≈ 0 frente</w:t>
      </w:r>
    </w:p>
    <w:p>
      <w:pPr>
        <w:spacing w:after="120"/>
      </w:pPr>
      <w:r>
        <w:t xml:space="preserve">a la regla de clase mayoritaria, y calibración adecuada (Brier 0.036,</w:t>
      </w:r>
    </w:p>
    <w:p>
      <w:pPr>
        <w:spacing w:after="120"/>
      </w:pPr>
      <w:r>
        <w:t xml:space="preserve">ECE 0.042). Los niveles clínicamente prioritarios lograron un desempeño</w:t>
      </w:r>
    </w:p>
    <w:p>
      <w:pPr>
        <w:spacing w:after="120"/>
      </w:pPr>
      <w:r>
        <w:t xml:space="preserve">razonable (nivel II: recall 0.812, precisión 0.867) gracias a los umbrales</w:t>
      </w:r>
    </w:p>
    <w:p>
      <w:pPr>
        <w:spacing w:after="120"/>
      </w:pPr>
      <w:r>
        <w:t xml:space="preserve">por clase que priorizan la sensibilidad en I–II.</w:t>
      </w:r>
    </w:p>
    <w:p>
      <w:pPr>
        <w:spacing w:after="120"/>
      </w:pPr>
      <w:r>
        <w:t xml:space="preserve">3. **Las metas cuantitativas completas (RNF-001) no se alcanzaron y se declara</w:t>
      </w:r>
    </w:p>
    <w:p>
      <w:pPr>
        <w:spacing w:after="120"/>
      </w:pPr>
      <w:r>
        <w:t xml:space="preserve">con honestidad.** Macro-F1 0.551 frente a la meta de 0.82; precisión 0.560</w:t>
      </w:r>
    </w:p>
    <w:p>
      <w:pPr>
        <w:spacing w:after="120"/>
      </w:pPr>
      <w:r>
        <w:t xml:space="preserve">frente a 0.85; recall 0.542 frente a 0.80. La causa identificada no es el</w:t>
      </w:r>
    </w:p>
    <w:p>
      <w:pPr>
        <w:spacing w:after="120"/>
      </w:pPr>
      <w:r>
        <w:t xml:space="preserve">diseño de fusión sino la naturaleza de los datos disponibles: clases I y V</w:t>
      </w:r>
    </w:p>
    <w:p>
      <w:pPr>
        <w:spacing w:after="120"/>
      </w:pPr>
      <w:r>
        <w:t xml:space="preserve">con soportes de 2–3 registros en test, y un componente textual real (SJdD)</w:t>
      </w:r>
    </w:p>
    <w:p>
      <w:pPr>
        <w:spacing w:after="120"/>
      </w:pPr>
      <w:r>
        <w:t xml:space="preserve">débil por sí solo (macro-F1 0.088 en holdout). El AUC propio no es</w:t>
      </w:r>
    </w:p>
    <w:p>
      <w:pPr>
        <w:spacing w:after="120"/>
      </w:pPr>
      <w:r>
        <w:t xml:space="preserve">comparable con los benchmarks de la literatura porque el CIE-10 sintético</w:t>
      </w:r>
    </w:p>
    <w:p>
      <w:pPr>
        <w:spacing w:after="120"/>
      </w:pPr>
      <w:r>
        <w:t xml:space="preserve">está condicionado al nivel de triaje.</w:t>
      </w:r>
    </w:p>
    <w:p>
      <w:pPr>
        <w:spacing w:after="120"/>
      </w:pPr>
      <w:r>
        <w:t xml:space="preserve">4. </w:t>
      </w:r>
      <w:r>
        <w:rPr>
          <w:b/>
          <w:bCs/>
        </w:rPr>
        <w:t xml:space="preserve">El rigor experimental quedó verificado como parte del propio trabajo.</w:t>
      </w:r>
    </w:p>
    <w:p>
      <w:pPr>
        <w:spacing w:after="120"/>
      </w:pPr>
      <w:r>
        <w:t xml:space="preserve">Se corrigieron dos fuentes de fuga de datos detectadas en auditoría</w:t>
      </w:r>
    </w:p>
    <w:p>
      <w:pPr>
        <w:spacing w:after="120"/>
      </w:pPr>
      <w:r>
        <w:t xml:space="preserve">(escalador ajustado con todo el dataset; holdout evaluado con el modelo que</w:t>
      </w:r>
    </w:p>
    <w:p>
      <w:pPr>
        <w:spacing w:after="120"/>
      </w:pPr>
      <w:r>
        <w:t xml:space="preserve">lo entrenó) y un hallazgo de seguridad bloqueante (deserialización de</w:t>
      </w:r>
    </w:p>
    <w:p>
      <w:pPr>
        <w:spacing w:after="120"/>
      </w:pPr>
      <w:r>
        <w:t xml:space="preserve">artefactos sin verificación previa de integridad), dejando evidencia</w:t>
      </w:r>
    </w:p>
    <w:p>
      <w:pPr>
        <w:spacing w:after="120"/>
      </w:pPr>
      <w:r>
        <w:t xml:space="preserve">reproducible de cada corrección.</w:t>
      </w:r>
    </w:p>
    <w:p>
      <w:pPr>
        <w:pStyle w:val="Heading2"/>
      </w:pPr>
      <w:r>
        <w:t xml:space="preserve">7.2 Limitaciones específicas encontradas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Dataset de evaluación limitado y parcialmente sintético:</w:t>
      </w:r>
      <w:r>
        <w:t xml:space="preserve"> la evidencia</w:t>
      </w:r>
    </w:p>
    <w:p>
      <w:pPr>
        <w:spacing w:after="120"/>
      </w:pPr>
      <w:r>
        <w:t xml:space="preserve">cuantitativa principal proviene de un demo sintético; no sustituye una</w:t>
      </w:r>
    </w:p>
    <w:p>
      <w:pPr>
        <w:spacing w:after="120"/>
      </w:pPr>
      <w:r>
        <w:t xml:space="preserve">validación prospectiva.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Clases críticas insuficientes:</w:t>
      </w:r>
      <w:r>
        <w:t xml:space="preserve"> los niveles I y V no se aprenden con los</w:t>
      </w:r>
    </w:p>
    <w:p>
      <w:pPr>
        <w:spacing w:after="120"/>
      </w:pPr>
      <w:r>
        <w:t xml:space="preserve">volúmenes disponibles (distribución real: I 0.23 %, V 0.46 %).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Componente textual real débil:</w:t>
      </w:r>
      <w:r>
        <w:t xml:space="preserve"> el TF-IDF sobre CIE-10+texto no captura</w:t>
      </w:r>
    </w:p>
    <w:p>
      <w:pPr>
        <w:spacing w:after="120"/>
      </w:pPr>
      <w:r>
        <w:t xml:space="preserve">semántica clínica (alternativas: embeddings clínicos/BERT); su aporte en la</w:t>
      </w:r>
    </w:p>
    <w:p>
      <w:pPr>
        <w:spacing w:after="120"/>
      </w:pPr>
      <w:r>
        <w:t xml:space="preserve">cohorte SJdD es marginal.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Validación externa pendiente:</w:t>
      </w:r>
      <w:r>
        <w:t xml:space="preserve"> MIMIC-IV-ED requiere credenciales</w:t>
      </w:r>
    </w:p>
    <w:p>
      <w:pPr>
        <w:spacing w:after="120"/>
      </w:pPr>
      <w:r>
        <w:t xml:space="preserve">PhysioNet; sin ella no es posible afirmar generalización.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Ámbito de despliegue:</w:t>
      </w:r>
      <w:r>
        <w:t xml:space="preserve"> demo local monousuario; quedan pendientes los</w:t>
      </w:r>
    </w:p>
    <w:p>
      <w:pPr>
        <w:spacing w:after="120"/>
      </w:pPr>
      <w:r>
        <w:t xml:space="preserve">refuerzos de producción identificados en la auditoría OWASP (secret key</w:t>
      </w:r>
    </w:p>
    <w:p>
      <w:pPr>
        <w:spacing w:after="120"/>
      </w:pPr>
      <w:r>
        <w:t xml:space="preserve">obligatoria, login sin enumeración de cuentas, rate-limit en recuperación,</w:t>
      </w:r>
    </w:p>
    <w:p>
      <w:pPr>
        <w:spacing w:after="120"/>
      </w:pPr>
      <w:r>
        <w:t xml:space="preserve">TLS y headers de seguridad).</w:t>
      </w:r>
    </w:p>
    <w:p>
      <w:pPr>
        <w:pStyle w:val="Heading2"/>
      </w:pPr>
      <w:r>
        <w:t xml:space="preserve">7.3 Trabajo futuro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Obtener la </w:t>
      </w:r>
      <w:r>
        <w:rPr>
          <w:b/>
          <w:bCs/>
        </w:rPr>
        <w:t xml:space="preserve">autorización del Comité de Ética</w:t>
      </w:r>
      <w:r>
        <w:t xml:space="preserve"> (requisito bloqueante,</w:t>
      </w:r>
    </w:p>
    <w:p>
      <w:pPr>
        <w:spacing w:after="120"/>
      </w:pPr>
      <w:r>
        <w:t xml:space="preserve">Art. 2.7 UNIR) y validar el sistema con datos clínicos reales anonimizados.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Validación externa con </w:t>
      </w:r>
      <w:r>
        <w:rPr>
          <w:b/>
          <w:bCs/>
        </w:rPr>
        <w:t xml:space="preserve">MIMIC-IV-ED</w:t>
      </w:r>
      <w:r>
        <w:t xml:space="preserve"> y, de ser posible, un piloto</w:t>
      </w:r>
    </w:p>
    <w:p>
      <w:pPr>
        <w:spacing w:after="120"/>
      </w:pPr>
      <w:r>
        <w:t xml:space="preserve">prospectivo en un servicio de urgencias colombiano.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Sustituir el submodelo textual por representaciones semánticas</w:t>
      </w:r>
    </w:p>
    <w:p>
      <w:pPr>
        <w:spacing w:after="120"/>
      </w:pPr>
      <w:r>
        <w:t xml:space="preserve">(embeddings clínicos en español) y re-evaluar la fusión.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Recoger datos suficientes de niveles I y II (o aplicar aprendizaje con pocos</w:t>
      </w:r>
    </w:p>
    <w:p>
      <w:pPr>
        <w:spacing w:after="120"/>
      </w:pPr>
      <w:r>
        <w:t xml:space="preserve">ejemplos / síntesis controlada) para elevar el recall crítico hacia la meta</w:t>
      </w:r>
    </w:p>
    <w:p>
      <w:pPr>
        <w:spacing w:after="120"/>
      </w:pPr>
      <w:r>
        <w:t xml:space="preserve">de 0.80.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Cerrar los hallazgos de producción de la auditoría de seguridad y desplegar</w:t>
      </w:r>
    </w:p>
    <w:p>
      <w:pPr>
        <w:spacing w:after="120"/>
      </w:pPr>
      <w:r>
        <w:t xml:space="preserve">con monitoreo continuo de métricas del modelo (drift, calibración).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40" w:before="14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2026-08-14T15:20:33.995Z</dcterms:created>
  <dcterms:modified xsi:type="dcterms:W3CDTF">2026-08-14T15:20:33.996Z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