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160"/>
        <w:rPr/>
      </w:pPr>
      <w:bookmarkStart w:id="0" w:name="h.gjdgxs"/>
      <w:bookmarkEnd w:id="0"/>
      <w:r>
        <w:rPr>
          <w:b/>
          <w:sz w:val="24"/>
          <w:szCs w:val="24"/>
          <w:u w:val="single"/>
        </w:rPr>
        <w:t>CONTENIDO PÁGINA WEB: WWW.HMA.COM.VE</w:t>
      </w:r>
    </w:p>
    <w:p>
      <w:pPr>
        <w:pStyle w:val="Normal"/>
        <w:spacing w:before="0" w:after="160"/>
        <w:rPr/>
      </w:pPr>
      <w:r>
        <w:rPr/>
      </w:r>
    </w:p>
    <w:p>
      <w:pPr>
        <w:pStyle w:val="Normal"/>
        <w:spacing w:before="0" w:after="160"/>
        <w:rPr/>
      </w:pPr>
      <w:r>
        <w:rPr>
          <w:b/>
          <w:i/>
          <w:u w:val="single"/>
        </w:rPr>
        <w:t>Filosofía de Nuestro Servicio</w:t>
      </w:r>
      <w:r>
        <w:rPr>
          <w:b/>
          <w:i/>
        </w:rPr>
        <w:t xml:space="preserve"> </w:t>
      </w:r>
    </w:p>
    <w:p>
      <w:pPr>
        <w:pStyle w:val="Normal"/>
        <w:spacing w:before="0" w:after="160"/>
        <w:jc w:val="both"/>
        <w:rPr/>
      </w:pPr>
      <w:r>
        <w:rPr/>
        <w:t xml:space="preserve">En </w:t>
      </w:r>
      <w:r>
        <w:rPr>
          <w:b/>
        </w:rPr>
        <w:t>Herrera Mendoza &amp; Asociados</w:t>
      </w:r>
      <w:r>
        <w:rPr/>
        <w:t xml:space="preserve"> creemos fielmente que la  confianza, responsabilidad, solidez y eficiencia a la hora de prestar nuestros servicios es fundamental. Es por ello que nuestro principal interés se centra en brindar atención personalizada y de calidad a cada uno de nuestros clientes.  </w:t>
      </w:r>
    </w:p>
    <w:p>
      <w:pPr>
        <w:pStyle w:val="Normal"/>
        <w:rPr>
          <w:rFonts w:ascii="Bitstream Charter" w:hAnsi="Bitstream Charter"/>
          <w:color w:val="000000"/>
          <w:sz w:val="24"/>
          <w:szCs w:val="24"/>
          <w:u w:val="none"/>
        </w:rPr>
      </w:pPr>
      <w:r>
        <w:rPr>
          <w:rFonts w:ascii="Bitstream Charter" w:hAnsi="Bitstream Charter"/>
          <w:color w:val="000000"/>
          <w:sz w:val="24"/>
          <w:szCs w:val="24"/>
          <w:u w:val="none"/>
        </w:rPr>
        <w:t xml:space="preserve">At Herrera Mendoza </w:t>
      </w:r>
      <w:r>
        <w:rPr>
          <w:rFonts w:ascii="Bitstream Charter" w:hAnsi="Bitstream Charter"/>
          <w:b/>
          <w:color w:val="000000"/>
          <w:sz w:val="24"/>
          <w:szCs w:val="24"/>
          <w:u w:val="none"/>
        </w:rPr>
        <w:t xml:space="preserve">&amp; Asociados we strongly believe that trust , responsibility, strength and  </w:t>
      </w:r>
      <w:r>
        <w:rPr>
          <w:rFonts w:ascii="Bitstream Charter" w:hAnsi="Bitstream Charter"/>
          <w:b w:val="false"/>
          <w:i w:val="false"/>
          <w:caps w:val="false"/>
          <w:smallCaps w:val="false"/>
          <w:color w:val="000000"/>
          <w:spacing w:val="0"/>
          <w:sz w:val="24"/>
          <w:szCs w:val="24"/>
          <w:u w:val="none"/>
        </w:rPr>
        <w:t xml:space="preserve">efficiency </w:t>
      </w:r>
      <w:r>
        <w:rPr>
          <w:rFonts w:ascii="Bitstream Charter" w:hAnsi="Bitstream Charter"/>
          <w:b w:val="false"/>
          <w:i w:val="false"/>
          <w:caps w:val="false"/>
          <w:smallCaps w:val="false"/>
          <w:color w:val="000000"/>
          <w:spacing w:val="0"/>
          <w:sz w:val="24"/>
          <w:szCs w:val="24"/>
          <w:u w:val="none"/>
        </w:rPr>
        <w:t xml:space="preserve">at the time to provide our services is essential therefore our </w:t>
      </w:r>
      <w:bookmarkStart w:id="1" w:name="dictEntry10004989341"/>
      <w:bookmarkEnd w:id="1"/>
      <w:r>
        <w:rPr>
          <w:rFonts w:ascii="Bitstream Charter" w:hAnsi="Bitstream Charter"/>
          <w:b w:val="false"/>
          <w:i w:val="false"/>
          <w:caps w:val="false"/>
          <w:smallCaps w:val="false"/>
          <w:color w:val="000000"/>
          <w:spacing w:val="0"/>
          <w:sz w:val="24"/>
          <w:szCs w:val="24"/>
          <w:u w:val="none"/>
        </w:rPr>
        <w:t>primary concern is to give personal attention of quality to each one of our clients.</w:t>
      </w:r>
    </w:p>
    <w:p>
      <w:pPr>
        <w:pStyle w:val="Normal"/>
        <w:spacing w:before="0" w:after="160"/>
        <w:jc w:val="both"/>
        <w:rPr/>
      </w:pPr>
      <w:r>
        <w:rPr/>
      </w:r>
    </w:p>
    <w:p>
      <w:pPr>
        <w:pStyle w:val="Normal"/>
        <w:spacing w:before="0" w:after="160"/>
        <w:jc w:val="both"/>
        <w:rPr/>
      </w:pPr>
      <w:r>
        <w:rPr>
          <w:b/>
          <w:i/>
          <w:u w:val="single"/>
        </w:rPr>
        <w:t>¿Quiénes somos?</w:t>
      </w:r>
    </w:p>
    <w:p>
      <w:pPr>
        <w:pStyle w:val="Normal"/>
        <w:spacing w:before="0" w:after="160"/>
        <w:jc w:val="both"/>
        <w:rPr/>
      </w:pPr>
      <w:r>
        <w:rPr>
          <w:b/>
        </w:rPr>
        <w:t>S</w:t>
      </w:r>
      <w:r>
        <w:rPr/>
        <w:t xml:space="preserve">omos un escritorio jurídico contable integrado por profesionales y expertos, con más de 20 años de presencia en el ramo de la Asesoría Legal y Contable. Desde nuestros inicios nos hemos caracterizado por proporcionar respuestas efectivas a cada uno de los requerimientos presentados por nuestros clientes. Para nosotros su satisfacción es importante, por ello cada día nos esforzamos en mantener y elevar nuestros niveles de excelencia y calidad. </w:t>
      </w:r>
    </w:p>
    <w:p>
      <w:pPr>
        <w:pStyle w:val="Normal"/>
        <w:spacing w:before="0" w:after="160"/>
        <w:jc w:val="both"/>
        <w:rPr/>
      </w:pPr>
      <w:r>
        <w:rPr>
          <w:rFonts w:ascii="Arial;sans-serif" w:hAnsi="Arial;sans-serif"/>
          <w:b w:val="false"/>
          <w:i w:val="false"/>
          <w:caps w:val="false"/>
          <w:smallCaps w:val="false"/>
          <w:color w:val="181818"/>
          <w:spacing w:val="0"/>
          <w:sz w:val="18"/>
          <w:lang w:val="en-US"/>
        </w:rPr>
        <w:t xml:space="preserve">We are a legal and accounting office consolidated by professionals and experts with more than 20th years of experience in legal accounting consultancy. Since the beginning we have been distinguished for giving effective answers to each one of the presented requirements by our clients. To us your satisfaction is important therefore each day we work harder to improve our level of excellency and quality. </w:t>
      </w:r>
    </w:p>
    <w:p>
      <w:pPr>
        <w:pStyle w:val="Normal"/>
        <w:spacing w:before="0" w:after="160"/>
        <w:jc w:val="both"/>
        <w:rPr/>
      </w:pPr>
      <w:r>
        <w:rPr>
          <w:b/>
          <w:i/>
          <w:u w:val="single"/>
        </w:rPr>
        <w:t xml:space="preserve">Misión </w:t>
      </w:r>
    </w:p>
    <w:p>
      <w:pPr>
        <w:pStyle w:val="Normal"/>
        <w:spacing w:before="0" w:after="160"/>
        <w:jc w:val="both"/>
        <w:rPr/>
      </w:pPr>
      <w:r>
        <w:rPr>
          <w:b/>
        </w:rPr>
        <w:t>P</w:t>
      </w:r>
      <w:r>
        <w:rPr/>
        <w:t xml:space="preserve">roporcionarle a nuestros clientes la mayor tranquilidad y estabilidad a la hora de dar respuesta a sus requerimientos legales y contables. Brindándoles nuestros servicios caracterizados por la confianza,responsabilidad, solidez y eficiencia. </w:t>
      </w:r>
    </w:p>
    <w:p>
      <w:pPr>
        <w:pStyle w:val="Normal"/>
        <w:spacing w:before="0" w:after="160"/>
        <w:jc w:val="both"/>
        <w:rPr/>
      </w:pPr>
      <w:r>
        <w:rPr>
          <w:rFonts w:ascii="arial;sans-serif-light;sans-serif" w:hAnsi="arial;sans-serif-light;sans-serif"/>
          <w:b/>
          <w:i w:val="false"/>
          <w:caps w:val="false"/>
          <w:smallCaps w:val="false"/>
          <w:color w:val="DD4B39"/>
          <w:spacing w:val="0"/>
          <w:sz w:val="21"/>
          <w:lang w:val="en-US"/>
        </w:rPr>
        <w:t>Give our clients  stability and calmness at the time to reply to your legal and accounting  requirements. Offer our services characterized for the trust, responsibility, strength and efficiency.</w:t>
      </w:r>
    </w:p>
    <w:p>
      <w:pPr>
        <w:pStyle w:val="Normal"/>
        <w:spacing w:before="0" w:after="160"/>
        <w:jc w:val="both"/>
        <w:rPr/>
      </w:pPr>
      <w:r>
        <w:rPr>
          <w:b/>
          <w:i/>
          <w:u w:val="single"/>
        </w:rPr>
        <w:t xml:space="preserve">Visión </w:t>
      </w:r>
    </w:p>
    <w:p>
      <w:pPr>
        <w:pStyle w:val="Normal"/>
        <w:spacing w:before="0" w:after="160"/>
        <w:jc w:val="both"/>
        <w:rPr/>
      </w:pPr>
      <w:r>
        <w:rPr>
          <w:b/>
        </w:rPr>
        <w:t>S</w:t>
      </w:r>
      <w:r>
        <w:rPr/>
        <w:t xml:space="preserve">er el Escritorio Jurídico Contable referencia a la hora de buscar la solución y atención a los requerimientos legales y contables de empresas y particulares. Manteniendo nuestra presencia en el territorio venezolano y conservando el respeto y la confianza invertida en nosotros. </w:t>
      </w:r>
    </w:p>
    <w:p>
      <w:pPr>
        <w:pStyle w:val="Normal"/>
        <w:spacing w:before="0" w:after="160"/>
        <w:jc w:val="both"/>
        <w:rPr/>
      </w:pPr>
      <w:r>
        <w:rPr/>
        <w:t>Be the most recommended legal and accounting office at the time of looking for a solution and total care to  legal and accounting requirements of business and individuals keeping our presence in the Venezuelan territory and remaining  the respect and trust invested on us.</w:t>
      </w:r>
    </w:p>
    <w:p>
      <w:pPr>
        <w:pStyle w:val="Normal"/>
        <w:spacing w:before="0" w:after="160"/>
        <w:jc w:val="both"/>
        <w:rPr/>
      </w:pPr>
      <w:r>
        <w:rPr>
          <w:b/>
          <w:i/>
          <w:u w:val="single"/>
        </w:rPr>
        <w:t>Servicios (sección resumida)     services</w:t>
      </w:r>
    </w:p>
    <w:p>
      <w:pPr>
        <w:pStyle w:val="Normal"/>
        <w:spacing w:before="0" w:after="160"/>
        <w:jc w:val="both"/>
        <w:rPr/>
      </w:pPr>
      <w:r>
        <w:rPr>
          <w:b/>
          <w:i/>
        </w:rPr>
        <w:t>Área Legal   legal area</w:t>
      </w:r>
    </w:p>
    <w:p>
      <w:pPr>
        <w:pStyle w:val="Normal"/>
        <w:spacing w:before="0" w:after="160"/>
        <w:jc w:val="both"/>
        <w:rPr/>
      </w:pPr>
      <w:r>
        <w:rPr/>
        <w:t>Asesoría legal.</w:t>
      </w:r>
    </w:p>
    <w:p>
      <w:pPr>
        <w:pStyle w:val="Normal"/>
        <w:spacing w:before="0" w:after="160"/>
        <w:jc w:val="both"/>
        <w:rPr/>
      </w:pPr>
      <w:r>
        <w:rPr/>
        <w:t>Redacción y Revisión de documentos.</w:t>
      </w:r>
    </w:p>
    <w:p>
      <w:pPr>
        <w:pStyle w:val="Normal"/>
        <w:spacing w:before="0" w:after="160"/>
        <w:jc w:val="both"/>
        <w:rPr/>
      </w:pPr>
      <w:r>
        <w:rPr/>
        <w:t xml:space="preserve">Asistencia y Representación judicial. </w:t>
      </w:r>
    </w:p>
    <w:p>
      <w:pPr>
        <w:pStyle w:val="Normal"/>
        <w:spacing w:before="0" w:after="160"/>
        <w:jc w:val="both"/>
        <w:rPr/>
      </w:pPr>
      <w:r>
        <w:rPr/>
        <w:t xml:space="preserve">Representación ante organismos públicos del Estado. </w:t>
      </w:r>
    </w:p>
    <w:p>
      <w:pPr>
        <w:pStyle w:val="Normal"/>
        <w:spacing w:before="0" w:after="160"/>
        <w:jc w:val="both"/>
        <w:rPr/>
      </w:pPr>
      <w:r>
        <w:rPr/>
        <w:t>Informe periódico contentivo de las gestiones llevadas a cabo por nuestros profesionales con motivo del avance de casos.</w:t>
      </w:r>
    </w:p>
    <w:p>
      <w:pPr>
        <w:pStyle w:val="Normal"/>
        <w:spacing w:before="0" w:after="160"/>
        <w:jc w:val="both"/>
        <w:rPr/>
      </w:pPr>
      <w:r>
        <w:rPr/>
      </w:r>
    </w:p>
    <w:p>
      <w:pPr>
        <w:pStyle w:val="Normal"/>
        <w:spacing w:before="0" w:after="160"/>
        <w:jc w:val="both"/>
        <w:rPr/>
      </w:pPr>
      <w:r>
        <w:rPr/>
        <w:t xml:space="preserve">legal  </w:t>
      </w:r>
      <w:r>
        <w:rPr>
          <w:rFonts w:ascii="Arial;sans-serif" w:hAnsi="Arial;sans-serif"/>
          <w:b w:val="false"/>
          <w:i w:val="false"/>
          <w:caps w:val="false"/>
          <w:smallCaps w:val="false"/>
          <w:color w:val="181818"/>
          <w:spacing w:val="0"/>
          <w:sz w:val="18"/>
          <w:lang w:val="en-US"/>
        </w:rPr>
        <w:t>consulting.</w:t>
      </w:r>
    </w:p>
    <w:p>
      <w:pPr>
        <w:pStyle w:val="Normal"/>
        <w:spacing w:before="0" w:after="160"/>
        <w:jc w:val="both"/>
        <w:rPr>
          <w:rFonts w:ascii="sans-serif" w:hAnsi="sans-serif"/>
          <w:b w:val="false"/>
          <w:b w:val="false"/>
          <w:i w:val="false"/>
          <w:i w:val="false"/>
          <w:caps w:val="false"/>
          <w:smallCaps w:val="false"/>
          <w:color w:val="000000"/>
          <w:spacing w:val="0"/>
          <w:sz w:val="18"/>
        </w:rPr>
      </w:pPr>
      <w:r>
        <w:rPr>
          <w:rFonts w:ascii="Arial;sans-serif" w:hAnsi="Arial;sans-serif"/>
          <w:b w:val="false"/>
          <w:i w:val="false"/>
          <w:caps w:val="false"/>
          <w:smallCaps w:val="false"/>
          <w:color w:val="181818"/>
          <w:spacing w:val="0"/>
          <w:sz w:val="18"/>
          <w:lang w:val="en-US"/>
        </w:rPr>
        <w:t>composition and reviewing documents.</w:t>
      </w:r>
    </w:p>
    <w:p>
      <w:pPr>
        <w:pStyle w:val="Normal"/>
        <w:spacing w:before="0" w:after="160"/>
        <w:jc w:val="both"/>
        <w:rPr>
          <w:rFonts w:ascii="sans-serif" w:hAnsi="sans-serif"/>
          <w:b w:val="false"/>
          <w:b w:val="false"/>
          <w:i w:val="false"/>
          <w:i w:val="false"/>
          <w:caps w:val="false"/>
          <w:smallCaps w:val="false"/>
          <w:color w:val="000000"/>
          <w:spacing w:val="0"/>
          <w:sz w:val="18"/>
        </w:rPr>
      </w:pPr>
      <w:r>
        <w:rPr>
          <w:rFonts w:ascii="Arial;sans-serif" w:hAnsi="Arial;sans-serif"/>
          <w:b w:val="false"/>
          <w:i w:val="false"/>
          <w:caps w:val="false"/>
          <w:smallCaps w:val="false"/>
          <w:color w:val="181818"/>
          <w:spacing w:val="0"/>
          <w:sz w:val="18"/>
          <w:lang w:val="en-US"/>
        </w:rPr>
        <w:t>legal representation and assistance.</w:t>
      </w:r>
    </w:p>
    <w:p>
      <w:pPr>
        <w:pStyle w:val="Normal"/>
        <w:spacing w:before="0" w:after="160"/>
        <w:jc w:val="both"/>
        <w:rPr/>
      </w:pPr>
      <w:r>
        <w:rPr>
          <w:rFonts w:ascii="Bitstream Charter" w:hAnsi="Bitstream Charter"/>
          <w:b w:val="false"/>
          <w:i w:val="false"/>
          <w:caps w:val="false"/>
          <w:smallCaps w:val="false"/>
          <w:color w:val="242424"/>
          <w:spacing w:val="0"/>
          <w:sz w:val="24"/>
          <w:szCs w:val="24"/>
          <w:lang w:val="en-US"/>
        </w:rPr>
        <w:t>Be</w:t>
      </w:r>
      <w:r>
        <w:rPr>
          <w:rFonts w:ascii="Bitstream Charter" w:hAnsi="Bitstream Charter"/>
          <w:b w:val="false"/>
          <w:i w:val="false"/>
          <w:caps w:val="false"/>
          <w:smallCaps w:val="false"/>
          <w:color w:val="181818"/>
          <w:spacing w:val="0"/>
          <w:sz w:val="24"/>
          <w:szCs w:val="24"/>
          <w:lang w:val="en-US"/>
        </w:rPr>
        <w:t xml:space="preserve">half </w:t>
      </w:r>
      <w:r>
        <w:rPr>
          <w:rFonts w:ascii="Bitstream Charter" w:hAnsi="Bitstream Charter"/>
          <w:b w:val="false"/>
          <w:i w:val="false"/>
          <w:caps w:val="false"/>
          <w:smallCaps w:val="false"/>
          <w:color w:val="0C0C0C"/>
          <w:spacing w:val="0"/>
          <w:sz w:val="24"/>
          <w:szCs w:val="24"/>
          <w:lang w:val="en-US"/>
        </w:rPr>
        <w:t xml:space="preserve">before </w:t>
      </w:r>
      <w:hyperlink r:id="rId2">
        <w:bookmarkStart w:id="2" w:name="dictEntry10006209478"/>
        <w:bookmarkEnd w:id="2"/>
        <w:r>
          <w:rPr>
            <w:rStyle w:val="InternetLink"/>
            <w:rFonts w:ascii="Bitstream Charter" w:hAnsi="Bitstream Charter"/>
            <w:b w:val="false"/>
            <w:i w:val="false"/>
            <w:caps w:val="false"/>
            <w:smallCaps w:val="false"/>
            <w:color w:val="3C3C3C"/>
            <w:spacing w:val="0"/>
            <w:sz w:val="24"/>
            <w:szCs w:val="24"/>
            <w:u w:val="none"/>
            <w:lang w:val="en-US"/>
          </w:rPr>
          <w:t>government institution</w:t>
        </w:r>
      </w:hyperlink>
      <w:r>
        <w:rPr>
          <w:rFonts w:ascii="Bitstream Charter" w:hAnsi="Bitstream Charter"/>
          <w:b w:val="false"/>
          <w:i w:val="false"/>
          <w:caps w:val="false"/>
          <w:smallCaps w:val="false"/>
          <w:color w:val="3C3C3C"/>
          <w:spacing w:val="0"/>
          <w:sz w:val="24"/>
          <w:szCs w:val="24"/>
          <w:u w:val="none"/>
          <w:lang w:val="en-US"/>
        </w:rPr>
        <w:t>.</w:t>
      </w:r>
    </w:p>
    <w:p>
      <w:pPr>
        <w:pStyle w:val="Normal"/>
        <w:spacing w:before="0" w:after="160"/>
        <w:jc w:val="both"/>
        <w:rPr/>
      </w:pPr>
      <w:r>
        <w:rPr>
          <w:rFonts w:ascii="Bitstream Charter" w:hAnsi="Bitstream Charter"/>
          <w:b w:val="false"/>
          <w:i w:val="false"/>
          <w:caps w:val="false"/>
          <w:smallCaps w:val="false"/>
          <w:color w:val="3C3C3C"/>
          <w:spacing w:val="0"/>
          <w:sz w:val="24"/>
          <w:szCs w:val="24"/>
          <w:u w:val="none"/>
          <w:lang w:val="en-US"/>
        </w:rPr>
        <w:t>Constant information about the work featured by our professionals in your case.</w:t>
      </w:r>
    </w:p>
    <w:p>
      <w:pPr>
        <w:pStyle w:val="Normal"/>
        <w:spacing w:before="0" w:after="160"/>
        <w:jc w:val="both"/>
        <w:rPr>
          <w:rFonts w:ascii="Bitstream Charter" w:hAnsi="Bitstream Charter"/>
          <w:b w:val="false"/>
          <w:b w:val="false"/>
          <w:i w:val="false"/>
          <w:i w:val="false"/>
          <w:caps w:val="false"/>
          <w:smallCaps w:val="false"/>
          <w:color w:val="3C3C3C"/>
          <w:spacing w:val="0"/>
          <w:sz w:val="24"/>
          <w:szCs w:val="24"/>
          <w:u w:val="none"/>
          <w:lang w:val="en-US"/>
        </w:rPr>
      </w:pPr>
      <w:r>
        <w:rPr>
          <w:rFonts w:ascii="Bitstream Charter" w:hAnsi="Bitstream Charter"/>
          <w:b w:val="false"/>
          <w:i w:val="false"/>
          <w:caps w:val="false"/>
          <w:smallCaps w:val="false"/>
          <w:color w:val="3C3C3C"/>
          <w:spacing w:val="0"/>
          <w:sz w:val="24"/>
          <w:szCs w:val="24"/>
          <w:u w:val="none"/>
          <w:lang w:val="en-US"/>
        </w:rPr>
      </w:r>
    </w:p>
    <w:p>
      <w:pPr>
        <w:pStyle w:val="Normal"/>
        <w:spacing w:before="0" w:after="160"/>
        <w:jc w:val="both"/>
        <w:rPr>
          <w:rFonts w:ascii="Avenir Next;Roboto Condensed;Arial;sans-serif" w:hAnsi="Avenir Next;Roboto Condensed;Arial;sans-serif"/>
          <w:b w:val="false"/>
          <w:b w:val="false"/>
          <w:i w:val="false"/>
          <w:i w:val="false"/>
          <w:caps w:val="false"/>
          <w:smallCaps w:val="false"/>
          <w:color w:val="3C3C3C"/>
          <w:spacing w:val="0"/>
          <w:sz w:val="24"/>
          <w:u w:val="none"/>
          <w:lang w:val="en-US"/>
        </w:rPr>
      </w:pPr>
      <w:r>
        <w:rPr>
          <w:rFonts w:ascii="Avenir Next;Roboto Condensed;Arial;sans-serif" w:hAnsi="Avenir Next;Roboto Condensed;Arial;sans-serif"/>
          <w:b w:val="false"/>
          <w:i w:val="false"/>
          <w:caps w:val="false"/>
          <w:smallCaps w:val="false"/>
          <w:color w:val="3C3C3C"/>
          <w:spacing w:val="0"/>
          <w:sz w:val="24"/>
          <w:u w:val="none"/>
          <w:lang w:val="en-US"/>
        </w:rPr>
      </w:r>
    </w:p>
    <w:p>
      <w:pPr>
        <w:pStyle w:val="Normal"/>
        <w:spacing w:before="0" w:after="160"/>
        <w:jc w:val="both"/>
        <w:rPr>
          <w:rFonts w:ascii="Avenir Next;Roboto Condensed;Arial;sans-serif" w:hAnsi="Avenir Next;Roboto Condensed;Arial;sans-serif"/>
          <w:b w:val="false"/>
          <w:b w:val="false"/>
          <w:i w:val="false"/>
          <w:i w:val="false"/>
          <w:caps w:val="false"/>
          <w:smallCaps w:val="false"/>
          <w:color w:val="3C3C3C"/>
          <w:spacing w:val="0"/>
          <w:sz w:val="24"/>
          <w:u w:val="single"/>
          <w:lang w:val="en-US"/>
        </w:rPr>
      </w:pPr>
      <w:r>
        <w:rPr>
          <w:rFonts w:ascii="Avenir Next;Roboto Condensed;Arial;sans-serif" w:hAnsi="Avenir Next;Roboto Condensed;Arial;sans-serif"/>
          <w:b w:val="false"/>
          <w:i w:val="false"/>
          <w:caps w:val="false"/>
          <w:smallCaps w:val="false"/>
          <w:color w:val="3C3C3C"/>
          <w:spacing w:val="0"/>
          <w:sz w:val="24"/>
          <w:u w:val="single"/>
          <w:lang w:val="en-US"/>
        </w:rPr>
      </w:r>
    </w:p>
    <w:p>
      <w:pPr>
        <w:pStyle w:val="Normal"/>
        <w:spacing w:before="0" w:after="160"/>
        <w:jc w:val="both"/>
        <w:rPr>
          <w:rFonts w:ascii="sans-serif" w:hAnsi="sans-serif"/>
          <w:b w:val="false"/>
          <w:b w:val="false"/>
          <w:i w:val="false"/>
          <w:i w:val="false"/>
          <w:caps w:val="false"/>
          <w:smallCaps w:val="false"/>
          <w:color w:val="000000"/>
          <w:spacing w:val="0"/>
          <w:sz w:val="18"/>
        </w:rPr>
      </w:pPr>
      <w:r>
        <w:rPr>
          <w:rFonts w:ascii="Arial;sans-serif" w:hAnsi="Arial;sans-serif"/>
          <w:b w:val="false"/>
          <w:i w:val="false"/>
          <w:caps w:val="false"/>
          <w:smallCaps w:val="false"/>
          <w:color w:val="181818"/>
          <w:spacing w:val="0"/>
          <w:sz w:val="18"/>
          <w:lang w:val="en-US"/>
        </w:rPr>
        <w:t xml:space="preserve"> </w:t>
      </w:r>
    </w:p>
    <w:p>
      <w:pPr>
        <w:pStyle w:val="Normal"/>
        <w:spacing w:before="0" w:after="160"/>
        <w:jc w:val="both"/>
        <w:rPr/>
      </w:pPr>
      <w:r>
        <w:rPr>
          <w:b/>
          <w:i/>
        </w:rPr>
        <w:t xml:space="preserve">Área Contable   </w:t>
      </w:r>
      <w:bookmarkStart w:id="3" w:name="tw-target-text3"/>
      <w:bookmarkEnd w:id="3"/>
      <w:r>
        <w:rPr>
          <w:rFonts w:ascii="inherit" w:hAnsi="inherit"/>
          <w:b/>
          <w:i/>
          <w:caps w:val="false"/>
          <w:smallCaps w:val="false"/>
          <w:color w:val="212121"/>
          <w:spacing w:val="0"/>
          <w:sz w:val="44"/>
          <w:lang w:val="en-US"/>
        </w:rPr>
        <w:t>accounting area</w:t>
      </w:r>
    </w:p>
    <w:p>
      <w:pPr>
        <w:pStyle w:val="Normal"/>
        <w:spacing w:before="0" w:after="160"/>
        <w:jc w:val="both"/>
        <w:rPr>
          <w:b/>
          <w:b/>
          <w:i/>
          <w:i/>
        </w:rPr>
      </w:pPr>
      <w:r>
        <w:rPr>
          <w:b/>
          <w:i/>
        </w:rPr>
      </w:r>
    </w:p>
    <w:p>
      <w:pPr>
        <w:pStyle w:val="Normal"/>
        <w:spacing w:before="0" w:after="160"/>
        <w:jc w:val="both"/>
        <w:rPr/>
      </w:pPr>
      <w:r>
        <w:rPr/>
        <w:t>Balance y Certificación de Ingresos.</w:t>
      </w:r>
    </w:p>
    <w:p>
      <w:pPr>
        <w:pStyle w:val="Normal"/>
        <w:spacing w:before="0" w:after="160"/>
        <w:jc w:val="both"/>
        <w:rPr/>
      </w:pPr>
      <w:r>
        <w:rPr/>
        <w:t>Asistencia en temas relacionados al pago del Impuesto Sobre la Renta (ISLR), Impuesto al Valor Agregado (IVA), y otros.</w:t>
      </w:r>
    </w:p>
    <w:p>
      <w:pPr>
        <w:pStyle w:val="Heading1"/>
        <w:spacing w:before="0" w:after="160"/>
        <w:jc w:val="both"/>
        <w:rPr>
          <w:rFonts w:ascii="AdelleBasic-Bold;serif" w:hAnsi="AdelleBasic-Bold;serif"/>
          <w:b w:val="false"/>
          <w:b w:val="false"/>
          <w:i w:val="false"/>
          <w:i w:val="false"/>
          <w:caps w:val="false"/>
          <w:smallCaps w:val="false"/>
          <w:color w:val="000000"/>
          <w:spacing w:val="0"/>
          <w:sz w:val="36"/>
        </w:rPr>
      </w:pPr>
      <w:r>
        <w:rPr>
          <w:rFonts w:ascii="AdelleBasic-Bold;serif" w:hAnsi="AdelleBasic-Bold;serif"/>
          <w:b w:val="false"/>
          <w:i w:val="false"/>
          <w:caps w:val="false"/>
          <w:smallCaps w:val="false"/>
          <w:color w:val="000000"/>
          <w:spacing w:val="0"/>
          <w:sz w:val="36"/>
        </w:rPr>
        <w:t>Certified Financial Statement.</w:t>
      </w:r>
    </w:p>
    <w:p>
      <w:pPr>
        <w:pStyle w:val="Normal"/>
        <w:spacing w:before="0" w:after="160"/>
        <w:jc w:val="both"/>
        <w:rPr>
          <w:rFonts w:ascii="AdelleBasic-Bold;serif" w:hAnsi="AdelleBasic-Bold;serif"/>
          <w:b w:val="false"/>
          <w:b w:val="false"/>
          <w:i w:val="false"/>
          <w:i w:val="false"/>
          <w:caps w:val="false"/>
          <w:smallCaps w:val="false"/>
          <w:color w:val="000000"/>
          <w:spacing w:val="0"/>
          <w:sz w:val="36"/>
        </w:rPr>
      </w:pPr>
      <w:r>
        <w:rPr>
          <w:rFonts w:ascii="AdelleBasic-Bold;serif" w:hAnsi="AdelleBasic-Bold;serif"/>
          <w:b w:val="false"/>
          <w:i w:val="false"/>
          <w:caps w:val="false"/>
          <w:smallCaps w:val="false"/>
          <w:color w:val="000000"/>
          <w:spacing w:val="0"/>
          <w:sz w:val="36"/>
        </w:rPr>
        <w:t xml:space="preserve">Assistance in tax payment, IRS, </w:t>
      </w:r>
      <w:bookmarkStart w:id="4" w:name="tw-target-text5"/>
      <w:bookmarkEnd w:id="4"/>
      <w:r>
        <w:rPr>
          <w:rFonts w:ascii="inherit" w:hAnsi="inherit"/>
          <w:b w:val="false"/>
          <w:i w:val="false"/>
          <w:caps w:val="false"/>
          <w:smallCaps w:val="false"/>
          <w:color w:val="212121"/>
          <w:spacing w:val="0"/>
          <w:sz w:val="44"/>
          <w:lang w:val="en-US"/>
        </w:rPr>
        <w:t>among others.</w:t>
      </w:r>
    </w:p>
    <w:p>
      <w:pPr>
        <w:pStyle w:val="Normal"/>
        <w:spacing w:before="0" w:after="160"/>
        <w:jc w:val="both"/>
        <w:rPr>
          <w:rFonts w:ascii="inherit" w:hAnsi="inherit"/>
          <w:color w:val="212121"/>
          <w:sz w:val="44"/>
          <w:lang w:val="en-US"/>
        </w:rPr>
      </w:pPr>
      <w:r>
        <w:rPr>
          <w:rFonts w:ascii="inherit" w:hAnsi="inherit"/>
          <w:color w:val="212121"/>
          <w:sz w:val="44"/>
          <w:lang w:val="en-US"/>
        </w:rPr>
      </w:r>
    </w:p>
    <w:p>
      <w:pPr>
        <w:pStyle w:val="Normal"/>
        <w:spacing w:before="0" w:after="160"/>
        <w:jc w:val="both"/>
        <w:rPr/>
      </w:pPr>
      <w:r>
        <w:rPr/>
      </w:r>
    </w:p>
    <w:p>
      <w:pPr>
        <w:pStyle w:val="Normal"/>
        <w:spacing w:before="0" w:after="160"/>
        <w:jc w:val="both"/>
        <w:rPr/>
      </w:pPr>
      <w:r>
        <w:rPr/>
      </w:r>
    </w:p>
    <w:p>
      <w:pPr>
        <w:pStyle w:val="Normal"/>
        <w:spacing w:before="0" w:after="160"/>
        <w:jc w:val="both"/>
        <w:rPr/>
      </w:pPr>
      <w:r>
        <w:rPr>
          <w:b/>
          <w:i/>
          <w:u w:val="single"/>
        </w:rPr>
        <w:t xml:space="preserve">Especialidades </w:t>
      </w:r>
      <w:bookmarkStart w:id="5" w:name="tw-target-text"/>
      <w:bookmarkEnd w:id="5"/>
      <w:r>
        <w:rPr>
          <w:rFonts w:ascii="inherit" w:hAnsi="inherit"/>
          <w:b/>
          <w:i/>
          <w:caps w:val="false"/>
          <w:smallCaps w:val="false"/>
          <w:color w:val="212121"/>
          <w:spacing w:val="0"/>
          <w:sz w:val="44"/>
          <w:u w:val="single"/>
          <w:lang w:val="en-US"/>
        </w:rPr>
        <w:t>specialties</w:t>
      </w:r>
    </w:p>
    <w:p>
      <w:pPr>
        <w:pStyle w:val="Normal"/>
        <w:spacing w:before="0" w:after="160"/>
        <w:jc w:val="both"/>
        <w:rPr>
          <w:b/>
          <w:b/>
          <w:i/>
          <w:i/>
          <w:u w:val="single"/>
        </w:rPr>
      </w:pPr>
      <w:r>
        <w:rPr>
          <w:b/>
          <w:i/>
          <w:u w:val="single"/>
        </w:rPr>
      </w:r>
    </w:p>
    <w:p>
      <w:pPr>
        <w:pStyle w:val="Normal"/>
        <w:spacing w:before="0" w:after="160"/>
        <w:jc w:val="both"/>
        <w:rPr/>
      </w:pPr>
      <w:r>
        <w:rPr>
          <w:b/>
          <w:i/>
        </w:rPr>
        <w:t xml:space="preserve">Área Legal </w:t>
      </w:r>
    </w:p>
    <w:p>
      <w:pPr>
        <w:pStyle w:val="Normal"/>
        <w:spacing w:before="0" w:after="160"/>
        <w:jc w:val="both"/>
        <w:rPr/>
      </w:pPr>
      <w:r>
        <w:rPr>
          <w:b/>
          <w:i/>
        </w:rPr>
        <w:t>Derecho Civil</w:t>
      </w:r>
      <w:r>
        <w:rPr>
          <w:b/>
        </w:rPr>
        <w:t xml:space="preserve">: </w:t>
      </w:r>
      <w:r>
        <w:rPr/>
        <w:t>Redacción de todo tipo de documentos enmarcados en materia de personas, bienes, sucesiones, familia. Tales como carta de soltería, acuerdo de unión estable de hecho, declaración jurada de no poseer vivienda, cesión de derechos, curatela justificativo de únicos y universales herederos, poder o mandato, autorizaciones, divorcio 185-A, separación de cuerpos, capitulaciones matrimoniales, título supletorio, opción compra-venta, venta de bienes muebles e inmuebles, arrendamiento de viviendas, entre otros. Además, le asistimos en procesos judiciales  tales como: particiones hereditarias, prescripciones adquisitivas, impugnación de actas de asamblea de condominio, liquidación de comunidad conyugal, acciones merodeclarativas de derechos y, en general, cualquier otra acción de esta naturaleza contemplada en la legislación venezolana.</w:t>
      </w:r>
    </w:p>
    <w:p>
      <w:pPr>
        <w:pStyle w:val="Normal"/>
        <w:rPr/>
      </w:pPr>
      <w:r>
        <w:rPr/>
        <w:t>common_law: Composition of every kind of documents inside the subject-m</w:t>
      </w:r>
      <w:r>
        <w:rPr>
          <w:rFonts w:ascii="Bitstream Charter" w:hAnsi="Bitstream Charter"/>
          <w:b w:val="false"/>
          <w:bCs w:val="false"/>
          <w:color w:val="000000"/>
          <w:sz w:val="24"/>
          <w:szCs w:val="24"/>
        </w:rPr>
        <w:t xml:space="preserve">atter of; civil rights, </w:t>
      </w:r>
      <w:r>
        <w:rPr>
          <w:rFonts w:ascii="Bitstream Charter" w:hAnsi="Bitstream Charter"/>
          <w:b w:val="false"/>
          <w:bCs w:val="false"/>
          <w:i w:val="false"/>
          <w:caps w:val="false"/>
          <w:smallCaps w:val="false"/>
          <w:color w:val="000000"/>
          <w:spacing w:val="0"/>
          <w:sz w:val="24"/>
          <w:szCs w:val="24"/>
        </w:rPr>
        <w:t xml:space="preserve">property,  inheritance and family. Such as; Single Status Affidavit, stable de facto union, real estate affidavit ownership,  cession of rights, unique and universal heirs, </w:t>
      </w:r>
      <w:r>
        <w:rPr>
          <w:rFonts w:ascii="Arial;sans-serif" w:hAnsi="Arial;sans-serif"/>
          <w:b w:val="false"/>
          <w:bCs w:val="false"/>
          <w:i w:val="false"/>
          <w:caps w:val="false"/>
          <w:smallCaps w:val="false"/>
          <w:color w:val="000000"/>
          <w:spacing w:val="0"/>
          <w:sz w:val="18"/>
          <w:szCs w:val="24"/>
        </w:rPr>
        <w:t>power of</w:t>
      </w:r>
      <w:r>
        <w:rPr>
          <w:rFonts w:ascii="Bitstream Charter" w:hAnsi="Bitstream Charter"/>
          <w:b w:val="false"/>
          <w:bCs w:val="false"/>
          <w:i w:val="false"/>
          <w:caps w:val="false"/>
          <w:smallCaps w:val="false"/>
          <w:color w:val="0C0C0C"/>
          <w:spacing w:val="0"/>
          <w:sz w:val="24"/>
          <w:szCs w:val="24"/>
        </w:rPr>
        <w:t xml:space="preserve"> </w:t>
      </w:r>
      <w:r>
        <w:rPr>
          <w:rFonts w:ascii="Arial;sans-serif" w:hAnsi="Arial;sans-serif"/>
          <w:b w:val="false"/>
          <w:bCs w:val="false"/>
          <w:i w:val="false"/>
          <w:caps w:val="false"/>
          <w:smallCaps w:val="false"/>
          <w:color w:val="0C0C0C"/>
          <w:spacing w:val="0"/>
          <w:sz w:val="18"/>
          <w:szCs w:val="24"/>
        </w:rPr>
        <w:t>at</w:t>
      </w:r>
      <w:r>
        <w:rPr>
          <w:rFonts w:ascii="Arial;sans-serif" w:hAnsi="Arial;sans-serif"/>
          <w:b w:val="false"/>
          <w:bCs w:val="false"/>
          <w:i w:val="false"/>
          <w:caps w:val="false"/>
          <w:smallCaps w:val="false"/>
          <w:color w:val="181818"/>
          <w:spacing w:val="0"/>
          <w:sz w:val="18"/>
          <w:szCs w:val="24"/>
        </w:rPr>
        <w:t>tor</w:t>
      </w:r>
      <w:r>
        <w:rPr>
          <w:rFonts w:ascii="Arial;sans-serif" w:hAnsi="Arial;sans-serif"/>
          <w:b w:val="false"/>
          <w:bCs w:val="false"/>
          <w:i w:val="false"/>
          <w:caps w:val="false"/>
          <w:smallCaps w:val="false"/>
          <w:color w:val="242424"/>
          <w:spacing w:val="0"/>
          <w:sz w:val="18"/>
          <w:szCs w:val="24"/>
        </w:rPr>
        <w:t>ney, authorization, divorce 185-A, legal separation, Title by Adverse Possession,  call or put option definition, sell of goods, residential lease agreement, among others. Besides we will assistance you in judicial proceedings such as: hereditary</w:t>
      </w:r>
      <w:hyperlink r:id="rId3">
        <w:r>
          <w:rPr>
            <w:rStyle w:val="InternetLink"/>
            <w:rFonts w:ascii="Bitstream Charter" w:hAnsi="Bitstream Charter"/>
            <w:b w:val="false"/>
            <w:bCs w:val="false"/>
            <w:color w:val="000000"/>
            <w:position w:val="0"/>
            <w:sz w:val="24"/>
            <w:sz w:val="24"/>
            <w:szCs w:val="24"/>
            <w:u w:val="none"/>
            <w:vertAlign w:val="baseline"/>
          </w:rPr>
          <w:t xml:space="preserve"> property of </w:t>
        </w:r>
      </w:hyperlink>
      <w:r>
        <w:rPr>
          <w:rFonts w:ascii="Bitstream Charter" w:hAnsi="Bitstream Charter"/>
          <w:b w:val="false"/>
          <w:bCs w:val="false"/>
          <w:color w:val="000000"/>
          <w:position w:val="0"/>
          <w:sz w:val="24"/>
          <w:sz w:val="24"/>
          <w:szCs w:val="24"/>
          <w:u w:val="none"/>
          <w:vertAlign w:val="baseline"/>
        </w:rPr>
        <w:t>partitions, acquisitive prescription, condo owner rights and responsibilities, distribution of conjugal property, action of recognition of rights and any other action of this nature stated in the Venezuelan legislation.</w:t>
      </w:r>
    </w:p>
    <w:p>
      <w:pPr>
        <w:pStyle w:val="Normal"/>
        <w:rPr/>
      </w:pPr>
      <w:r>
        <w:rPr>
          <w:b/>
          <w:i/>
        </w:rPr>
        <w:t xml:space="preserve">Derecho del Niño, Niña y Adolescente: </w:t>
      </w:r>
      <w:r>
        <w:rPr/>
        <w:t xml:space="preserve">Asistencia y asesoría en relación a la fijación de la Obligación de manutención y del Régimen de Convivencia familiar. Representación ante organismos públicos en temas de la materia. Redacción de autorizaciones para viajes nacionales e internacionales y para residencias. Asistencia en asuntos de naturaleza contenciosa relacionados con la patria potestad, responsabilidad de crianza, régimen de convivencia, divorcio, nulidad de matrimonio y separación de cuerpos cuando hay menores de edad en común entre las partes, liquidación y partición de la comunidad conyugal o de uniones estables de hecho cuando hay menores de edad en común entre las partes. </w:t>
      </w:r>
    </w:p>
    <w:p>
      <w:pPr>
        <w:pStyle w:val="Normal"/>
        <w:rPr/>
      </w:pPr>
      <w:r>
        <w:rPr/>
        <w:t xml:space="preserve"> </w:t>
      </w:r>
      <w:r>
        <w:rPr/>
        <w:t xml:space="preserve">Assistance and  </w:t>
      </w:r>
      <w:r>
        <w:rPr>
          <w:rFonts w:ascii="Arial;sans-serif" w:hAnsi="Arial;sans-serif"/>
          <w:b w:val="false"/>
          <w:i w:val="false"/>
          <w:caps w:val="false"/>
          <w:smallCaps w:val="false"/>
          <w:color w:val="181818"/>
          <w:spacing w:val="0"/>
          <w:sz w:val="18"/>
          <w:lang w:val="en-US"/>
        </w:rPr>
        <w:t xml:space="preserve">consultancy in relation to the statement of maintenance and familiar coexistence regime. </w:t>
      </w:r>
      <w:r>
        <w:rPr>
          <w:rFonts w:ascii="Bitstream Charter" w:hAnsi="Bitstream Charter"/>
          <w:b w:val="false"/>
          <w:i w:val="false"/>
          <w:caps w:val="false"/>
          <w:smallCaps w:val="false"/>
          <w:color w:val="242424"/>
          <w:spacing w:val="0"/>
          <w:sz w:val="24"/>
          <w:szCs w:val="24"/>
          <w:lang w:val="en-US"/>
        </w:rPr>
        <w:t>Be</w:t>
      </w:r>
      <w:r>
        <w:rPr>
          <w:rFonts w:ascii="Bitstream Charter" w:hAnsi="Bitstream Charter"/>
          <w:b w:val="false"/>
          <w:i w:val="false"/>
          <w:caps w:val="false"/>
          <w:smallCaps w:val="false"/>
          <w:color w:val="181818"/>
          <w:spacing w:val="0"/>
          <w:sz w:val="24"/>
          <w:szCs w:val="24"/>
          <w:lang w:val="en-US"/>
        </w:rPr>
        <w:t xml:space="preserve">half </w:t>
      </w:r>
      <w:r>
        <w:rPr>
          <w:rFonts w:ascii="Bitstream Charter" w:hAnsi="Bitstream Charter"/>
          <w:b w:val="false"/>
          <w:i w:val="false"/>
          <w:caps w:val="false"/>
          <w:smallCaps w:val="false"/>
          <w:color w:val="0C0C0C"/>
          <w:spacing w:val="0"/>
          <w:sz w:val="24"/>
          <w:szCs w:val="24"/>
          <w:lang w:val="en-US"/>
        </w:rPr>
        <w:t xml:space="preserve">before </w:t>
      </w:r>
      <w:bookmarkStart w:id="6" w:name="dictEntry100062094787"/>
      <w:bookmarkEnd w:id="6"/>
      <w:r>
        <w:rPr>
          <w:rStyle w:val="InternetLink"/>
          <w:rFonts w:ascii="Bitstream Charter" w:hAnsi="Bitstream Charter"/>
          <w:b w:val="false"/>
          <w:i w:val="false"/>
          <w:caps w:val="false"/>
          <w:smallCaps w:val="false"/>
          <w:color w:val="3C3C3C"/>
          <w:spacing w:val="0"/>
          <w:sz w:val="24"/>
          <w:szCs w:val="24"/>
          <w:u w:val="none"/>
          <w:lang w:val="en-US"/>
        </w:rPr>
        <w:t>government institutions in the subject-matter.</w:t>
      </w:r>
    </w:p>
    <w:p>
      <w:pPr>
        <w:pStyle w:val="Normal"/>
        <w:rPr/>
      </w:pPr>
      <w:r>
        <w:rPr>
          <w:rStyle w:val="InternetLink"/>
          <w:rFonts w:ascii="Bitstream Charter" w:hAnsi="Bitstream Charter"/>
          <w:b w:val="false"/>
          <w:i w:val="false"/>
          <w:caps w:val="false"/>
          <w:smallCaps w:val="false"/>
          <w:color w:val="3C3C3C"/>
          <w:spacing w:val="0"/>
          <w:sz w:val="24"/>
          <w:szCs w:val="24"/>
          <w:u w:val="none"/>
          <w:lang w:val="en-US"/>
        </w:rPr>
        <w:t xml:space="preserve">Composition of authorizations for national and international trips and residency. Assistance in subject of the nature of </w:t>
      </w:r>
      <w:bookmarkStart w:id="7" w:name="tw-target-text7"/>
      <w:bookmarkEnd w:id="7"/>
      <w:r>
        <w:rPr>
          <w:rStyle w:val="InternetLink"/>
          <w:rFonts w:ascii="inherit" w:hAnsi="inherit"/>
          <w:b w:val="false"/>
          <w:i w:val="false"/>
          <w:caps w:val="false"/>
          <w:smallCaps w:val="false"/>
          <w:color w:val="212121"/>
          <w:spacing w:val="0"/>
          <w:sz w:val="44"/>
          <w:szCs w:val="24"/>
          <w:u w:val="none"/>
          <w:lang w:val="en-US"/>
        </w:rPr>
        <w:t xml:space="preserve">custody, </w:t>
      </w:r>
      <w:r>
        <w:rPr>
          <w:rStyle w:val="InternetLink"/>
          <w:rFonts w:ascii="arial;sans-serif" w:hAnsi="arial;sans-serif"/>
          <w:b w:val="false"/>
          <w:i w:val="false"/>
          <w:caps w:val="false"/>
          <w:smallCaps w:val="false"/>
          <w:color w:val="212121"/>
          <w:spacing w:val="0"/>
          <w:sz w:val="44"/>
          <w:szCs w:val="24"/>
          <w:u w:val="none"/>
          <w:lang w:val="en-US"/>
        </w:rPr>
        <w:t>parental responsibility,  coexistence regime, divorce,  nullity of marriage and legal separation when there is common minors</w:t>
      </w:r>
      <w:bookmarkStart w:id="8" w:name="esen:33898"/>
      <w:bookmarkEnd w:id="8"/>
      <w:r>
        <w:rPr>
          <w:rStyle w:val="InternetLink"/>
          <w:rFonts w:ascii="arial;sans-serif" w:hAnsi="arial;sans-serif"/>
          <w:b w:val="false"/>
          <w:i w:val="false"/>
          <w:caps w:val="false"/>
          <w:smallCaps w:val="false"/>
          <w:color w:val="212121"/>
          <w:spacing w:val="0"/>
          <w:sz w:val="44"/>
          <w:szCs w:val="24"/>
          <w:u w:val="none"/>
          <w:lang w:val="en-US"/>
        </w:rPr>
        <w:t xml:space="preserve">, </w:t>
      </w:r>
      <w:r>
        <w:rPr>
          <w:rStyle w:val="InternetLink"/>
          <w:rFonts w:ascii="arial;sans-serif" w:hAnsi="arial;sans-serif"/>
          <w:b w:val="false"/>
          <w:i w:val="false"/>
          <w:caps w:val="false"/>
          <w:smallCaps w:val="false"/>
          <w:color w:val="000000"/>
          <w:spacing w:val="0"/>
          <w:sz w:val="44"/>
          <w:szCs w:val="24"/>
          <w:u w:val="none"/>
          <w:lang w:val="en-US"/>
        </w:rPr>
        <w:t xml:space="preserve">liquidation,  </w:t>
      </w:r>
      <w:r>
        <w:rPr>
          <w:rStyle w:val="InternetLink"/>
          <w:rFonts w:ascii="Bitstream Charter" w:hAnsi="Bitstream Charter"/>
          <w:b w:val="false"/>
          <w:bCs w:val="false"/>
          <w:i w:val="false"/>
          <w:caps w:val="false"/>
          <w:smallCaps w:val="false"/>
          <w:color w:val="000000"/>
          <w:spacing w:val="0"/>
          <w:position w:val="0"/>
          <w:sz w:val="24"/>
          <w:sz w:val="24"/>
          <w:szCs w:val="24"/>
          <w:u w:val="none"/>
          <w:vertAlign w:val="baseline"/>
          <w:lang w:val="en-US"/>
        </w:rPr>
        <w:t>distribution and liquidation of conjugal property when there is minors.</w:t>
      </w:r>
    </w:p>
    <w:p>
      <w:pPr>
        <w:pStyle w:val="Normal"/>
        <w:rPr>
          <w:rStyle w:val="InternetLink"/>
          <w:rFonts w:ascii="Bitstream Charter" w:hAnsi="Bitstream Charter"/>
          <w:b w:val="false"/>
          <w:b w:val="false"/>
          <w:i w:val="false"/>
          <w:i w:val="false"/>
          <w:caps w:val="false"/>
          <w:smallCaps w:val="false"/>
          <w:color w:val="3C3C3C"/>
          <w:spacing w:val="0"/>
          <w:sz w:val="24"/>
          <w:szCs w:val="24"/>
          <w:u w:val="none"/>
          <w:lang w:val="en-US"/>
        </w:rPr>
      </w:pPr>
      <w:r>
        <w:rPr>
          <w:rFonts w:ascii="Bitstream Charter" w:hAnsi="Bitstream Charter"/>
          <w:b w:val="false"/>
          <w:i w:val="false"/>
          <w:caps w:val="false"/>
          <w:smallCaps w:val="false"/>
          <w:color w:val="3C3C3C"/>
          <w:spacing w:val="0"/>
          <w:sz w:val="24"/>
          <w:szCs w:val="24"/>
          <w:u w:val="none"/>
          <w:lang w:val="en-US"/>
        </w:rPr>
      </w:r>
    </w:p>
    <w:p>
      <w:pPr>
        <w:pStyle w:val="Normal"/>
        <w:spacing w:before="0" w:after="160"/>
        <w:jc w:val="both"/>
        <w:rPr/>
      </w:pPr>
      <w:r>
        <w:rPr>
          <w:b/>
          <w:i/>
        </w:rPr>
        <w:t xml:space="preserve">Derecho Mercantil: </w:t>
      </w:r>
      <w:r>
        <w:rPr/>
        <w:t xml:space="preserve">Constitución de compañías anónimas y sociedades de responsabilidad limitada; firma personal; contratos de naturaleza mercantil en general; actas de asamblea de accionistas ordinaria y extraordinaria. Asesoría integral en materia de constitución de cooperativas. </w:t>
      </w:r>
    </w:p>
    <w:p>
      <w:pPr>
        <w:pStyle w:val="Normal"/>
        <w:spacing w:before="0" w:after="160"/>
        <w:jc w:val="both"/>
        <w:rPr/>
      </w:pPr>
      <w:r>
        <w:rPr/>
        <w:t xml:space="preserve">Constitution of companies and </w:t>
      </w:r>
      <w:r>
        <w:rPr>
          <w:rFonts w:ascii="arial;sans-serif" w:hAnsi="arial;sans-serif"/>
          <w:b w:val="false"/>
          <w:i w:val="false"/>
          <w:caps w:val="false"/>
          <w:smallCaps w:val="false"/>
          <w:color w:val="222222"/>
          <w:spacing w:val="0"/>
          <w:sz w:val="24"/>
        </w:rPr>
        <w:t xml:space="preserve">limited liability company;  personal signature; business contracts  in general;  minutes of shareholders meeting ordinary and extraordinary.  Complete consultancy in subject-matter of constitution of business coperatives.  </w:t>
      </w:r>
    </w:p>
    <w:p>
      <w:pPr>
        <w:pStyle w:val="Normal"/>
        <w:spacing w:before="0" w:after="160"/>
        <w:jc w:val="both"/>
        <w:rPr/>
      </w:pPr>
      <w:r>
        <w:rPr>
          <w:b/>
          <w:i/>
        </w:rPr>
        <w:t xml:space="preserve">Derecho inmobiliario: </w:t>
      </w:r>
      <w:r>
        <w:rPr/>
        <w:t>Asesoría en casos relacionados al arrendamiento de viviendas. Defensa y asistencia en los trámites ante la Superintendencia Nacional de Arrendamientos de Vivienda (SUNAVI), tales como consignación y regulación de canon de arrendamiento, conciliaciones entre arrendador y arrendatario, registro. Inscripciones ante el SAVIL.</w:t>
      </w:r>
    </w:p>
    <w:p>
      <w:pPr>
        <w:pStyle w:val="Normal"/>
        <w:spacing w:before="0" w:after="160"/>
        <w:jc w:val="both"/>
        <w:rPr/>
      </w:pPr>
      <w:r>
        <w:rPr/>
        <w:t xml:space="preserve">Consultancy in cases related to renting. Protection and assistance in procedures of the National Superintendence of Housing Renting (SUNAVI, in Spanish), such as </w:t>
      </w:r>
      <w:bookmarkStart w:id="9" w:name="tw-target-text9"/>
      <w:bookmarkEnd w:id="9"/>
      <w:r>
        <w:rPr>
          <w:rFonts w:ascii="inherit" w:hAnsi="inherit"/>
          <w:b w:val="false"/>
          <w:i w:val="false"/>
          <w:caps w:val="false"/>
          <w:smallCaps w:val="false"/>
          <w:color w:val="212121"/>
          <w:spacing w:val="0"/>
          <w:sz w:val="44"/>
          <w:lang w:val="en-US"/>
        </w:rPr>
        <w:t xml:space="preserve">consignment and regulation of renting canon , </w:t>
      </w:r>
      <w:r>
        <w:rPr>
          <w:rFonts w:ascii="arial;sans-serif-light;sans-serif" w:hAnsi="arial;sans-serif-light;sans-serif"/>
          <w:b/>
          <w:i w:val="false"/>
          <w:caps w:val="false"/>
          <w:smallCaps w:val="false"/>
          <w:color w:val="212121"/>
          <w:spacing w:val="0"/>
          <w:sz w:val="21"/>
          <w:lang w:val="en-US"/>
        </w:rPr>
        <w:t>conciliation between lessee and owner, register. Enrollment at the SAVIL.</w:t>
      </w:r>
    </w:p>
    <w:p>
      <w:pPr>
        <w:pStyle w:val="Normal"/>
        <w:spacing w:before="0" w:after="160"/>
        <w:jc w:val="both"/>
        <w:rPr/>
      </w:pPr>
      <w:r>
        <w:rPr/>
      </w:r>
    </w:p>
    <w:p>
      <w:pPr>
        <w:pStyle w:val="Normal"/>
        <w:spacing w:before="0" w:after="160"/>
        <w:jc w:val="both"/>
        <w:rPr/>
      </w:pPr>
      <w:r>
        <w:rPr>
          <w:b/>
          <w:i/>
        </w:rPr>
        <w:t xml:space="preserve">Propiedad Intelectual: </w:t>
      </w:r>
      <w:r>
        <w:rPr/>
        <w:t xml:space="preserve">Asesoría y asistencia en temas relacionados con el registro de marcas (producto o servicio), nombre comercial, denominación comercial, lema comercial, patentes de invención ante el Servicio Autónomo de Propiedad Intelectual (SAPI). </w:t>
      </w:r>
    </w:p>
    <w:p>
      <w:pPr>
        <w:pStyle w:val="Normal"/>
        <w:spacing w:before="0" w:after="160"/>
        <w:jc w:val="both"/>
        <w:rPr/>
      </w:pPr>
      <w:r>
        <w:rPr/>
        <w:t xml:space="preserve">Consultancy and assistance in subject-matter related to </w:t>
      </w:r>
      <w:bookmarkStart w:id="10" w:name="tw-target-text10"/>
      <w:bookmarkEnd w:id="10"/>
      <w:r>
        <w:rPr>
          <w:rFonts w:ascii="inherit" w:hAnsi="inherit"/>
          <w:b w:val="false"/>
          <w:i w:val="false"/>
          <w:caps w:val="false"/>
          <w:smallCaps w:val="false"/>
          <w:color w:val="212121"/>
          <w:spacing w:val="0"/>
          <w:sz w:val="44"/>
          <w:lang w:val="en-US"/>
        </w:rPr>
        <w:t>trademark (product or service), commercial name, commercial denomination, commercial slogan, p</w:t>
      </w:r>
      <w:r>
        <w:rPr>
          <w:rFonts w:ascii="arial;sans-serif" w:hAnsi="arial;sans-serif"/>
          <w:b w:val="false"/>
          <w:i w:val="false"/>
          <w:caps w:val="false"/>
          <w:smallCaps w:val="false"/>
          <w:color w:val="212121"/>
          <w:spacing w:val="0"/>
          <w:sz w:val="44"/>
          <w:lang w:val="en-US"/>
        </w:rPr>
        <w:t>atent invention to the Autonomous Service of Intellectual Property (SAPI in Spanish).</w:t>
      </w:r>
    </w:p>
    <w:p>
      <w:pPr>
        <w:pStyle w:val="Normal"/>
        <w:spacing w:before="0" w:after="160"/>
        <w:jc w:val="both"/>
        <w:rPr/>
      </w:pPr>
      <w:r>
        <w:rPr>
          <w:b/>
          <w:i/>
        </w:rPr>
        <w:t>Derecho Sucesoral</w:t>
      </w:r>
      <w:r>
        <w:rPr/>
        <w:t>:</w:t>
      </w:r>
      <w:bookmarkStart w:id="11" w:name="__DdeLink__153_999979228"/>
      <w:r>
        <w:rPr/>
        <w:t xml:space="preserve"> Asistencia en trámites </w:t>
      </w:r>
      <w:bookmarkEnd w:id="11"/>
      <w:r>
        <w:rPr/>
        <w:t>de declaración sucesoral ante el SENIAT.</w:t>
      </w:r>
    </w:p>
    <w:p>
      <w:pPr>
        <w:pStyle w:val="Normal"/>
        <w:spacing w:before="0" w:after="160"/>
        <w:jc w:val="both"/>
        <w:rPr/>
      </w:pPr>
      <w:r>
        <w:rPr/>
        <w:t xml:space="preserve">Assistance in procedures in </w:t>
      </w:r>
      <w:r>
        <w:rPr>
          <w:rFonts w:ascii="Arial;sans-serif" w:hAnsi="Arial;sans-serif"/>
          <w:b w:val="false"/>
          <w:i w:val="false"/>
          <w:caps w:val="false"/>
          <w:smallCaps w:val="false"/>
          <w:color w:val="0C0C0C"/>
          <w:spacing w:val="0"/>
          <w:sz w:val="18"/>
        </w:rPr>
        <w:t>succession statement to the SENIAT.</w:t>
      </w:r>
    </w:p>
    <w:p>
      <w:pPr>
        <w:pStyle w:val="Normal"/>
        <w:spacing w:before="0" w:after="160"/>
        <w:jc w:val="both"/>
        <w:rPr/>
      </w:pPr>
      <w:r>
        <w:rPr/>
      </w:r>
    </w:p>
    <w:sectPr>
      <w:type w:val="nextPage"/>
      <w:pgSz w:w="12240" w:h="15840"/>
      <w:pgMar w:left="1701" w:right="1701" w:header="0" w:top="1417" w:footer="0" w:bottom="1417"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roman"/>
    <w:pitch w:val="variable"/>
  </w:font>
  <w:font w:name="Georgia">
    <w:charset w:val="01"/>
    <w:family w:val="roman"/>
    <w:pitch w:val="variable"/>
  </w:font>
  <w:font w:name="Bitstream Charter">
    <w:charset w:val="01"/>
    <w:family w:val="roman"/>
    <w:pitch w:val="variable"/>
  </w:font>
  <w:font w:name="Arial">
    <w:altName w:val="sans-serif"/>
    <w:charset w:val="01"/>
    <w:family w:val="roman"/>
    <w:pitch w:val="variable"/>
  </w:font>
  <w:font w:name="arial">
    <w:altName w:val="sans-serif-light"/>
    <w:charset w:val="01"/>
    <w:family w:val="roman"/>
    <w:pitch w:val="variable"/>
  </w:font>
  <w:font w:name="sans-serif">
    <w:altName w:val="Arial"/>
    <w:charset w:val="01"/>
    <w:family w:val="roman"/>
    <w:pitch w:val="variable"/>
  </w:font>
  <w:font w:name="Avenir Next">
    <w:altName w:val="Roboto Condensed"/>
    <w:charset w:val="01"/>
    <w:family w:val="roman"/>
    <w:pitch w:val="variable"/>
  </w:font>
  <w:font w:name="inherit">
    <w:charset w:val="01"/>
    <w:family w:val="roman"/>
    <w:pitch w:val="variable"/>
  </w:font>
  <w:font w:name="AdelleBasic-Bold">
    <w:altName w:val="serif"/>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widowControl/>
        <w:spacing w:lineRule="auto" w:line="259"/>
      </w:pPr>
    </w:pPrDefault>
  </w:docDefaults>
  <w:style w:type="paragraph" w:styleId="Normal">
    <w:name w:val="Normal"/>
    <w:qFormat/>
    <w:pPr>
      <w:keepNext/>
      <w:keepLines w:val="false"/>
      <w:widowControl/>
      <w:suppressAutoHyphens w:val="true"/>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suppressAutoHyphens w:val="true"/>
      <w:bidi w:val="0"/>
      <w:spacing w:lineRule="auto" w:line="240" w:before="480" w:after="120"/>
      <w:contextualSpacing/>
      <w:jc w:val="left"/>
    </w:pPr>
    <w:rPr>
      <w:rFonts w:ascii="Calibri" w:hAnsi="Calibri" w:eastAsia="Calibri" w:cs="Calibri"/>
      <w:b/>
      <w:color w:val="000000"/>
      <w:sz w:val="48"/>
      <w:szCs w:val="48"/>
      <w:lang w:val="en-US" w:eastAsia="zh-CN" w:bidi="hi-IN"/>
    </w:rPr>
  </w:style>
  <w:style w:type="paragraph" w:styleId="Heading2">
    <w:name w:val="Heading 2"/>
    <w:basedOn w:val="Heading"/>
    <w:next w:val="Normal"/>
    <w:qFormat/>
    <w:pPr>
      <w:keepNext/>
      <w:keepLines/>
      <w:widowControl/>
      <w:suppressAutoHyphens w:val="true"/>
      <w:bidi w:val="0"/>
      <w:spacing w:lineRule="auto" w:line="240" w:before="360" w:after="80"/>
      <w:contextualSpacing/>
      <w:jc w:val="left"/>
    </w:pPr>
    <w:rPr>
      <w:rFonts w:ascii="Calibri" w:hAnsi="Calibri" w:eastAsia="Calibri" w:cs="Calibri"/>
      <w:b/>
      <w:color w:val="000000"/>
      <w:sz w:val="36"/>
      <w:szCs w:val="36"/>
      <w:lang w:val="en-US" w:eastAsia="zh-CN" w:bidi="hi-IN"/>
    </w:rPr>
  </w:style>
  <w:style w:type="paragraph" w:styleId="Heading3">
    <w:name w:val="Heading 3"/>
    <w:basedOn w:val="Heading"/>
    <w:next w:val="Normal"/>
    <w:qFormat/>
    <w:pPr>
      <w:keepNext/>
      <w:keepLines/>
      <w:widowControl/>
      <w:suppressAutoHyphens w:val="true"/>
      <w:bidi w:val="0"/>
      <w:spacing w:lineRule="auto" w:line="240" w:before="280" w:after="80"/>
      <w:contextualSpacing/>
      <w:jc w:val="left"/>
    </w:pPr>
    <w:rPr>
      <w:rFonts w:ascii="Calibri" w:hAnsi="Calibri" w:eastAsia="Calibri" w:cs="Calibri"/>
      <w:b/>
      <w:color w:val="000000"/>
      <w:sz w:val="28"/>
      <w:szCs w:val="28"/>
      <w:lang w:val="en-US" w:eastAsia="zh-CN" w:bidi="hi-IN"/>
    </w:rPr>
  </w:style>
  <w:style w:type="paragraph" w:styleId="Heading4">
    <w:name w:val="Heading 4"/>
    <w:basedOn w:val="Heading"/>
    <w:next w:val="Normal"/>
    <w:qFormat/>
    <w:pPr>
      <w:keepNext/>
      <w:keepLines/>
      <w:widowControl/>
      <w:suppressAutoHyphens w:val="true"/>
      <w:bidi w:val="0"/>
      <w:spacing w:lineRule="auto" w:line="240" w:before="240" w:after="40"/>
      <w:contextualSpacing/>
      <w:jc w:val="left"/>
    </w:pPr>
    <w:rPr>
      <w:rFonts w:ascii="Calibri" w:hAnsi="Calibri" w:eastAsia="Calibri" w:cs="Calibri"/>
      <w:b/>
      <w:color w:val="000000"/>
      <w:sz w:val="24"/>
      <w:szCs w:val="24"/>
      <w:lang w:val="en-US" w:eastAsia="zh-CN" w:bidi="hi-IN"/>
    </w:rPr>
  </w:style>
  <w:style w:type="paragraph" w:styleId="Heading5">
    <w:name w:val="Heading 5"/>
    <w:basedOn w:val="Heading"/>
    <w:next w:val="Normal"/>
    <w:qFormat/>
    <w:pPr>
      <w:keepNext/>
      <w:keepLines/>
      <w:widowControl/>
      <w:suppressAutoHyphens w:val="true"/>
      <w:bidi w:val="0"/>
      <w:spacing w:lineRule="auto" w:line="240" w:before="220" w:after="40"/>
      <w:contextualSpacing/>
      <w:jc w:val="left"/>
    </w:pPr>
    <w:rPr>
      <w:rFonts w:ascii="Calibri" w:hAnsi="Calibri" w:eastAsia="Calibri" w:cs="Calibri"/>
      <w:b/>
      <w:color w:val="000000"/>
      <w:sz w:val="22"/>
      <w:szCs w:val="22"/>
      <w:lang w:val="en-US" w:eastAsia="zh-CN" w:bidi="hi-IN"/>
    </w:rPr>
  </w:style>
  <w:style w:type="paragraph" w:styleId="Heading6">
    <w:name w:val="Heading 6"/>
    <w:basedOn w:val="Heading"/>
    <w:next w:val="Normal"/>
    <w:qFormat/>
    <w:pPr>
      <w:keepNext/>
      <w:keepLines/>
      <w:widowControl/>
      <w:suppressAutoHyphens w:val="true"/>
      <w:bidi w:val="0"/>
      <w:spacing w:lineRule="auto" w:line="240" w:before="200" w:after="40"/>
      <w:contextualSpacing/>
      <w:jc w:val="left"/>
    </w:pPr>
    <w:rPr>
      <w:rFonts w:ascii="Calibri" w:hAnsi="Calibri" w:eastAsia="Calibri" w:cs="Calibri"/>
      <w:b/>
      <w:color w:val="000000"/>
      <w:sz w:val="20"/>
      <w:szCs w:val="20"/>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keepNext/>
      <w:keepLines w:val="false"/>
      <w:widowControl/>
      <w:suppressAutoHyphens w:val="true"/>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PreformattedText">
    <w:name w:val="Preformatted Text"/>
    <w:basedOn w:val="Normal"/>
    <w:qFormat/>
    <w:pPr/>
    <w:rPr/>
  </w:style>
  <w:style w:type="paragraph" w:styleId="Quotations">
    <w:name w:val="Quotation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linguee.es/ingles-espanol/traduccion/government+institutions.html" TargetMode="External"/><Relationship Id="rId3" Type="http://schemas.openxmlformats.org/officeDocument/2006/relationships/hyperlink" Target="https://www.google.co.ve/url?sa=t&amp;rct=j&amp;q=&amp;esrc=s&amp;source=web&amp;cd=1&amp;ved=0ahUKEwjYpr-x1v_LAhUBTZAKHeL4CC0QFggaMAA&amp;url=http%3A%2F%2Fwww.math.uiuc.edu%2F~jobal%2Fcikk%2Fparts_subm2.ps&amp;usg=AFQjCNH-e2nS9QWNs9IjhOgcLs7qXMkkrw&amp;sig2=CzRQ6WivPYKbFKcSKzjSjA&amp;bvm=bv.119028448,d.dmo"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93</TotalTime>
  <Application>LibreOffice/4.4.3.2$Linux_X86_64 LibreOffice_project/40m0$Build-2</Application>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2016-04-11T11:12:18Z</dcterms:modified>
  <cp:revision>3</cp:revision>
</cp:coreProperties>
</file>