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32235"/>
          <w:sz w:val="76"/>
        </w:rPr>
        <w:t>TESSERA</w:t>
      </w:r>
    </w:p>
    <w:p>
      <w:pPr>
        <w:jc w:val="center"/>
      </w:pPr>
      <w:r>
        <w:rPr>
          <w:b/>
          <w:color w:val="2A5EA7"/>
          <w:sz w:val="42"/>
        </w:rPr>
        <w:t>Website Source of Truth &amp; Content Brief</w:t>
      </w:r>
    </w:p>
    <w:p>
      <w:pPr>
        <w:jc w:val="center"/>
      </w:pPr>
      <w:r>
        <w:rPr>
          <w:color w:val="485460"/>
          <w:sz w:val="24"/>
        </w:rPr>
        <w:t>English version for website generation</w:t>
      </w:r>
    </w:p>
    <w:p>
      <w:pPr>
        <w:spacing w:before="700"/>
        <w:jc w:val="center"/>
      </w:pPr>
      <w:r>
        <w:rPr>
          <w:color w:val="485460"/>
          <w:sz w:val="19"/>
        </w:rPr>
        <w:t>Prepared from the current technical decks and founder product discussions</w:t>
      </w:r>
    </w:p>
    <w:p>
      <w:r>
        <w:br w:type="page"/>
      </w:r>
    </w:p>
    <w:p>
      <w:pPr>
        <w:pStyle w:val="Heading1"/>
      </w:pPr>
      <w:r>
        <w:t>Purpose of this document</w:t>
      </w:r>
    </w:p>
    <w:p>
      <w:r>
        <w:t>This document is the source of truth for creating the Tessera website. It consolidates the current technical decks, product maturity, architecture discussions, product positioning, use cases, and the key clarifications made during product discussions. It is designed to be given directly to a website developer or to an AI coding assistant such as Claude.</w:t>
      </w:r>
    </w:p>
    <w:p>
      <w:pPr>
        <w:pStyle w:val="Heading1"/>
      </w:pPr>
      <w:r>
        <w:t>1. Non-negotiable instructions for the website</w:t>
      </w:r>
    </w:p>
    <w:p>
      <w:pPr>
        <w:pStyle w:val="Heading2"/>
      </w:pPr>
      <w:r>
        <w:t>1.1 Do not present Tessera as a linear pipeline</w:t>
      </w:r>
    </w:p>
    <w:p>
      <w:r>
        <w:rPr>
          <w:b/>
          <w:color w:val="2A5EA7"/>
        </w:rPr>
        <w:t>This is the most important architecture rule.</w:t>
      </w:r>
    </w:p>
    <w:p>
      <w:r>
        <w:t>Discovery, Masking, Subsetter, and CDC &amp; Snapshot are modular capabilities. They are not mandatory sequential stages of a single pipeline.</w:t>
      </w:r>
    </w:p>
    <w:p>
      <w:pPr>
        <w:pStyle w:val="ListBullet"/>
        <w:spacing w:after="40"/>
      </w:pPr>
      <w:r>
        <w:rPr>
          <w:sz w:val="19"/>
        </w:rPr>
        <w:t>CDC &amp; Snapshot does not require Discovery.</w:t>
      </w:r>
    </w:p>
    <w:p>
      <w:pPr>
        <w:pStyle w:val="ListBullet"/>
        <w:spacing w:after="40"/>
      </w:pPr>
      <w:r>
        <w:rPr>
          <w:sz w:val="19"/>
        </w:rPr>
        <w:t>CDC &amp; Snapshot does not require Masking.</w:t>
      </w:r>
    </w:p>
    <w:p>
      <w:pPr>
        <w:pStyle w:val="ListBullet"/>
        <w:spacing w:after="40"/>
      </w:pPr>
      <w:r>
        <w:rPr>
          <w:sz w:val="19"/>
        </w:rPr>
        <w:t>CDC &amp; Snapshot does not require Subsetter.</w:t>
      </w:r>
    </w:p>
    <w:p>
      <w:pPr>
        <w:pStyle w:val="ListBullet"/>
        <w:spacing w:after="40"/>
      </w:pPr>
      <w:r>
        <w:rPr>
          <w:sz w:val="19"/>
        </w:rPr>
        <w:t>Discovery can be used independently.</w:t>
      </w:r>
    </w:p>
    <w:p>
      <w:pPr>
        <w:pStyle w:val="ListBullet"/>
        <w:spacing w:after="40"/>
      </w:pPr>
      <w:r>
        <w:rPr>
          <w:sz w:val="19"/>
        </w:rPr>
        <w:t>Masking is a reusable framework and can be consumed by other applications/workflows.</w:t>
      </w:r>
    </w:p>
    <w:p>
      <w:pPr>
        <w:pStyle w:val="ListBullet"/>
        <w:spacing w:after="40"/>
      </w:pPr>
      <w:r>
        <w:rPr>
          <w:sz w:val="19"/>
        </w:rPr>
        <w:t>Subsetter can embed Discovery and Masking during extraction.</w:t>
      </w:r>
    </w:p>
    <w:p>
      <w:pPr>
        <w:pStyle w:val="ListBullet"/>
        <w:spacing w:after="40"/>
      </w:pPr>
      <w:r>
        <w:rPr>
          <w:sz w:val="19"/>
        </w:rPr>
        <w:t>CDC &amp; Snapshot is an independent producer of snapshot and incremental change data.</w:t>
      </w:r>
    </w:p>
    <w:p>
      <w:pPr>
        <w:pStyle w:val="ListBullet"/>
        <w:spacing w:after="40"/>
      </w:pPr>
      <w:r>
        <w:rPr>
          <w:sz w:val="19"/>
        </w:rPr>
        <w:t>The future Database Operator / Data Environment Lifecycle layer may consume data delivered through Subsetter or CDC, masked or unmasked depending on the use case.</w:t>
      </w:r>
    </w:p>
    <w:p>
      <w:pPr>
        <w:pStyle w:val="SmallNote"/>
      </w:pPr>
      <w:r>
        <w:t>Do not draw this:</w:t>
      </w:r>
    </w:p>
    <w:p>
      <w:pPr>
        <w:pStyle w:val="CodeBlock"/>
        <w:shd w:fill="F3F5F7"/>
        <w:pBdr>
          <w:left w:val="single" w:sz="14" w:space="4" w:color="8AA1B8"/>
        </w:pBdr>
      </w:pPr>
      <w:r>
        <w:rPr>
          <w:rFonts w:ascii="Liberation Mono" w:hAnsi="Liberation Mono"/>
          <w:sz w:val="16"/>
        </w:rPr>
        <w:t>Discovery -&gt; Masking -&gt; Subsetter -&gt; CDC</w:t>
      </w:r>
    </w:p>
    <w:p>
      <w:pPr>
        <w:pStyle w:val="SmallNote"/>
      </w:pPr>
      <w:r>
        <w:t>A better conceptual model is:</w:t>
      </w:r>
    </w:p>
    <w:p>
      <w:pPr>
        <w:pStyle w:val="CodeBlock"/>
        <w:shd w:fill="F3F5F7"/>
        <w:pBdr>
          <w:left w:val="single" w:sz="14" w:space="4" w:color="8AA1B8"/>
        </w:pBdr>
      </w:pPr>
      <w:r>
        <w:rPr>
          <w:rFonts w:ascii="Liberation Mono" w:hAnsi="Liberation Mono"/>
          <w:sz w:val="16"/>
        </w:rPr>
        <w:t xml:space="preserve">                         DATA SOURCES</w:t>
        <w:br/>
        <w:t xml:space="preserve">            ┌────────────────┼────────────────┐</w:t>
        <w:br/>
        <w:t xml:space="preserve">            │                │                │</w:t>
        <w:br/>
        <w:t xml:space="preserve">            ▼                ▼                ▼</w:t>
        <w:br/>
        <w:t xml:space="preserve">       DISCOVERY         SUBSETTER       CDC &amp; SNAPSHOT</w:t>
        <w:br/>
        <w:t xml:space="preserve">       framework         application       application</w:t>
        <w:br/>
        <w:t xml:space="preserve">            │                │                │</w:t>
        <w:br/>
        <w:t xml:space="preserve">            │                │                └──&gt; JSONL / S3 / filesystem</w:t>
        <w:br/>
        <w:t xml:space="preserve">            │                │</w:t>
        <w:br/>
        <w:t xml:space="preserve">            └──&gt; inventory   ├──&gt; referentially consistent subset</w:t>
        <w:br/>
        <w:t xml:space="preserve">                    │        │</w:t>
        <w:br/>
        <w:t xml:space="preserve">                    ▼        │</w:t>
        <w:br/>
        <w:t xml:space="preserve">                 MASKING &lt;───┘</w:t>
        <w:br/>
        <w:t xml:space="preserve">                 framework</w:t>
        <w:br/>
        <w:t xml:space="preserve">                 (reusable / optional by workflow)</w:t>
      </w:r>
    </w:p>
    <w:p>
      <w:pPr>
        <w:spacing w:before="60" w:after="120"/>
        <w:ind w:left="360" w:right="144"/>
        <w:shd w:fill="F6F8FA"/>
      </w:pPr>
      <w:r>
        <w:rPr>
          <w:i/>
          <w:color w:val="132235"/>
          <w:sz w:val="21"/>
        </w:rPr>
        <w:t>The website should visually communicate composability, not a mandatory sequence.</w:t>
      </w:r>
    </w:p>
    <w:p>
      <w:pPr>
        <w:pStyle w:val="Heading1"/>
      </w:pPr>
      <w:r>
        <w:t>2. Product source of truth</w:t>
      </w:r>
    </w:p>
    <w:p>
      <w:r>
        <w:t>Tessera currently consists of four implemented technical modules plus one planned lifecycle layer:</w:t>
      </w:r>
    </w:p>
    <w:p>
      <w:pPr>
        <w:pStyle w:val="ListNumber"/>
        <w:spacing w:after="40"/>
      </w:pPr>
      <w:r>
        <w:rPr>
          <w:sz w:val="19"/>
        </w:rPr>
        <w:t>Discovery</w:t>
      </w:r>
    </w:p>
    <w:p>
      <w:pPr>
        <w:pStyle w:val="ListNumber"/>
        <w:spacing w:after="40"/>
      </w:pPr>
      <w:r>
        <w:rPr>
          <w:sz w:val="19"/>
        </w:rPr>
        <w:t>Masking</w:t>
      </w:r>
    </w:p>
    <w:p>
      <w:pPr>
        <w:pStyle w:val="ListNumber"/>
        <w:spacing w:after="40"/>
      </w:pPr>
      <w:r>
        <w:rPr>
          <w:sz w:val="19"/>
        </w:rPr>
        <w:t>Subsetter</w:t>
      </w:r>
    </w:p>
    <w:p>
      <w:pPr>
        <w:pStyle w:val="ListNumber"/>
        <w:spacing w:after="40"/>
      </w:pPr>
      <w:r>
        <w:rPr>
          <w:sz w:val="19"/>
        </w:rPr>
        <w:t>CDC &amp; Snapshot</w:t>
      </w:r>
    </w:p>
    <w:p>
      <w:pPr>
        <w:pStyle w:val="ListNumber"/>
        <w:spacing w:after="40"/>
      </w:pPr>
      <w:r>
        <w:rPr>
          <w:sz w:val="19"/>
        </w:rPr>
        <w:t>Database Operator / Data Environment Lifecycle — roadmap</w:t>
      </w:r>
    </w:p>
    <w:p>
      <w:r>
        <w:t>The current technical architecture describes Discovery and Masking as reusable frameworks, Subsetter and CDC as data-producing applications, and the future database operator as the orchestration/lifecycle layer for non-production replicas.</w:t>
      </w:r>
    </w:p>
    <w:p>
      <w:pPr>
        <w:pStyle w:val="Heading1"/>
      </w:pPr>
      <w:r>
        <w:t>3. Product maturity — must be accurate</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DCE6F1"/>
            <w:vAlign w:val="center"/>
            <w:tcMar>
              <w:top w:w="60" w:type="dxa"/>
              <w:start w:w="70" w:type="dxa"/>
              <w:bottom w:w="60" w:type="dxa"/>
              <w:end w:w="70" w:type="dxa"/>
            </w:tcMar>
          </w:tcPr>
          <w:p>
            <w:r>
              <w:rPr>
                <w:b/>
                <w:color w:val="132235"/>
                <w:sz w:val="17"/>
              </w:rPr>
              <w:t>Product / Module</w:t>
            </w:r>
          </w:p>
        </w:tc>
        <w:tc>
          <w:tcPr>
            <w:tcW w:type="dxa" w:w="2376"/>
            <w:shd w:fill="DCE6F1"/>
            <w:vAlign w:val="center"/>
            <w:tcMar>
              <w:top w:w="60" w:type="dxa"/>
              <w:start w:w="70" w:type="dxa"/>
              <w:bottom w:w="60" w:type="dxa"/>
              <w:end w:w="70" w:type="dxa"/>
            </w:tcMar>
          </w:tcPr>
          <w:p>
            <w:r>
              <w:rPr>
                <w:b/>
                <w:color w:val="132235"/>
                <w:sz w:val="17"/>
              </w:rPr>
              <w:t>Website Status</w:t>
            </w:r>
          </w:p>
        </w:tc>
        <w:tc>
          <w:tcPr>
            <w:tcW w:type="dxa" w:w="5112"/>
            <w:shd w:fill="DCE6F1"/>
            <w:vAlign w:val="center"/>
            <w:tcMar>
              <w:top w:w="60" w:type="dxa"/>
              <w:start w:w="70" w:type="dxa"/>
              <w:bottom w:w="60" w:type="dxa"/>
              <w:end w:w="70" w:type="dxa"/>
            </w:tcMar>
          </w:tcPr>
          <w:p>
            <w:r>
              <w:rPr>
                <w:b/>
                <w:color w:val="132235"/>
                <w:sz w:val="17"/>
              </w:rPr>
              <w:t>Current Reality</w:t>
            </w:r>
          </w:p>
        </w:tc>
      </w:tr>
      <w:tr>
        <w:tc>
          <w:tcPr>
            <w:tcW w:type="dxa" w:w="2448"/>
            <w:vAlign w:val="top"/>
            <w:tcMar>
              <w:top w:w="55" w:type="dxa"/>
              <w:start w:w="65" w:type="dxa"/>
              <w:bottom w:w="55" w:type="dxa"/>
              <w:end w:w="65" w:type="dxa"/>
            </w:tcMar>
          </w:tcPr>
          <w:p>
            <w:r>
              <w:rPr>
                <w:sz w:val="17"/>
              </w:rPr>
              <w:t>Discovery</w:t>
            </w:r>
          </w:p>
        </w:tc>
        <w:tc>
          <w:tcPr>
            <w:tcW w:type="dxa" w:w="2376"/>
            <w:vAlign w:val="top"/>
            <w:tcMar>
              <w:top w:w="55" w:type="dxa"/>
              <w:start w:w="65" w:type="dxa"/>
              <w:bottom w:w="55" w:type="dxa"/>
              <w:end w:w="65" w:type="dxa"/>
            </w:tcMar>
          </w:tcPr>
          <w:p>
            <w:r>
              <w:rPr>
                <w:sz w:val="17"/>
              </w:rPr>
              <w:t>READY</w:t>
            </w:r>
          </w:p>
        </w:tc>
        <w:tc>
          <w:tcPr>
            <w:tcW w:type="dxa" w:w="5112"/>
            <w:vAlign w:val="top"/>
            <w:tcMar>
              <w:top w:w="55" w:type="dxa"/>
              <w:start w:w="65" w:type="dxa"/>
              <w:bottom w:w="55" w:type="dxa"/>
              <w:end w:w="65" w:type="dxa"/>
            </w:tcMar>
          </w:tcPr>
          <w:p>
            <w:r>
              <w:rPr>
                <w:sz w:val="17"/>
              </w:rPr>
              <w:t>Mature / in use; additional classifiers and domain tuning remain ongoing</w:t>
            </w:r>
          </w:p>
        </w:tc>
      </w:tr>
      <w:tr>
        <w:tc>
          <w:tcPr>
            <w:tcW w:type="dxa" w:w="2448"/>
            <w:vAlign w:val="top"/>
            <w:tcMar>
              <w:top w:w="55" w:type="dxa"/>
              <w:start w:w="65" w:type="dxa"/>
              <w:bottom w:w="55" w:type="dxa"/>
              <w:end w:w="65" w:type="dxa"/>
            </w:tcMar>
          </w:tcPr>
          <w:p>
            <w:r>
              <w:rPr>
                <w:sz w:val="17"/>
              </w:rPr>
              <w:t>Masking</w:t>
            </w:r>
          </w:p>
        </w:tc>
        <w:tc>
          <w:tcPr>
            <w:tcW w:type="dxa" w:w="2376"/>
            <w:vAlign w:val="top"/>
            <w:tcMar>
              <w:top w:w="55" w:type="dxa"/>
              <w:start w:w="65" w:type="dxa"/>
              <w:bottom w:w="55" w:type="dxa"/>
              <w:end w:w="65" w:type="dxa"/>
            </w:tcMar>
          </w:tcPr>
          <w:p>
            <w:r>
              <w:rPr>
                <w:sz w:val="17"/>
              </w:rPr>
              <w:t>READY</w:t>
            </w:r>
          </w:p>
        </w:tc>
        <w:tc>
          <w:tcPr>
            <w:tcW w:type="dxa" w:w="5112"/>
            <w:vAlign w:val="top"/>
            <w:tcMar>
              <w:top w:w="55" w:type="dxa"/>
              <w:start w:w="65" w:type="dxa"/>
              <w:bottom w:w="55" w:type="dxa"/>
              <w:end w:w="65" w:type="dxa"/>
            </w:tcMar>
          </w:tcPr>
          <w:p>
            <w:r>
              <w:rPr>
                <w:sz w:val="17"/>
              </w:rPr>
              <w:t>Mature / in use; additional algorithms can continue to be added</w:t>
            </w:r>
          </w:p>
        </w:tc>
      </w:tr>
      <w:tr>
        <w:tc>
          <w:tcPr>
            <w:tcW w:type="dxa" w:w="2448"/>
            <w:vAlign w:val="top"/>
            <w:tcMar>
              <w:top w:w="55" w:type="dxa"/>
              <w:start w:w="65" w:type="dxa"/>
              <w:bottom w:w="55" w:type="dxa"/>
              <w:end w:w="65" w:type="dxa"/>
            </w:tcMar>
          </w:tcPr>
          <w:p>
            <w:r>
              <w:rPr>
                <w:sz w:val="17"/>
              </w:rPr>
              <w:t>Subsetter</w:t>
            </w:r>
          </w:p>
        </w:tc>
        <w:tc>
          <w:tcPr>
            <w:tcW w:type="dxa" w:w="2376"/>
            <w:vAlign w:val="top"/>
            <w:tcMar>
              <w:top w:w="55" w:type="dxa"/>
              <w:start w:w="65" w:type="dxa"/>
              <w:bottom w:w="55" w:type="dxa"/>
              <w:end w:w="65" w:type="dxa"/>
            </w:tcMar>
          </w:tcPr>
          <w:p>
            <w:r>
              <w:rPr>
                <w:sz w:val="17"/>
              </w:rPr>
              <w:t>READY — CORE COMPLETE</w:t>
            </w:r>
          </w:p>
        </w:tc>
        <w:tc>
          <w:tcPr>
            <w:tcW w:type="dxa" w:w="5112"/>
            <w:vAlign w:val="top"/>
            <w:tcMar>
              <w:top w:w="55" w:type="dxa"/>
              <w:start w:w="65" w:type="dxa"/>
              <w:bottom w:w="55" w:type="dxa"/>
              <w:end w:w="65" w:type="dxa"/>
            </w:tcMar>
          </w:tcPr>
          <w:p>
            <w:r>
              <w:rPr>
                <w:sz w:val="17"/>
              </w:rPr>
              <w:t>Web, CLI and Kubernetes surfaces implemented; hardening/throughput work remains</w:t>
            </w:r>
          </w:p>
        </w:tc>
      </w:tr>
      <w:tr>
        <w:tc>
          <w:tcPr>
            <w:tcW w:type="dxa" w:w="2448"/>
            <w:vAlign w:val="top"/>
            <w:tcMar>
              <w:top w:w="55" w:type="dxa"/>
              <w:start w:w="65" w:type="dxa"/>
              <w:bottom w:w="55" w:type="dxa"/>
              <w:end w:w="65" w:type="dxa"/>
            </w:tcMar>
          </w:tcPr>
          <w:p>
            <w:r>
              <w:rPr>
                <w:sz w:val="17"/>
              </w:rPr>
              <w:t>CDC &amp; Snapshot</w:t>
            </w:r>
          </w:p>
        </w:tc>
        <w:tc>
          <w:tcPr>
            <w:tcW w:type="dxa" w:w="2376"/>
            <w:vAlign w:val="top"/>
            <w:tcMar>
              <w:top w:w="55" w:type="dxa"/>
              <w:start w:w="65" w:type="dxa"/>
              <w:bottom w:w="55" w:type="dxa"/>
              <w:end w:w="65" w:type="dxa"/>
            </w:tcMar>
          </w:tcPr>
          <w:p>
            <w:r>
              <w:rPr>
                <w:sz w:val="17"/>
              </w:rPr>
              <w:t>AVAILABLE — HARDENING</w:t>
            </w:r>
          </w:p>
        </w:tc>
        <w:tc>
          <w:tcPr>
            <w:tcW w:type="dxa" w:w="5112"/>
            <w:vAlign w:val="top"/>
            <w:tcMar>
              <w:top w:w="55" w:type="dxa"/>
              <w:start w:w="65" w:type="dxa"/>
              <w:bottom w:w="55" w:type="dxa"/>
              <w:end w:w="65" w:type="dxa"/>
            </w:tcMar>
          </w:tcPr>
          <w:p>
            <w:r>
              <w:rPr>
                <w:sz w:val="17"/>
              </w:rPr>
              <w:t>Core delivered for PostgreSQL/MySQL; observability, timeouts and CI hardening remain</w:t>
            </w:r>
          </w:p>
        </w:tc>
      </w:tr>
      <w:tr>
        <w:tc>
          <w:tcPr>
            <w:tcW w:type="dxa" w:w="2448"/>
            <w:vAlign w:val="top"/>
            <w:tcMar>
              <w:top w:w="55" w:type="dxa"/>
              <w:start w:w="65" w:type="dxa"/>
              <w:bottom w:w="55" w:type="dxa"/>
              <w:end w:w="65" w:type="dxa"/>
            </w:tcMar>
          </w:tcPr>
          <w:p>
            <w:r>
              <w:rPr>
                <w:sz w:val="17"/>
              </w:rPr>
              <w:t>Database Operator / Data Environment Lifecycle</w:t>
            </w:r>
          </w:p>
        </w:tc>
        <w:tc>
          <w:tcPr>
            <w:tcW w:type="dxa" w:w="2376"/>
            <w:vAlign w:val="top"/>
            <w:tcMar>
              <w:top w:w="55" w:type="dxa"/>
              <w:start w:w="65" w:type="dxa"/>
              <w:bottom w:w="55" w:type="dxa"/>
              <w:end w:w="65" w:type="dxa"/>
            </w:tcMar>
          </w:tcPr>
          <w:p>
            <w:r>
              <w:rPr>
                <w:sz w:val="17"/>
              </w:rPr>
              <w:t>ROADMAP / PLANNED</w:t>
            </w:r>
          </w:p>
        </w:tc>
        <w:tc>
          <w:tcPr>
            <w:tcW w:type="dxa" w:w="5112"/>
            <w:vAlign w:val="top"/>
            <w:tcMar>
              <w:top w:w="55" w:type="dxa"/>
              <w:start w:w="65" w:type="dxa"/>
              <w:bottom w:w="55" w:type="dxa"/>
              <w:end w:w="65" w:type="dxa"/>
            </w:tcMar>
          </w:tcPr>
          <w:p>
            <w:r>
              <w:rPr>
                <w:sz w:val="17"/>
              </w:rPr>
              <w:t>Conceptual scope; not yet implemented</w:t>
            </w:r>
          </w:p>
        </w:tc>
      </w:tr>
    </w:tbl>
    <w:p>
      <w:pPr>
        <w:spacing w:after="0"/>
      </w:pPr>
    </w:p>
    <w:p>
      <w:pPr>
        <w:spacing w:before="60" w:after="120"/>
        <w:ind w:left="360" w:right="144"/>
        <w:shd w:fill="F6F8FA"/>
      </w:pPr>
      <w:r>
        <w:rPr>
          <w:i/>
          <w:color w:val="132235"/>
          <w:sz w:val="21"/>
        </w:rPr>
        <w:t>Never present the Database Operator or complete Data Environment Lifecycle as available today.</w:t>
      </w:r>
    </w:p>
    <w:p>
      <w:pPr>
        <w:pStyle w:val="Heading1"/>
      </w:pPr>
      <w:r>
        <w:t>4. Company / platform positioning</w:t>
      </w:r>
    </w:p>
    <w:p>
      <w:pPr>
        <w:pStyle w:val="Heading2"/>
      </w:pPr>
      <w:r>
        <w:t>Recommended category</w:t>
      </w:r>
    </w:p>
    <w:p>
      <w:pPr>
        <w:spacing w:before="60" w:after="120"/>
        <w:ind w:left="360" w:right="144"/>
        <w:shd w:fill="F6F8FA"/>
      </w:pPr>
      <w:r>
        <w:rPr>
          <w:i/>
          <w:color w:val="132235"/>
          <w:sz w:val="21"/>
        </w:rPr>
        <w:t>Data Environment Automation</w:t>
      </w:r>
    </w:p>
    <w:p>
      <w:r>
        <w:t>This is a strategic positioning, not an assertion that the full environment lifecycle is already implemented. Tessera is building toward automating the data layer of engineering environments: discovering sensitive data, protecting it, reducing it to useful subsets, capturing changes, and eventually automating the lifecycle of isolated non-production database environments.</w:t>
      </w:r>
    </w:p>
    <w:p>
      <w:pPr>
        <w:pStyle w:val="Heading2"/>
      </w:pPr>
      <w:r>
        <w:t>Recommended core proposition</w:t>
      </w:r>
    </w:p>
    <w:p>
      <w:pPr>
        <w:spacing w:before="60" w:after="120"/>
        <w:ind w:left="360" w:right="144"/>
        <w:shd w:fill="F6F8FA"/>
      </w:pPr>
      <w:r>
        <w:rPr>
          <w:i/>
          <w:color w:val="132235"/>
          <w:sz w:val="21"/>
        </w:rPr>
        <w:t>Production-like data. Without production risk.</w:t>
      </w:r>
    </w:p>
    <w:p>
      <w:pPr>
        <w:pStyle w:val="Heading2"/>
      </w:pPr>
      <w:r>
        <w:t>Supporting proposition</w:t>
      </w:r>
    </w:p>
    <w:p>
      <w:pPr>
        <w:spacing w:before="60" w:after="120"/>
        <w:ind w:left="360" w:right="144"/>
        <w:shd w:fill="F6F8FA"/>
      </w:pPr>
      <w:r>
        <w:rPr>
          <w:i/>
          <w:color w:val="132235"/>
          <w:sz w:val="21"/>
        </w:rPr>
        <w:t>Secure, realistic data for development, testing, analytics, migration and AI-assisted engineering.</w:t>
      </w:r>
    </w:p>
    <w:p>
      <w:pPr>
        <w:pStyle w:val="Heading2"/>
      </w:pPr>
      <w:r>
        <w:t>Strategic narrative</w:t>
      </w:r>
    </w:p>
    <w:p>
      <w:r>
        <w:t>Software engineering has progressively automated:</w:t>
      </w:r>
    </w:p>
    <w:p>
      <w:pPr>
        <w:pStyle w:val="ListBullet"/>
        <w:spacing w:after="40"/>
      </w:pPr>
      <w:r>
        <w:rPr>
          <w:sz w:val="19"/>
        </w:rPr>
        <w:t>source control</w:t>
      </w:r>
    </w:p>
    <w:p>
      <w:pPr>
        <w:pStyle w:val="ListBullet"/>
        <w:spacing w:after="40"/>
      </w:pPr>
      <w:r>
        <w:rPr>
          <w:sz w:val="19"/>
        </w:rPr>
        <w:t>CI/CD</w:t>
      </w:r>
    </w:p>
    <w:p>
      <w:pPr>
        <w:pStyle w:val="ListBullet"/>
        <w:spacing w:after="40"/>
      </w:pPr>
      <w:r>
        <w:rPr>
          <w:sz w:val="19"/>
        </w:rPr>
        <w:t>infrastructure provisioning</w:t>
      </w:r>
    </w:p>
    <w:p>
      <w:pPr>
        <w:pStyle w:val="ListBullet"/>
        <w:spacing w:after="40"/>
      </w:pPr>
      <w:r>
        <w:rPr>
          <w:sz w:val="19"/>
        </w:rPr>
        <w:t>Kubernetes</w:t>
      </w:r>
    </w:p>
    <w:p>
      <w:pPr>
        <w:pStyle w:val="ListBullet"/>
        <w:spacing w:after="40"/>
      </w:pPr>
      <w:r>
        <w:rPr>
          <w:sz w:val="19"/>
        </w:rPr>
        <w:t>testing</w:t>
      </w:r>
    </w:p>
    <w:p>
      <w:pPr>
        <w:pStyle w:val="ListBullet"/>
        <w:spacing w:after="40"/>
      </w:pPr>
      <w:r>
        <w:rPr>
          <w:sz w:val="19"/>
        </w:rPr>
        <w:t>and, increasingly, software generation through AI</w:t>
      </w:r>
    </w:p>
    <w:p>
      <w:r>
        <w:t>But data environments are still frequently created through:</w:t>
      </w:r>
    </w:p>
    <w:p>
      <w:pPr>
        <w:pStyle w:val="ListBullet"/>
        <w:spacing w:after="40"/>
      </w:pPr>
      <w:r>
        <w:rPr>
          <w:sz w:val="19"/>
        </w:rPr>
        <w:t>full production copies</w:t>
      </w:r>
    </w:p>
    <w:p>
      <w:pPr>
        <w:pStyle w:val="ListBullet"/>
        <w:spacing w:after="40"/>
      </w:pPr>
      <w:r>
        <w:rPr>
          <w:sz w:val="19"/>
        </w:rPr>
        <w:t>manual exports</w:t>
      </w:r>
    </w:p>
    <w:p>
      <w:pPr>
        <w:pStyle w:val="ListBullet"/>
        <w:spacing w:after="40"/>
      </w:pPr>
      <w:r>
        <w:rPr>
          <w:sz w:val="19"/>
        </w:rPr>
        <w:t>scripts</w:t>
      </w:r>
    </w:p>
    <w:p>
      <w:pPr>
        <w:pStyle w:val="ListBullet"/>
        <w:spacing w:after="40"/>
      </w:pPr>
      <w:r>
        <w:rPr>
          <w:sz w:val="19"/>
        </w:rPr>
        <w:t>support tickets</w:t>
      </w:r>
    </w:p>
    <w:p>
      <w:pPr>
        <w:pStyle w:val="ListBullet"/>
        <w:spacing w:after="40"/>
      </w:pPr>
      <w:r>
        <w:rPr>
          <w:sz w:val="19"/>
        </w:rPr>
        <w:t>shared databases</w:t>
      </w:r>
    </w:p>
    <w:p>
      <w:pPr>
        <w:pStyle w:val="ListBullet"/>
        <w:spacing w:after="40"/>
      </w:pPr>
      <w:r>
        <w:rPr>
          <w:sz w:val="19"/>
        </w:rPr>
        <w:t>outdated datasets</w:t>
      </w:r>
    </w:p>
    <w:p>
      <w:pPr>
        <w:pStyle w:val="ListBullet"/>
        <w:spacing w:after="40"/>
      </w:pPr>
      <w:r>
        <w:rPr>
          <w:sz w:val="19"/>
        </w:rPr>
        <w:t>partially protected sensitive data</w:t>
      </w:r>
    </w:p>
    <w:p>
      <w:pPr>
        <w:spacing w:before="60" w:after="120"/>
        <w:ind w:left="360" w:right="144"/>
        <w:shd w:fill="F6F8FA"/>
      </w:pPr>
      <w:r>
        <w:rPr>
          <w:i/>
          <w:color w:val="132235"/>
          <w:sz w:val="21"/>
        </w:rPr>
        <w:t>Software became automated. Infrastructure became automated. Data environments are next.</w:t>
      </w:r>
    </w:p>
    <w:p>
      <w:pPr>
        <w:pStyle w:val="Heading1"/>
      </w:pPr>
      <w:r>
        <w:t>5. What Tessera is — and what it is not</w:t>
      </w:r>
    </w:p>
    <w:p>
      <w:pPr>
        <w:pStyle w:val="Heading2"/>
      </w:pPr>
      <w:r>
        <w:t>Tessera is</w:t>
      </w:r>
    </w:p>
    <w:p>
      <w:pPr>
        <w:pStyle w:val="ListBullet"/>
        <w:spacing w:after="40"/>
      </w:pPr>
      <w:r>
        <w:rPr>
          <w:sz w:val="19"/>
        </w:rPr>
        <w:t>A platform for sensitive-data discovery.</w:t>
      </w:r>
    </w:p>
    <w:p>
      <w:pPr>
        <w:pStyle w:val="ListBullet"/>
        <w:spacing w:after="40"/>
      </w:pPr>
      <w:r>
        <w:rPr>
          <w:sz w:val="19"/>
        </w:rPr>
        <w:t>A deterministic data-masking framework.</w:t>
      </w:r>
    </w:p>
    <w:p>
      <w:pPr>
        <w:pStyle w:val="ListBullet"/>
        <w:spacing w:after="40"/>
      </w:pPr>
      <w:r>
        <w:rPr>
          <w:sz w:val="19"/>
        </w:rPr>
        <w:t>A referential data-subsetting engine.</w:t>
      </w:r>
    </w:p>
    <w:p>
      <w:pPr>
        <w:pStyle w:val="ListBullet"/>
        <w:spacing w:after="40"/>
      </w:pPr>
      <w:r>
        <w:rPr>
          <w:sz w:val="19"/>
        </w:rPr>
        <w:t>A snapshot and Change Data Capture engine.</w:t>
      </w:r>
    </w:p>
    <w:p>
      <w:pPr>
        <w:pStyle w:val="ListBullet"/>
        <w:spacing w:after="40"/>
      </w:pPr>
      <w:r>
        <w:rPr>
          <w:sz w:val="19"/>
        </w:rPr>
        <w:t>A set of Web, CLI and Kubernetes-friendly capabilities for engineering workflows.</w:t>
      </w:r>
    </w:p>
    <w:p>
      <w:pPr>
        <w:pStyle w:val="ListBullet"/>
        <w:spacing w:after="40"/>
      </w:pPr>
      <w:r>
        <w:rPr>
          <w:sz w:val="19"/>
        </w:rPr>
        <w:t>A foundation for future automated non-production data environments.</w:t>
      </w:r>
    </w:p>
    <w:p>
      <w:pPr>
        <w:pStyle w:val="Heading2"/>
      </w:pPr>
      <w:r>
        <w:t>Tessera is not currently</w:t>
      </w:r>
    </w:p>
    <w:p>
      <w:pPr>
        <w:pStyle w:val="ListBullet"/>
        <w:spacing w:after="40"/>
      </w:pPr>
      <w:r>
        <w:rPr>
          <w:sz w:val="19"/>
        </w:rPr>
        <w:t>A data catalog.</w:t>
      </w:r>
    </w:p>
    <w:p>
      <w:pPr>
        <w:pStyle w:val="ListBullet"/>
        <w:spacing w:after="40"/>
      </w:pPr>
      <w:r>
        <w:rPr>
          <w:sz w:val="19"/>
        </w:rPr>
        <w:t>A semantic layer.</w:t>
      </w:r>
    </w:p>
    <w:p>
      <w:pPr>
        <w:pStyle w:val="ListBullet"/>
        <w:spacing w:after="40"/>
      </w:pPr>
      <w:r>
        <w:rPr>
          <w:sz w:val="19"/>
        </w:rPr>
        <w:t>A data-quality remediation platform.</w:t>
      </w:r>
    </w:p>
    <w:p>
      <w:pPr>
        <w:pStyle w:val="ListBullet"/>
        <w:spacing w:after="40"/>
      </w:pPr>
      <w:r>
        <w:rPr>
          <w:sz w:val="19"/>
        </w:rPr>
        <w:t>A RAG platform.</w:t>
      </w:r>
    </w:p>
    <w:p>
      <w:pPr>
        <w:pStyle w:val="ListBullet"/>
        <w:spacing w:after="40"/>
      </w:pPr>
      <w:r>
        <w:rPr>
          <w:sz w:val="19"/>
        </w:rPr>
        <w:t>An AI-agent framework.</w:t>
      </w:r>
    </w:p>
    <w:p>
      <w:pPr>
        <w:pStyle w:val="ListBullet"/>
        <w:spacing w:after="40"/>
      </w:pPr>
      <w:r>
        <w:rPr>
          <w:sz w:val="19"/>
        </w:rPr>
        <w:t>A vector database.</w:t>
      </w:r>
    </w:p>
    <w:p>
      <w:pPr>
        <w:pStyle w:val="ListBullet"/>
        <w:spacing w:after="40"/>
      </w:pPr>
      <w:r>
        <w:rPr>
          <w:sz w:val="19"/>
        </w:rPr>
        <w:t>A knowledge-graph product.</w:t>
      </w:r>
    </w:p>
    <w:p>
      <w:pPr>
        <w:pStyle w:val="ListBullet"/>
        <w:spacing w:after="40"/>
      </w:pPr>
      <w:r>
        <w:rPr>
          <w:sz w:val="19"/>
        </w:rPr>
        <w:t>A generic database migration product with a universal target-side applier.</w:t>
      </w:r>
    </w:p>
    <w:p>
      <w:pPr>
        <w:pStyle w:val="ListBullet"/>
        <w:spacing w:after="40"/>
      </w:pPr>
      <w:r>
        <w:rPr>
          <w:sz w:val="19"/>
        </w:rPr>
        <w:t>A complete database cloning/lifecycle platform today.</w:t>
      </w:r>
    </w:p>
    <w:p>
      <w:pPr>
        <w:pStyle w:val="ListBullet"/>
        <w:spacing w:after="40"/>
      </w:pPr>
      <w:r>
        <w:rPr>
          <w:sz w:val="19"/>
        </w:rPr>
        <w:t>A dynamic data-masking proxy.</w:t>
      </w:r>
    </w:p>
    <w:p>
      <w:pPr>
        <w:spacing w:before="60" w:after="120"/>
        <w:ind w:left="360" w:right="144"/>
        <w:shd w:fill="F6F8FA"/>
      </w:pPr>
      <w:r>
        <w:rPr>
          <w:i/>
          <w:color w:val="132235"/>
          <w:sz w:val="21"/>
        </w:rPr>
        <w:t>AI is an important consumer/use case, not the definition of the platform.</w:t>
      </w:r>
    </w:p>
    <w:p>
      <w:pPr>
        <w:pStyle w:val="Heading1"/>
      </w:pPr>
      <w:r>
        <w:t>6. Product 1 — Discovery</w:t>
      </w:r>
    </w:p>
    <w:p>
      <w:pPr>
        <w:pStyle w:val="SmallNote"/>
      </w:pPr>
      <w:r>
        <w:t>Status: READY</w:t>
      </w:r>
    </w:p>
    <w:p>
      <w:pPr>
        <w:pStyle w:val="Heading2"/>
      </w:pPr>
      <w:r>
        <w:t>Website headline</w:t>
      </w:r>
    </w:p>
    <w:p>
      <w:pPr>
        <w:spacing w:before="60" w:after="120"/>
        <w:ind w:left="360" w:right="144"/>
        <w:shd w:fill="F6F8FA"/>
      </w:pPr>
      <w:r>
        <w:rPr>
          <w:i/>
          <w:color w:val="132235"/>
          <w:sz w:val="21"/>
        </w:rPr>
        <w:t>Know where sensitive data lives.</w:t>
      </w:r>
    </w:p>
    <w:p>
      <w:pPr>
        <w:pStyle w:val="Heading2"/>
      </w:pPr>
      <w:r>
        <w:t>One-line description</w:t>
      </w:r>
    </w:p>
    <w:p>
      <w:r>
        <w:t>Tessera Discovery classifies sensitive fields from metadata and data samples and produces a reusable inventory for protection workflows.</w:t>
      </w:r>
    </w:p>
    <w:p>
      <w:pPr>
        <w:pStyle w:val="Heading2"/>
      </w:pPr>
      <w:r>
        <w:t>Product purpose</w:t>
      </w:r>
    </w:p>
    <w:p>
      <w:r>
        <w:t>Discovery identifies columns or JSON paths that likely contain sensitive information.</w:t>
      </w:r>
    </w:p>
    <w:p>
      <w:r>
        <w:t>Typical inputs include:</w:t>
      </w:r>
    </w:p>
    <w:p>
      <w:pPr>
        <w:pStyle w:val="ListBullet"/>
        <w:spacing w:after="40"/>
      </w:pPr>
      <w:r>
        <w:rPr>
          <w:sz w:val="19"/>
        </w:rPr>
        <w:t>column names</w:t>
      </w:r>
    </w:p>
    <w:p>
      <w:pPr>
        <w:pStyle w:val="ListBullet"/>
        <w:spacing w:after="40"/>
      </w:pPr>
      <w:r>
        <w:rPr>
          <w:sz w:val="19"/>
        </w:rPr>
        <w:t>JSON paths</w:t>
      </w:r>
    </w:p>
    <w:p>
      <w:pPr>
        <w:pStyle w:val="ListBullet"/>
        <w:spacing w:after="40"/>
      </w:pPr>
      <w:r>
        <w:rPr>
          <w:sz w:val="19"/>
        </w:rPr>
        <w:t>data types</w:t>
      </w:r>
    </w:p>
    <w:p>
      <w:pPr>
        <w:pStyle w:val="ListBullet"/>
        <w:spacing w:after="40"/>
      </w:pPr>
      <w:r>
        <w:rPr>
          <w:sz w:val="19"/>
        </w:rPr>
        <w:t>metadata</w:t>
      </w:r>
    </w:p>
    <w:p>
      <w:pPr>
        <w:pStyle w:val="ListBullet"/>
        <w:spacing w:after="40"/>
      </w:pPr>
      <w:r>
        <w:rPr>
          <w:sz w:val="19"/>
        </w:rPr>
        <w:t>data samples</w:t>
      </w:r>
    </w:p>
    <w:p>
      <w:pPr>
        <w:pStyle w:val="CodeBlock"/>
        <w:shd w:fill="F3F5F7"/>
        <w:pBdr>
          <w:left w:val="single" w:sz="14" w:space="4" w:color="8AA1B8"/>
        </w:pBdr>
      </w:pPr>
      <w:r>
        <w:rPr>
          <w:rFonts w:ascii="Liberation Mono" w:hAnsi="Liberation Mono"/>
          <w:sz w:val="16"/>
        </w:rPr>
        <w:t>customers.cpf</w:t>
        <w:br/>
        <w:t>domain: brazilian_tax_id</w:t>
        <w:br/>
        <w:t>recommended_algorithm: CPF masking</w:t>
        <w:br/>
        <w:t>confidence: high</w:t>
        <w:br/>
        <w:br/>
        <w:t>customers.email</w:t>
        <w:br/>
        <w:t>domain: email</w:t>
        <w:br/>
        <w:t>recommended_algorithm: Email masking</w:t>
        <w:br/>
        <w:t>confidence: high</w:t>
      </w:r>
    </w:p>
    <w:p>
      <w:pPr>
        <w:pStyle w:val="Heading2"/>
      </w:pPr>
      <w:r>
        <w:t>Architecture</w:t>
      </w:r>
    </w:p>
    <w:p>
      <w:r>
        <w:t>Discovery is a Go library/framework with no direct I/O. It does not itself connect to a database or object store.</w:t>
      </w:r>
    </w:p>
    <w:p>
      <w:pPr>
        <w:pStyle w:val="CodeBlock"/>
        <w:shd w:fill="F3F5F7"/>
        <w:pBdr>
          <w:left w:val="single" w:sz="14" w:space="4" w:color="8AA1B8"/>
        </w:pBdr>
      </w:pPr>
      <w:r>
        <w:rPr>
          <w:rFonts w:ascii="Liberation Mono" w:hAnsi="Liberation Mono"/>
          <w:sz w:val="16"/>
        </w:rPr>
        <w:t>Consumer application</w:t>
        <w:br/>
        <w:t xml:space="preserve">        ↓</w:t>
        <w:br/>
        <w:t>column/path metadata + samples</w:t>
        <w:br/>
        <w:t xml:space="preserve">        ↓</w:t>
        <w:br/>
        <w:t>Tessera Discovery</w:t>
        <w:br/>
        <w:t xml:space="preserve">        ↓</w:t>
        <w:br/>
        <w:t>classification inventory</w:t>
      </w:r>
    </w:p>
    <w:p>
      <w:pPr>
        <w:pStyle w:val="Heading2"/>
      </w:pPr>
      <w:r>
        <w:t>Classifier types</w:t>
      </w:r>
    </w:p>
    <w:p>
      <w:pPr>
        <w:pStyle w:val="ListBullet"/>
        <w:spacing w:after="40"/>
      </w:pPr>
      <w:r>
        <w:rPr>
          <w:sz w:val="19"/>
        </w:rPr>
        <w:t>type</w:t>
      </w:r>
    </w:p>
    <w:p>
      <w:pPr>
        <w:pStyle w:val="ListBullet"/>
        <w:spacing w:after="40"/>
      </w:pPr>
      <w:r>
        <w:rPr>
          <w:sz w:val="19"/>
        </w:rPr>
        <w:t>path / regex</w:t>
      </w:r>
    </w:p>
    <w:p>
      <w:pPr>
        <w:pStyle w:val="ListBullet"/>
        <w:spacing w:after="40"/>
      </w:pPr>
      <w:r>
        <w:rPr>
          <w:sz w:val="19"/>
        </w:rPr>
        <w:t>data / regex</w:t>
      </w:r>
    </w:p>
    <w:p>
      <w:pPr>
        <w:pStyle w:val="ListBullet"/>
        <w:spacing w:after="40"/>
      </w:pPr>
      <w:r>
        <w:rPr>
          <w:sz w:val="19"/>
        </w:rPr>
        <w:t>Luhn validation</w:t>
      </w:r>
    </w:p>
    <w:p>
      <w:pPr>
        <w:pStyle w:val="ListBullet"/>
        <w:spacing w:after="40"/>
      </w:pPr>
      <w:r>
        <w:rPr>
          <w:sz w:val="19"/>
        </w:rPr>
        <w:t>dictionary</w:t>
      </w:r>
    </w:p>
    <w:p>
      <w:pPr>
        <w:pStyle w:val="ListBullet"/>
        <w:spacing w:after="40"/>
      </w:pPr>
      <w:r>
        <w:rPr>
          <w:sz w:val="19"/>
        </w:rPr>
        <w:t>entropy</w:t>
      </w:r>
    </w:p>
    <w:p>
      <w:pPr>
        <w:pStyle w:val="Heading2"/>
      </w:pPr>
      <w:r>
        <w:t>Key design principles</w:t>
      </w:r>
    </w:p>
    <w:p>
      <w:pPr>
        <w:pStyle w:val="Heading3"/>
      </w:pPr>
      <w:r>
        <w:t>Independent PATH and DATA classification</w:t>
      </w:r>
    </w:p>
    <w:p>
      <w:r>
        <w:t>PATH and DATA can classify independently, which is useful for SAP-like schemas, legacy systems, localized column names and obfuscated field names.</w:t>
      </w:r>
    </w:p>
    <w:p>
      <w:pPr>
        <w:pStyle w:val="Heading3"/>
      </w:pPr>
      <w:r>
        <w:t>Recall-first strategy</w:t>
      </w:r>
    </w:p>
    <w:p>
      <w:r>
        <w:t>Discovery prioritizes reducing the chance that sensitive fields are missed. Ambiguous classifications can be flagged for human review.</w:t>
      </w:r>
    </w:p>
    <w:p>
      <w:pPr>
        <w:pStyle w:val="Heading3"/>
      </w:pPr>
      <w:r>
        <w:t>Deterministic output</w:t>
      </w:r>
    </w:p>
    <w:p>
      <w:r>
        <w:t>The same inputs produce stable classification results, enabling inventory diffs and regression testing.</w:t>
      </w:r>
    </w:p>
    <w:p>
      <w:pPr>
        <w:pStyle w:val="Heading3"/>
      </w:pPr>
      <w:r>
        <w:t>Unified relational and JSON model</w:t>
      </w:r>
    </w:p>
    <w:p>
      <w:r>
        <w:t>Relational columns and JSON values are represented through paths rather than requiring separate classification engines.</w:t>
      </w:r>
    </w:p>
    <w:p>
      <w:pPr>
        <w:pStyle w:val="Heading3"/>
      </w:pPr>
      <w:r>
        <w:t>Empirical evaluation</w:t>
      </w:r>
    </w:p>
    <w:p>
      <w:r>
        <w:t>A labeled-corpus harness calculates precision, recall and F1 by data domain.</w:t>
      </w:r>
    </w:p>
    <w:p>
      <w:pPr>
        <w:pStyle w:val="Heading2"/>
      </w:pPr>
      <w:r>
        <w:t>Recommended website copy</w:t>
      </w:r>
    </w:p>
    <w:p>
      <w:pPr>
        <w:spacing w:before="60" w:after="120"/>
        <w:ind w:left="360" w:right="144"/>
        <w:shd w:fill="F6F8FA"/>
      </w:pPr>
      <w:r>
        <w:rPr>
          <w:i/>
          <w:color w:val="132235"/>
          <w:sz w:val="21"/>
        </w:rPr>
        <w:t>Discover sensitive data before it reaches non-production.</w:t>
        <w:br/>
        <w:br/>
        <w:t>Tessera analyzes schema metadata and representative values to classify sensitive fields and create a consistent inventory that downstream workflows can use for protection and review.</w:t>
      </w:r>
    </w:p>
    <w:p>
      <w:pPr>
        <w:pStyle w:val="Heading2"/>
      </w:pPr>
      <w:r>
        <w:t>Good use cases</w:t>
      </w:r>
    </w:p>
    <w:p>
      <w:pPr>
        <w:pStyle w:val="ListBullet"/>
        <w:spacing w:after="40"/>
      </w:pPr>
      <w:r>
        <w:rPr>
          <w:sz w:val="19"/>
        </w:rPr>
        <w:t>PII inventory for DEV / QA / HML</w:t>
      </w:r>
    </w:p>
    <w:p>
      <w:pPr>
        <w:pStyle w:val="ListBullet"/>
        <w:spacing w:after="40"/>
      </w:pPr>
      <w:r>
        <w:rPr>
          <w:sz w:val="19"/>
        </w:rPr>
        <w:t>Detecting sensitive fields in legacy systems</w:t>
      </w:r>
    </w:p>
    <w:p>
      <w:pPr>
        <w:pStyle w:val="ListBullet"/>
        <w:spacing w:after="40"/>
      </w:pPr>
      <w:r>
        <w:rPr>
          <w:sz w:val="19"/>
        </w:rPr>
        <w:t>Preparing masking policies</w:t>
      </w:r>
    </w:p>
    <w:p>
      <w:pPr>
        <w:pStyle w:val="ListBullet"/>
        <w:spacing w:after="40"/>
      </w:pPr>
      <w:r>
        <w:rPr>
          <w:sz w:val="19"/>
        </w:rPr>
        <w:t>Reviewing third-party or partner datasets</w:t>
      </w:r>
    </w:p>
    <w:p>
      <w:pPr>
        <w:pStyle w:val="ListBullet"/>
        <w:spacing w:after="40"/>
      </w:pPr>
      <w:r>
        <w:rPr>
          <w:sz w:val="19"/>
        </w:rPr>
        <w:t>Identifying sensitive information before non-production delivery</w:t>
      </w:r>
    </w:p>
    <w:p>
      <w:pPr>
        <w:pStyle w:val="Heading2"/>
      </w:pPr>
      <w:r>
        <w:t>Important claim rule</w:t>
      </w:r>
    </w:p>
    <w:p>
      <w:pPr>
        <w:spacing w:before="60" w:after="120"/>
        <w:ind w:left="360" w:right="144"/>
        <w:shd w:fill="F6F8FA"/>
      </w:pPr>
      <w:r>
        <w:rPr>
          <w:i/>
          <w:color w:val="132235"/>
          <w:sz w:val="21"/>
        </w:rPr>
        <w:t>Do not say: "Tessera detects 100% of PII."</w:t>
      </w:r>
    </w:p>
    <w:p>
      <w:pPr>
        <w:pStyle w:val="Heading1"/>
      </w:pPr>
      <w:r>
        <w:t>7. Product 2 — Masking</w:t>
      </w:r>
    </w:p>
    <w:p>
      <w:pPr>
        <w:pStyle w:val="SmallNote"/>
      </w:pPr>
      <w:r>
        <w:t>Status: READY</w:t>
      </w:r>
    </w:p>
    <w:p>
      <w:pPr>
        <w:pStyle w:val="Heading2"/>
      </w:pPr>
      <w:r>
        <w:t>Website headline</w:t>
      </w:r>
    </w:p>
    <w:p>
      <w:pPr>
        <w:spacing w:before="60" w:after="120"/>
        <w:ind w:left="360" w:right="144"/>
        <w:shd w:fill="F6F8FA"/>
      </w:pPr>
      <w:r>
        <w:rPr>
          <w:i/>
          <w:color w:val="132235"/>
          <w:sz w:val="21"/>
        </w:rPr>
        <w:t>Protect sensitive data without breaking relationships.</w:t>
      </w:r>
    </w:p>
    <w:p>
      <w:pPr>
        <w:pStyle w:val="Heading2"/>
      </w:pPr>
      <w:r>
        <w:t>One-line description</w:t>
      </w:r>
    </w:p>
    <w:p>
      <w:r>
        <w:t>Tessera Masking transforms sensitive values deterministically so applications can keep realistic structure and referential consistency without exposing the original values.</w:t>
      </w:r>
    </w:p>
    <w:p>
      <w:pPr>
        <w:pStyle w:val="Heading2"/>
      </w:pPr>
      <w:r>
        <w:t>Core principle</w:t>
      </w:r>
    </w:p>
    <w:p>
      <w:pPr>
        <w:pStyle w:val="CodeBlock"/>
        <w:shd w:fill="F3F5F7"/>
        <w:pBdr>
          <w:left w:val="single" w:sz="14" w:space="4" w:color="8AA1B8"/>
        </w:pBdr>
      </w:pPr>
      <w:r>
        <w:rPr>
          <w:rFonts w:ascii="Liberation Mono" w:hAnsi="Liberation Mono"/>
          <w:sz w:val="16"/>
        </w:rPr>
        <w:t>same key</w:t>
        <w:br/>
        <w:t>+ same configuration</w:t>
        <w:br/>
        <w:t>+ same input</w:t>
        <w:br/>
        <w:t>= same masked output</w:t>
      </w:r>
    </w:p>
    <w:p>
      <w:r>
        <w:t>This allows the same original identifier to remain consistent across multiple occurrences.</w:t>
      </w:r>
    </w:p>
    <w:p>
      <w:pPr>
        <w:pStyle w:val="CodeBlock"/>
        <w:shd w:fill="F3F5F7"/>
        <w:pBdr>
          <w:left w:val="single" w:sz="14" w:space="4" w:color="8AA1B8"/>
        </w:pBdr>
      </w:pPr>
      <w:r>
        <w:rPr>
          <w:rFonts w:ascii="Liberation Mono" w:hAnsi="Liberation Mono"/>
          <w:sz w:val="16"/>
        </w:rPr>
        <w:t>customers.customer_id -&gt; masked value X</w:t>
        <w:br/>
        <w:t>payments.customer_id  -&gt; masked value X</w:t>
        <w:br/>
        <w:t>support.customer_id   -&gt; masked value X</w:t>
      </w:r>
    </w:p>
    <w:p>
      <w:pPr>
        <w:pStyle w:val="Heading2"/>
      </w:pPr>
      <w:r>
        <w:t>Technical characteristics</w:t>
      </w:r>
    </w:p>
    <w:p>
      <w:pPr>
        <w:pStyle w:val="ListBullet"/>
        <w:spacing w:after="40"/>
      </w:pPr>
      <w:r>
        <w:rPr>
          <w:sz w:val="19"/>
        </w:rPr>
        <w:t>Deterministic key-driven masking</w:t>
      </w:r>
    </w:p>
    <w:p>
      <w:pPr>
        <w:pStyle w:val="ListBullet"/>
        <w:spacing w:after="40"/>
      </w:pPr>
      <w:r>
        <w:rPr>
          <w:sz w:val="19"/>
        </w:rPr>
        <w:t>FF1 format-preserving encryption capability</w:t>
      </w:r>
    </w:p>
    <w:p>
      <w:pPr>
        <w:pStyle w:val="ListBullet"/>
        <w:spacing w:after="40"/>
      </w:pPr>
      <w:r>
        <w:rPr>
          <w:sz w:val="19"/>
        </w:rPr>
        <w:t>SHA-256</w:t>
      </w:r>
    </w:p>
    <w:p>
      <w:pPr>
        <w:pStyle w:val="ListBullet"/>
        <w:spacing w:after="40"/>
      </w:pPr>
      <w:r>
        <w:rPr>
          <w:sz w:val="19"/>
        </w:rPr>
        <w:t>Protected key providers</w:t>
      </w:r>
    </w:p>
    <w:p>
      <w:pPr>
        <w:pStyle w:val="ListBullet"/>
        <w:spacing w:after="40"/>
      </w:pPr>
      <w:r>
        <w:rPr>
          <w:sz w:val="19"/>
        </w:rPr>
        <w:t>AWS KMS</w:t>
      </w:r>
    </w:p>
    <w:p>
      <w:pPr>
        <w:pStyle w:val="ListBullet"/>
        <w:spacing w:after="40"/>
      </w:pPr>
      <w:r>
        <w:rPr>
          <w:sz w:val="19"/>
        </w:rPr>
        <w:t>File / Kubernetes Secret provider</w:t>
      </w:r>
    </w:p>
    <w:p>
      <w:pPr>
        <w:pStyle w:val="ListBullet"/>
        <w:spacing w:after="40"/>
      </w:pPr>
      <w:r>
        <w:rPr>
          <w:sz w:val="19"/>
        </w:rPr>
        <w:t>Thread-safe execution</w:t>
      </w:r>
    </w:p>
    <w:p>
      <w:pPr>
        <w:pStyle w:val="ListBullet"/>
        <w:spacing w:after="40"/>
      </w:pPr>
      <w:r>
        <w:rPr>
          <w:sz w:val="19"/>
        </w:rPr>
        <w:t>Algorithm chaining</w:t>
      </w:r>
    </w:p>
    <w:p>
      <w:pPr>
        <w:pStyle w:val="ListBullet"/>
        <w:spacing w:after="40"/>
      </w:pPr>
      <w:r>
        <w:rPr>
          <w:sz w:val="19"/>
        </w:rPr>
        <w:t>Cycle detection</w:t>
      </w:r>
    </w:p>
    <w:p>
      <w:pPr>
        <w:pStyle w:val="ListBullet"/>
        <w:spacing w:after="40"/>
      </w:pPr>
      <w:r>
        <w:rPr>
          <w:sz w:val="19"/>
        </w:rPr>
        <w:t>Multiple masking algorithms</w:t>
      </w:r>
    </w:p>
    <w:p>
      <w:pPr>
        <w:pStyle w:val="Heading2"/>
      </w:pPr>
      <w:r>
        <w:t>Algorithm examples</w:t>
      </w:r>
    </w:p>
    <w:p>
      <w:pPr>
        <w:pStyle w:val="ListBullet"/>
        <w:spacing w:after="40"/>
      </w:pPr>
      <w:r>
        <w:rPr>
          <w:sz w:val="19"/>
        </w:rPr>
        <w:t>Secure Lookup</w:t>
      </w:r>
    </w:p>
    <w:p>
      <w:pPr>
        <w:pStyle w:val="ListBullet"/>
        <w:spacing w:after="40"/>
      </w:pPr>
      <w:r>
        <w:rPr>
          <w:sz w:val="19"/>
        </w:rPr>
        <w:t>Character Mapping</w:t>
      </w:r>
    </w:p>
    <w:p>
      <w:pPr>
        <w:pStyle w:val="ListBullet"/>
        <w:spacing w:after="40"/>
      </w:pPr>
      <w:r>
        <w:rPr>
          <w:sz w:val="19"/>
        </w:rPr>
        <w:t>Numeric Mapping</w:t>
      </w:r>
    </w:p>
    <w:p>
      <w:pPr>
        <w:pStyle w:val="ListBullet"/>
        <w:spacing w:after="40"/>
      </w:pPr>
      <w:r>
        <w:rPr>
          <w:sz w:val="19"/>
        </w:rPr>
        <w:t>Segment Mapping</w:t>
      </w:r>
    </w:p>
    <w:p>
      <w:pPr>
        <w:pStyle w:val="ListBullet"/>
        <w:spacing w:after="40"/>
      </w:pPr>
      <w:r>
        <w:rPr>
          <w:sz w:val="19"/>
        </w:rPr>
        <w:t>Date Shift</w:t>
      </w:r>
    </w:p>
    <w:p>
      <w:pPr>
        <w:pStyle w:val="ListBullet"/>
        <w:spacing w:after="40"/>
      </w:pPr>
      <w:r>
        <w:rPr>
          <w:sz w:val="19"/>
        </w:rPr>
        <w:t>Date Replacement</w:t>
      </w:r>
    </w:p>
    <w:p>
      <w:pPr>
        <w:pStyle w:val="ListBullet"/>
        <w:spacing w:after="40"/>
      </w:pPr>
      <w:r>
        <w:rPr>
          <w:sz w:val="19"/>
        </w:rPr>
        <w:t>Full Name</w:t>
      </w:r>
    </w:p>
    <w:p>
      <w:pPr>
        <w:pStyle w:val="ListBullet"/>
        <w:spacing w:after="40"/>
      </w:pPr>
      <w:r>
        <w:rPr>
          <w:sz w:val="19"/>
        </w:rPr>
        <w:t>Email</w:t>
      </w:r>
    </w:p>
    <w:p>
      <w:r>
        <w:t>The technical material also references format-valid handling for payment cards / Luhn, IBAN and checksum-based identifiers such as CPF/CNPJ.</w:t>
      </w:r>
    </w:p>
    <w:p>
      <w:pPr>
        <w:pStyle w:val="Heading2"/>
      </w:pPr>
      <w:r>
        <w:t>Static masking</w:t>
      </w:r>
    </w:p>
    <w:p>
      <w:r>
        <w:t>The current masking model is primarily static masking: transformed values are written into the destination dataset/environment and original values are not preserved in that destination.</w:t>
      </w:r>
    </w:p>
    <w:p>
      <w:r>
        <w:t>This is appropriate for use cases such as:</w:t>
      </w:r>
    </w:p>
    <w:p>
      <w:pPr>
        <w:pStyle w:val="ListBullet"/>
        <w:spacing w:after="40"/>
      </w:pPr>
      <w:r>
        <w:rPr>
          <w:sz w:val="19"/>
        </w:rPr>
        <w:t>development</w:t>
      </w:r>
    </w:p>
    <w:p>
      <w:pPr>
        <w:pStyle w:val="ListBullet"/>
        <w:spacing w:after="40"/>
      </w:pPr>
      <w:r>
        <w:rPr>
          <w:sz w:val="19"/>
        </w:rPr>
        <w:t>QA</w:t>
      </w:r>
    </w:p>
    <w:p>
      <w:pPr>
        <w:pStyle w:val="ListBullet"/>
        <w:spacing w:after="40"/>
      </w:pPr>
      <w:r>
        <w:rPr>
          <w:sz w:val="19"/>
        </w:rPr>
        <w:t>staging</w:t>
      </w:r>
    </w:p>
    <w:p>
      <w:pPr>
        <w:pStyle w:val="ListBullet"/>
        <w:spacing w:after="40"/>
      </w:pPr>
      <w:r>
        <w:rPr>
          <w:sz w:val="19"/>
        </w:rPr>
        <w:t>analytics datasets where real identities are unnecessary</w:t>
      </w:r>
    </w:p>
    <w:p>
      <w:pPr>
        <w:pStyle w:val="ListBullet"/>
        <w:spacing w:after="40"/>
      </w:pPr>
      <w:r>
        <w:rPr>
          <w:sz w:val="19"/>
        </w:rPr>
        <w:t>third-party datasets</w:t>
      </w:r>
    </w:p>
    <w:p>
      <w:pPr>
        <w:pStyle w:val="ListBullet"/>
        <w:spacing w:after="40"/>
      </w:pPr>
      <w:r>
        <w:rPr>
          <w:sz w:val="19"/>
        </w:rPr>
        <w:t>non-production environments</w:t>
      </w:r>
    </w:p>
    <w:p>
      <w:pPr>
        <w:pStyle w:val="Heading2"/>
      </w:pPr>
      <w:r>
        <w:t>Not currently dynamic masking</w:t>
      </w:r>
    </w:p>
    <w:p>
      <w:r>
        <w:t>The current product should not be marketed as a dynamic masking layer that preserves original data on disk and changes what individual users see at query time.</w:t>
      </w:r>
    </w:p>
    <w:p>
      <w:pPr>
        <w:pStyle w:val="Heading2"/>
      </w:pPr>
      <w:r>
        <w:t>Recommended website copy</w:t>
      </w:r>
    </w:p>
    <w:p>
      <w:pPr>
        <w:spacing w:before="60" w:after="120"/>
        <w:ind w:left="360" w:right="144"/>
        <w:shd w:fill="F6F8FA"/>
      </w:pPr>
      <w:r>
        <w:rPr>
          <w:i/>
          <w:color w:val="132235"/>
          <w:sz w:val="21"/>
        </w:rPr>
        <w:t>Keep realistic structure. Remove unnecessary exposure.</w:t>
        <w:br/>
        <w:br/>
        <w:t>Tessera applies deterministic, format-aware transformations so related records remain consistent across tables and repeated executions while sensitive values are protected.</w:t>
      </w:r>
    </w:p>
    <w:p>
      <w:pPr>
        <w:pStyle w:val="Heading1"/>
      </w:pPr>
      <w:r>
        <w:t>8. Product 3 — Subsetter</w:t>
      </w:r>
    </w:p>
    <w:p>
      <w:pPr>
        <w:pStyle w:val="SmallNote"/>
      </w:pPr>
      <w:r>
        <w:t>Status: READY — CORE COMPLETE</w:t>
      </w:r>
    </w:p>
    <w:p>
      <w:pPr>
        <w:pStyle w:val="Heading2"/>
      </w:pPr>
      <w:r>
        <w:t>Website headline</w:t>
      </w:r>
    </w:p>
    <w:p>
      <w:pPr>
        <w:spacing w:before="60" w:after="120"/>
        <w:ind w:left="360" w:right="144"/>
        <w:shd w:fill="F6F8FA"/>
      </w:pPr>
      <w:r>
        <w:rPr>
          <w:i/>
          <w:color w:val="132235"/>
          <w:sz w:val="21"/>
        </w:rPr>
        <w:t>Move the data you need. Keep the relationships you depend on.</w:t>
      </w:r>
    </w:p>
    <w:p>
      <w:pPr>
        <w:pStyle w:val="Heading2"/>
      </w:pPr>
      <w:r>
        <w:t>One-line description</w:t>
      </w:r>
    </w:p>
    <w:p>
      <w:r>
        <w:t>Tessera Subsetter creates smaller datasets from large source systems while preserving the relationships needed for development, testing and analytical work.</w:t>
      </w:r>
    </w:p>
    <w:p>
      <w:pPr>
        <w:pStyle w:val="Heading2"/>
      </w:pPr>
      <w:r>
        <w:t>Problem</w:t>
      </w:r>
    </w:p>
    <w:p>
      <w:r>
        <w:t>Teams often do not need an entire multi-terabyte production database. They need a useful slice such as:</w:t>
      </w:r>
    </w:p>
    <w:p>
      <w:pPr>
        <w:pStyle w:val="CodeBlock"/>
        <w:shd w:fill="F3F5F7"/>
        <w:pBdr>
          <w:left w:val="single" w:sz="14" w:space="4" w:color="8AA1B8"/>
        </w:pBdr>
      </w:pPr>
      <w:r>
        <w:rPr>
          <w:rFonts w:ascii="Liberation Mono" w:hAnsi="Liberation Mono"/>
          <w:sz w:val="16"/>
        </w:rPr>
        <w:t>selected customers</w:t>
        <w:br/>
        <w:t>+ accounts</w:t>
        <w:br/>
        <w:t>+ payments</w:t>
        <w:br/>
        <w:t>+ transactions</w:t>
        <w:br/>
        <w:t>+ orders</w:t>
        <w:br/>
        <w:t>+ support records</w:t>
      </w:r>
    </w:p>
    <w:p>
      <w:pPr>
        <w:pStyle w:val="Heading2"/>
      </w:pPr>
      <w:r>
        <w:t>Architecture</w:t>
      </w:r>
    </w:p>
    <w:p>
      <w:pPr>
        <w:pStyle w:val="CodeBlock"/>
        <w:shd w:fill="F3F5F7"/>
        <w:pBdr>
          <w:left w:val="single" w:sz="14" w:space="4" w:color="8AA1B8"/>
        </w:pBdr>
      </w:pPr>
      <w:r>
        <w:rPr>
          <w:rFonts w:ascii="Liberation Mono" w:hAnsi="Liberation Mono"/>
          <w:sz w:val="16"/>
        </w:rPr>
        <w:t>Sources</w:t>
        <w:br/>
        <w:t xml:space="preserve">   ↓</w:t>
        <w:br/>
        <w:t>Schema Graph</w:t>
        <w:br/>
        <w:t xml:space="preserve">   ↓</w:t>
        <w:br/>
        <w:t>Planner</w:t>
        <w:br/>
        <w:t xml:space="preserve">   ↓</w:t>
        <w:br/>
        <w:t>Executor</w:t>
        <w:br/>
        <w:t xml:space="preserve">   ↓</w:t>
        <w:br/>
        <w:t>Referentially consistent subset</w:t>
      </w:r>
    </w:p>
    <w:p>
      <w:pPr>
        <w:pStyle w:val="Heading2"/>
      </w:pPr>
      <w:r>
        <w:t>Schema Graph</w:t>
      </w:r>
    </w:p>
    <w:p>
      <w:pPr>
        <w:pStyle w:val="ListBullet"/>
        <w:spacing w:after="40"/>
      </w:pPr>
      <w:r>
        <w:rPr>
          <w:sz w:val="19"/>
        </w:rPr>
        <w:t>tables</w:t>
      </w:r>
    </w:p>
    <w:p>
      <w:pPr>
        <w:pStyle w:val="ListBullet"/>
        <w:spacing w:after="40"/>
      </w:pPr>
      <w:r>
        <w:rPr>
          <w:sz w:val="19"/>
        </w:rPr>
        <w:t>columns</w:t>
      </w:r>
    </w:p>
    <w:p>
      <w:pPr>
        <w:pStyle w:val="ListBullet"/>
        <w:spacing w:after="40"/>
      </w:pPr>
      <w:r>
        <w:rPr>
          <w:sz w:val="19"/>
        </w:rPr>
        <w:t>physical foreign keys</w:t>
      </w:r>
    </w:p>
    <w:p>
      <w:pPr>
        <w:pStyle w:val="ListBullet"/>
        <w:spacing w:after="40"/>
      </w:pPr>
      <w:r>
        <w:rPr>
          <w:sz w:val="19"/>
        </w:rPr>
        <w:t>logical relationships</w:t>
      </w:r>
    </w:p>
    <w:p>
      <w:pPr>
        <w:pStyle w:val="ListBullet"/>
        <w:spacing w:after="40"/>
      </w:pPr>
      <w:r>
        <w:rPr>
          <w:sz w:val="19"/>
        </w:rPr>
        <w:t>inferred relationships</w:t>
      </w:r>
    </w:p>
    <w:p>
      <w:pPr>
        <w:pStyle w:val="ListBullet"/>
        <w:spacing w:after="40"/>
      </w:pPr>
      <w:r>
        <w:rPr>
          <w:sz w:val="19"/>
        </w:rPr>
        <w:t>cross-database relationships</w:t>
      </w:r>
    </w:p>
    <w:p>
      <w:r>
        <w:t>Logical relationships are important because real systems frequently contain dependencies that are not declared as database foreign keys.</w:t>
      </w:r>
    </w:p>
    <w:p>
      <w:pPr>
        <w:pStyle w:val="Heading2"/>
      </w:pPr>
      <w:r>
        <w:t>Planner</w:t>
      </w:r>
    </w:p>
    <w:p>
      <w:r>
        <w:t>The planner uses Tarjan strongly connected components (SCC) to identify cycles and organize execution in waves.</w:t>
      </w:r>
    </w:p>
    <w:p>
      <w:pPr>
        <w:pStyle w:val="CodeBlock"/>
        <w:shd w:fill="F3F5F7"/>
        <w:pBdr>
          <w:left w:val="single" w:sz="14" w:space="4" w:color="8AA1B8"/>
        </w:pBdr>
      </w:pPr>
      <w:r>
        <w:rPr>
          <w:rFonts w:ascii="Liberation Mono" w:hAnsi="Liberation Mono"/>
          <w:sz w:val="16"/>
        </w:rPr>
        <w:t>A depends on B</w:t>
        <w:br/>
        <w:t>B depends on C</w:t>
        <w:br/>
        <w:t>C depends on A</w:t>
      </w:r>
    </w:p>
    <w:p>
      <w:pPr>
        <w:pStyle w:val="Heading2"/>
      </w:pPr>
      <w:r>
        <w:t>Seed / filter-driven subsetting</w:t>
      </w:r>
    </w:p>
    <w:p>
      <w:pPr>
        <w:pStyle w:val="CodeBlock"/>
        <w:shd w:fill="F3F5F7"/>
        <w:pBdr>
          <w:left w:val="single" w:sz="14" w:space="4" w:color="8AA1B8"/>
        </w:pBdr>
      </w:pPr>
      <w:r>
        <w:rPr>
          <w:rFonts w:ascii="Liberation Mono" w:hAnsi="Liberation Mono"/>
          <w:sz w:val="16"/>
        </w:rPr>
        <w:t>country = BR</w:t>
        <w:br/>
        <w:t>customer_id = 123</w:t>
        <w:br/>
        <w:t>created_at &gt;= selected date</w:t>
      </w:r>
    </w:p>
    <w:p>
      <w:pPr>
        <w:pStyle w:val="Heading2"/>
      </w:pPr>
      <w:r>
        <w:t>Discovery and Masking integration</w:t>
      </w:r>
    </w:p>
    <w:p>
      <w:pPr>
        <w:spacing w:before="60" w:after="120"/>
        <w:ind w:left="360" w:right="144"/>
        <w:shd w:fill="F6F8FA"/>
      </w:pPr>
      <w:r>
        <w:rPr>
          <w:i/>
          <w:color w:val="132235"/>
          <w:sz w:val="21"/>
        </w:rPr>
        <w:t>Subsetter can execute Discovery and Masking during extraction. This is an integration option, not evidence that Discovery and Masking are mandatory prerequisites for all Tessera products.</w:t>
      </w:r>
    </w:p>
    <w:p>
      <w:pPr>
        <w:pStyle w:val="Heading2"/>
      </w:pPr>
      <w:r>
        <w:t>Supported platforms</w:t>
      </w:r>
    </w:p>
    <w:p>
      <w:pPr>
        <w:pStyle w:val="ListBullet"/>
        <w:spacing w:after="40"/>
      </w:pPr>
      <w:r>
        <w:rPr>
          <w:sz w:val="19"/>
        </w:rPr>
        <w:t>PostgreSQL</w:t>
      </w:r>
    </w:p>
    <w:p>
      <w:pPr>
        <w:pStyle w:val="ListBullet"/>
        <w:spacing w:after="40"/>
      </w:pPr>
      <w:r>
        <w:rPr>
          <w:sz w:val="19"/>
        </w:rPr>
        <w:t>MySQL</w:t>
      </w:r>
    </w:p>
    <w:p>
      <w:pPr>
        <w:pStyle w:val="ListBullet"/>
        <w:spacing w:after="40"/>
      </w:pPr>
      <w:r>
        <w:rPr>
          <w:sz w:val="19"/>
        </w:rPr>
        <w:t>SQL Server</w:t>
      </w:r>
    </w:p>
    <w:p>
      <w:pPr>
        <w:pStyle w:val="ListBullet"/>
        <w:spacing w:after="40"/>
      </w:pPr>
      <w:r>
        <w:rPr>
          <w:sz w:val="19"/>
        </w:rPr>
        <w:t>Oracle</w:t>
      </w:r>
    </w:p>
    <w:p>
      <w:pPr>
        <w:pStyle w:val="ListBullet"/>
        <w:spacing w:after="40"/>
      </w:pPr>
      <w:r>
        <w:rPr>
          <w:sz w:val="19"/>
        </w:rPr>
        <w:t>MongoDB</w:t>
      </w:r>
    </w:p>
    <w:p>
      <w:pPr>
        <w:pStyle w:val="ListBullet"/>
        <w:spacing w:after="40"/>
      </w:pPr>
      <w:r>
        <w:rPr>
          <w:sz w:val="19"/>
        </w:rPr>
        <w:t>Object Storage (S3 / Azure)</w:t>
      </w:r>
    </w:p>
    <w:p>
      <w:pPr>
        <w:pStyle w:val="SmallNote"/>
      </w:pPr>
      <w:r>
        <w:t>DynamoDB is specified but not implemented.</w:t>
      </w:r>
    </w:p>
    <w:p>
      <w:pPr>
        <w:pStyle w:val="Heading2"/>
      </w:pPr>
      <w:r>
        <w:t>Interfaces</w:t>
      </w:r>
    </w:p>
    <w:p>
      <w:pPr>
        <w:pStyle w:val="Heading3"/>
      </w:pPr>
      <w:r>
        <w:t>Web</w:t>
      </w:r>
    </w:p>
    <w:p>
      <w:pPr>
        <w:pStyle w:val="ListBullet"/>
        <w:spacing w:after="40"/>
      </w:pPr>
      <w:r>
        <w:rPr>
          <w:sz w:val="19"/>
        </w:rPr>
        <w:t>React UI</w:t>
      </w:r>
    </w:p>
    <w:p>
      <w:pPr>
        <w:pStyle w:val="ListBullet"/>
        <w:spacing w:after="40"/>
      </w:pPr>
      <w:r>
        <w:rPr>
          <w:sz w:val="19"/>
        </w:rPr>
        <w:t>REST API</w:t>
      </w:r>
    </w:p>
    <w:p>
      <w:pPr>
        <w:pStyle w:val="ListBullet"/>
        <w:spacing w:after="40"/>
      </w:pPr>
      <w:r>
        <w:rPr>
          <w:sz w:val="19"/>
        </w:rPr>
        <w:t>connector configuration</w:t>
      </w:r>
    </w:p>
    <w:p>
      <w:pPr>
        <w:pStyle w:val="ListBullet"/>
        <w:spacing w:after="40"/>
      </w:pPr>
      <w:r>
        <w:rPr>
          <w:sz w:val="19"/>
        </w:rPr>
        <w:t>graph UI</w:t>
      </w:r>
    </w:p>
    <w:p>
      <w:pPr>
        <w:pStyle w:val="ListBullet"/>
        <w:spacing w:after="40"/>
      </w:pPr>
      <w:r>
        <w:rPr>
          <w:sz w:val="19"/>
        </w:rPr>
        <w:t>asynchronous jobs</w:t>
      </w:r>
    </w:p>
    <w:p>
      <w:pPr>
        <w:pStyle w:val="ListBullet"/>
        <w:spacing w:after="40"/>
      </w:pPr>
      <w:r>
        <w:rPr>
          <w:sz w:val="19"/>
        </w:rPr>
        <w:t>progress through SSE</w:t>
      </w:r>
    </w:p>
    <w:p>
      <w:pPr>
        <w:pStyle w:val="ListBullet"/>
        <w:spacing w:after="40"/>
      </w:pPr>
      <w:r>
        <w:rPr>
          <w:sz w:val="19"/>
        </w:rPr>
        <w:t>PostgreSQL metadata store</w:t>
      </w:r>
    </w:p>
    <w:p>
      <w:pPr>
        <w:pStyle w:val="Heading3"/>
      </w:pPr>
      <w:r>
        <w:t>CLI / Headless</w:t>
      </w:r>
    </w:p>
    <w:p>
      <w:pPr>
        <w:pStyle w:val="CodeBlock"/>
        <w:shd w:fill="F3F5F7"/>
        <w:pBdr>
          <w:left w:val="single" w:sz="14" w:space="4" w:color="8AA1B8"/>
        </w:pBdr>
      </w:pPr>
      <w:r>
        <w:rPr>
          <w:rFonts w:ascii="Liberation Mono" w:hAnsi="Liberation Mono"/>
          <w:sz w:val="16"/>
        </w:rPr>
        <w:t>subsetter-job</w:t>
        <w:br/>
        <w:t>subsetter-discover</w:t>
      </w:r>
    </w:p>
    <w:p>
      <w:r>
        <w:t>YAML-driven configuration; suitable for CI/CD and automation.</w:t>
      </w:r>
    </w:p>
    <w:p>
      <w:pPr>
        <w:pStyle w:val="Heading3"/>
      </w:pPr>
      <w:r>
        <w:t>Kubernetes</w:t>
      </w:r>
    </w:p>
    <w:p>
      <w:pPr>
        <w:pStyle w:val="ListBullet"/>
        <w:spacing w:after="40"/>
      </w:pPr>
      <w:r>
        <w:rPr>
          <w:sz w:val="19"/>
        </w:rPr>
        <w:t>SubsetJob</w:t>
      </w:r>
    </w:p>
    <w:p>
      <w:pPr>
        <w:pStyle w:val="ListBullet"/>
        <w:spacing w:after="40"/>
      </w:pPr>
      <w:r>
        <w:rPr>
          <w:sz w:val="19"/>
        </w:rPr>
        <w:t>DiscoveryJob</w:t>
      </w:r>
    </w:p>
    <w:p>
      <w:r>
        <w:t>The implementation uses controller-runtime and works with Kubernetes Secrets and ConfigMaps.</w:t>
      </w:r>
    </w:p>
    <w:p>
      <w:pPr>
        <w:pStyle w:val="Heading2"/>
      </w:pPr>
      <w:r>
        <w:t>Recommended website copy</w:t>
      </w:r>
    </w:p>
    <w:p>
      <w:pPr>
        <w:spacing w:before="60" w:after="120"/>
        <w:ind w:left="360" w:right="144"/>
        <w:shd w:fill="F6F8FA"/>
      </w:pPr>
      <w:r>
        <w:rPr>
          <w:i/>
          <w:color w:val="132235"/>
          <w:sz w:val="21"/>
        </w:rPr>
        <w:t>Stop copying everything just to test one thing.</w:t>
        <w:br/>
        <w:br/>
        <w:t>Tessera creates smaller, referentially consistent datasets from complex source systems and can apply sensitive-data discovery and masking as part of the extraction workflow.</w:t>
      </w:r>
    </w:p>
    <w:p>
      <w:pPr>
        <w:pStyle w:val="Heading1"/>
      </w:pPr>
      <w:r>
        <w:t>9. Product 4 — CDC &amp; Snapshot</w:t>
      </w:r>
    </w:p>
    <w:p>
      <w:pPr>
        <w:pStyle w:val="SmallNote"/>
      </w:pPr>
      <w:r>
        <w:t>Status: AVAILABLE — HARDENING</w:t>
      </w:r>
    </w:p>
    <w:p>
      <w:pPr>
        <w:pStyle w:val="Heading2"/>
      </w:pPr>
      <w:r>
        <w:t>Website headline</w:t>
      </w:r>
    </w:p>
    <w:p>
      <w:pPr>
        <w:spacing w:before="60" w:after="120"/>
        <w:ind w:left="360" w:right="144"/>
        <w:shd w:fill="F6F8FA"/>
      </w:pPr>
      <w:r>
        <w:rPr>
          <w:i/>
          <w:color w:val="132235"/>
          <w:sz w:val="21"/>
        </w:rPr>
        <w:t>Capture a consistent starting point. Keep up with what changes next.</w:t>
      </w:r>
    </w:p>
    <w:p>
      <w:pPr>
        <w:pStyle w:val="Heading2"/>
      </w:pPr>
      <w:r>
        <w:t>One-line description</w:t>
      </w:r>
    </w:p>
    <w:p>
      <w:r>
        <w:t>Tessera CDC &amp; Snapshot combines a consistent initial snapshot with commit-ordered incremental change capture and writes canonical event data to object storage or filesystem.</w:t>
      </w:r>
    </w:p>
    <w:p>
      <w:pPr>
        <w:pStyle w:val="Heading2"/>
      </w:pPr>
      <w:r>
        <w:t>Critical dependency rule</w:t>
      </w:r>
    </w:p>
    <w:p>
      <w:pPr>
        <w:spacing w:before="60" w:after="120"/>
        <w:ind w:left="360" w:right="144"/>
        <w:shd w:fill="F6F8FA"/>
      </w:pPr>
      <w:r>
        <w:rPr>
          <w:i/>
          <w:color w:val="132235"/>
          <w:sz w:val="21"/>
        </w:rPr>
        <w:t>CDC is an independent capability. It does not require Discovery, Masking or Subsetter.</w:t>
      </w:r>
    </w:p>
    <w:p>
      <w:r>
        <w:t>Depending on the use case, CDC may be used independently or integrated with other Tessera capabilities.</w:t>
      </w:r>
    </w:p>
    <w:p>
      <w:pPr>
        <w:pStyle w:val="Heading2"/>
      </w:pPr>
      <w:r>
        <w:t>Current source support</w:t>
      </w:r>
    </w:p>
    <w:p>
      <w:pPr>
        <w:pStyle w:val="ListBullet"/>
        <w:spacing w:after="40"/>
      </w:pPr>
      <w:r>
        <w:rPr>
          <w:sz w:val="19"/>
        </w:rPr>
        <w:t>PostgreSQL 16+</w:t>
      </w:r>
    </w:p>
    <w:p>
      <w:pPr>
        <w:pStyle w:val="ListBullet"/>
        <w:spacing w:after="40"/>
      </w:pPr>
      <w:r>
        <w:rPr>
          <w:sz w:val="19"/>
        </w:rPr>
        <w:t>MySQL 8+</w:t>
      </w:r>
    </w:p>
    <w:p>
      <w:pPr>
        <w:pStyle w:val="Heading2"/>
      </w:pPr>
      <w:r>
        <w:t>Current destination/output</w:t>
      </w:r>
    </w:p>
    <w:p>
      <w:pPr>
        <w:pStyle w:val="ListBullet"/>
        <w:spacing w:after="40"/>
      </w:pPr>
      <w:r>
        <w:rPr>
          <w:sz w:val="19"/>
        </w:rPr>
        <w:t>canonical JSONL</w:t>
      </w:r>
    </w:p>
    <w:p>
      <w:pPr>
        <w:pStyle w:val="ListBullet"/>
        <w:spacing w:after="40"/>
      </w:pPr>
      <w:r>
        <w:rPr>
          <w:sz w:val="19"/>
        </w:rPr>
        <w:t>Amazon S3</w:t>
      </w:r>
    </w:p>
    <w:p>
      <w:pPr>
        <w:pStyle w:val="ListBullet"/>
        <w:spacing w:after="40"/>
      </w:pPr>
      <w:r>
        <w:rPr>
          <w:sz w:val="19"/>
        </w:rPr>
        <w:t>filesystem</w:t>
      </w:r>
    </w:p>
    <w:p>
      <w:pPr>
        <w:pStyle w:val="Heading2"/>
      </w:pPr>
      <w:r>
        <w:t>Architecture</w:t>
      </w:r>
    </w:p>
    <w:p>
      <w:pPr>
        <w:pStyle w:val="CodeBlock"/>
        <w:shd w:fill="F3F5F7"/>
        <w:pBdr>
          <w:left w:val="single" w:sz="14" w:space="4" w:color="8AA1B8"/>
        </w:pBdr>
      </w:pPr>
      <w:r>
        <w:rPr>
          <w:rFonts w:ascii="Liberation Mono" w:hAnsi="Liberation Mono"/>
          <w:sz w:val="16"/>
        </w:rPr>
        <w:t>PostgreSQL / MySQL</w:t>
        <w:br/>
        <w:t xml:space="preserve">        │</w:t>
        <w:br/>
        <w:t xml:space="preserve">        ▼</w:t>
        <w:br/>
        <w:t xml:space="preserve">    Coordinator</w:t>
        <w:br/>
        <w:t xml:space="preserve">        │</w:t>
        <w:br/>
        <w:t xml:space="preserve">   ┌────┴────┐</w:t>
        <w:br/>
        <w:t xml:space="preserve">   │         │</w:t>
        <w:br/>
        <w:t>Snapshot   Stream</w:t>
        <w:br/>
        <w:t xml:space="preserve">   │         │</w:t>
        <w:br/>
        <w:t xml:space="preserve">   └────┬────┘</w:t>
        <w:br/>
        <w:t xml:space="preserve">        │</w:t>
        <w:br/>
        <w:t xml:space="preserve">        ▼</w:t>
        <w:br/>
        <w:t>Canonical JSONL</w:t>
        <w:br/>
        <w:t xml:space="preserve">        │</w:t>
        <w:br/>
        <w:t xml:space="preserve">        ▼</w:t>
        <w:br/>
        <w:t>S3 / filesystem</w:t>
      </w:r>
    </w:p>
    <w:p>
      <w:pPr>
        <w:pStyle w:val="Heading2"/>
      </w:pPr>
      <w:r>
        <w:t>Core characteristics</w:t>
      </w:r>
    </w:p>
    <w:p>
      <w:pPr>
        <w:pStyle w:val="Heading3"/>
      </w:pPr>
      <w:r>
        <w:t>Coordinated snapshot and stream</w:t>
      </w:r>
    </w:p>
    <w:p>
      <w:r>
        <w:t>The coordinator establishes the boundary between the initial state captured by snapshot and the changes captured after that point. For PostgreSQL, the architecture uses an LSN boundary.</w:t>
      </w:r>
    </w:p>
    <w:p>
      <w:pPr>
        <w:pStyle w:val="Heading3"/>
      </w:pPr>
      <w:r>
        <w:t>MVCC-consistent snapshot</w:t>
      </w:r>
    </w:p>
    <w:p>
      <w:r>
        <w:t>The snapshot provides a consistent view while the source database remains active.</w:t>
      </w:r>
    </w:p>
    <w:p>
      <w:pPr>
        <w:pStyle w:val="Heading3"/>
      </w:pPr>
      <w:r>
        <w:t>Commit ordering</w:t>
      </w:r>
    </w:p>
    <w:p>
      <w:r>
        <w:t>Incremental changes are serialized in commit order.</w:t>
      </w:r>
    </w:p>
    <w:p>
      <w:pPr>
        <w:pStyle w:val="Heading3"/>
      </w:pPr>
      <w:r>
        <w:t>Effectively-once behavior</w:t>
      </w:r>
    </w:p>
    <w:p>
      <w:r>
        <w:t>The design combines at-least-once delivery, deterministic/idempotent writes and storage markers as the source of truth.</w:t>
      </w:r>
    </w:p>
    <w:p>
      <w:pPr>
        <w:pStyle w:val="Heading3"/>
      </w:pPr>
      <w:r>
        <w:t>Canonical serialization</w:t>
      </w:r>
    </w:p>
    <w:p>
      <w:r>
        <w:t>Output is designed to be byte-stable/replay-friendly, including stable field ordering, numeric normalization, ISO-8601 and base64 where required.</w:t>
      </w:r>
    </w:p>
    <w:p>
      <w:pPr>
        <w:pStyle w:val="Heading3"/>
      </w:pPr>
      <w:r>
        <w:t>DDL capture</w:t>
      </w:r>
    </w:p>
    <w:p>
      <w:r>
        <w:t>Events can include CREATE, ALTER and DROP represented as DDL records.</w:t>
      </w:r>
    </w:p>
    <w:p>
      <w:pPr>
        <w:pStyle w:val="Heading3"/>
      </w:pPr>
      <w:r>
        <w:t>Re-snapshot</w:t>
      </w:r>
    </w:p>
    <w:p>
      <w:r>
        <w:t>The platform includes re-snapshot support.</w:t>
      </w:r>
    </w:p>
    <w:p>
      <w:pPr>
        <w:pStyle w:val="Heading2"/>
      </w:pPr>
      <w:r>
        <w:t>Kubernetes</w:t>
      </w:r>
    </w:p>
    <w:p>
      <w:pPr>
        <w:pStyle w:val="ListBullet"/>
        <w:spacing w:after="40"/>
      </w:pPr>
      <w:r>
        <w:rPr>
          <w:sz w:val="19"/>
        </w:rPr>
        <w:t>CaptureSource</w:t>
      </w:r>
    </w:p>
    <w:p>
      <w:pPr>
        <w:pStyle w:val="ListBullet"/>
        <w:spacing w:after="40"/>
      </w:pPr>
      <w:r>
        <w:rPr>
          <w:sz w:val="19"/>
        </w:rPr>
        <w:t>ReSnapshot</w:t>
      </w:r>
    </w:p>
    <w:p>
      <w:pPr>
        <w:pStyle w:val="ListBullet"/>
        <w:spacing w:after="40"/>
      </w:pPr>
      <w:r>
        <w:rPr>
          <w:sz w:val="19"/>
        </w:rPr>
        <w:t>CaptureDestination</w:t>
      </w:r>
    </w:p>
    <w:p>
      <w:pPr>
        <w:pStyle w:val="ListBullet"/>
        <w:spacing w:after="40"/>
      </w:pPr>
      <w:r>
        <w:rPr>
          <w:sz w:val="19"/>
        </w:rPr>
        <w:t>CaptureClass</w:t>
      </w:r>
    </w:p>
    <w:p>
      <w:pPr>
        <w:pStyle w:val="Heading2"/>
      </w:pPr>
      <w:r>
        <w:t>What is still being hardened</w:t>
      </w:r>
    </w:p>
    <w:p>
      <w:pPr>
        <w:pStyle w:val="ListBullet"/>
        <w:spacing w:after="40"/>
      </w:pPr>
      <w:r>
        <w:rPr>
          <w:sz w:val="19"/>
        </w:rPr>
        <w:t>observability metrics</w:t>
      </w:r>
    </w:p>
    <w:p>
      <w:pPr>
        <w:pStyle w:val="ListBullet"/>
        <w:spacing w:after="40"/>
      </w:pPr>
      <w:r>
        <w:rPr>
          <w:sz w:val="19"/>
        </w:rPr>
        <w:t>per-operation timeouts</w:t>
      </w:r>
    </w:p>
    <w:p>
      <w:pPr>
        <w:pStyle w:val="ListBullet"/>
        <w:spacing w:after="40"/>
      </w:pPr>
      <w:r>
        <w:rPr>
          <w:sz w:val="19"/>
        </w:rPr>
        <w:t>MySQL CI parity</w:t>
      </w:r>
    </w:p>
    <w:p>
      <w:pPr>
        <w:pStyle w:val="ListBullet"/>
        <w:spacing w:after="40"/>
      </w:pPr>
      <w:r>
        <w:rPr>
          <w:sz w:val="19"/>
        </w:rPr>
        <w:t>further operational hardening</w:t>
      </w:r>
    </w:p>
    <w:p>
      <w:pPr>
        <w:pStyle w:val="Heading2"/>
      </w:pPr>
      <w:r>
        <w:t>Recommended website copy</w:t>
      </w:r>
    </w:p>
    <w:p>
      <w:pPr>
        <w:spacing w:before="60" w:after="120"/>
        <w:ind w:left="360" w:right="144"/>
        <w:shd w:fill="F6F8FA"/>
      </w:pPr>
      <w:r>
        <w:rPr>
          <w:i/>
          <w:color w:val="132235"/>
          <w:sz w:val="21"/>
        </w:rPr>
        <w:t>Continuous database change capture without requiring a full event-streaming stack.</w:t>
        <w:br/>
        <w:br/>
        <w:t>Tessera coordinates an initial consistent snapshot with incremental change capture and writes replayable canonical events to S3 or filesystem for migration, engineering and data-platform workflows.</w:t>
      </w:r>
    </w:p>
    <w:p>
      <w:pPr>
        <w:pStyle w:val="Heading2"/>
      </w:pPr>
      <w:r>
        <w:t>Claim limitations</w:t>
      </w:r>
    </w:p>
    <w:p>
      <w:r>
        <w:t>Do not claim that Tessera currently provides:</w:t>
      </w:r>
    </w:p>
    <w:p>
      <w:pPr>
        <w:pStyle w:val="ListBullet"/>
        <w:spacing w:after="40"/>
      </w:pPr>
      <w:r>
        <w:rPr>
          <w:sz w:val="19"/>
        </w:rPr>
        <w:t>a universal target-side database applier</w:t>
      </w:r>
    </w:p>
    <w:p>
      <w:pPr>
        <w:pStyle w:val="ListBullet"/>
        <w:spacing w:after="40"/>
      </w:pPr>
      <w:r>
        <w:rPr>
          <w:sz w:val="19"/>
        </w:rPr>
        <w:t>generic automatic database-to-database migration</w:t>
      </w:r>
    </w:p>
    <w:p>
      <w:pPr>
        <w:pStyle w:val="ListBullet"/>
        <w:spacing w:after="40"/>
      </w:pPr>
      <w:r>
        <w:rPr>
          <w:sz w:val="19"/>
        </w:rPr>
        <w:t>a complete synchronized clone environment for every engine</w:t>
      </w:r>
    </w:p>
    <w:p>
      <w:pPr>
        <w:pStyle w:val="Heading1"/>
      </w:pPr>
      <w:r>
        <w:t>10. Product 5 — Database Operator / Data Environment Lifecycle</w:t>
      </w:r>
    </w:p>
    <w:p>
      <w:pPr>
        <w:pStyle w:val="SmallNote"/>
      </w:pPr>
      <w:r>
        <w:t>Status: ROADMAP / PLANNED — NOT CURRENTLY AVAILABLE</w:t>
      </w:r>
    </w:p>
    <w:p>
      <w:pPr>
        <w:pStyle w:val="Heading2"/>
      </w:pPr>
      <w:r>
        <w:t>Recommended headline</w:t>
      </w:r>
    </w:p>
    <w:p>
      <w:pPr>
        <w:spacing w:before="60" w:after="120"/>
        <w:ind w:left="360" w:right="144"/>
        <w:shd w:fill="F6F8FA"/>
      </w:pPr>
      <w:r>
        <w:rPr>
          <w:i/>
          <w:color w:val="132235"/>
          <w:sz w:val="21"/>
        </w:rPr>
        <w:t>An isolated data environment for every developer, pipeline and agent.</w:t>
      </w:r>
    </w:p>
    <w:p>
      <w:pPr>
        <w:pStyle w:val="Heading2"/>
      </w:pPr>
      <w:r>
        <w:t>Vision</w:t>
      </w:r>
    </w:p>
    <w:p>
      <w:r>
        <w:t>The planned lifecycle layer is intended to manage non-production database replicas and isolated environments through Kubernetes.</w:t>
      </w:r>
    </w:p>
    <w:p>
      <w:pPr>
        <w:pStyle w:val="CodeBlock"/>
        <w:shd w:fill="F3F5F7"/>
        <w:pBdr>
          <w:left w:val="single" w:sz="14" w:space="4" w:color="8AA1B8"/>
        </w:pBdr>
      </w:pPr>
      <w:r>
        <w:rPr>
          <w:rFonts w:ascii="Liberation Mono" w:hAnsi="Liberation Mono"/>
          <w:sz w:val="16"/>
        </w:rPr>
        <w:t>Production sources</w:t>
        <w:br/>
        <w:t xml:space="preserve">        │</w:t>
        <w:br/>
        <w:t xml:space="preserve">        ▼</w:t>
        <w:br/>
        <w:t>Subsetter OR CDC</w:t>
        <w:br/>
        <w:t>(masked or unmasked depending on use case)</w:t>
        <w:br/>
        <w:t xml:space="preserve">        │</w:t>
        <w:br/>
        <w:t xml:space="preserve">        ▼</w:t>
        <w:br/>
        <w:t>Intermediate non-production replica</w:t>
        <w:br/>
        <w:t xml:space="preserve">        │</w:t>
        <w:br/>
        <w:t xml:space="preserve">        ▼</w:t>
        <w:br/>
        <w:t xml:space="preserve">      Clones</w:t>
        <w:br/>
        <w:t xml:space="preserve">   ┌────┼────┐</w:t>
        <w:br/>
        <w:t xml:space="preserve">   │    │    │</w:t>
        <w:br/>
        <w:t xml:space="preserve"> Dev   Test  AI</w:t>
      </w:r>
    </w:p>
    <w:p>
      <w:pPr>
        <w:pStyle w:val="Heading2"/>
      </w:pPr>
      <w:r>
        <w:t>Planned lifecycle operations</w:t>
      </w:r>
    </w:p>
    <w:p>
      <w:pPr>
        <w:pStyle w:val="ListBullet"/>
        <w:spacing w:after="40"/>
      </w:pPr>
      <w:r>
        <w:rPr>
          <w:sz w:val="19"/>
        </w:rPr>
        <w:t>provision</w:t>
      </w:r>
    </w:p>
    <w:p>
      <w:pPr>
        <w:pStyle w:val="ListBullet"/>
        <w:spacing w:after="40"/>
      </w:pPr>
      <w:r>
        <w:rPr>
          <w:sz w:val="19"/>
        </w:rPr>
        <w:t>refresh</w:t>
      </w:r>
    </w:p>
    <w:p>
      <w:pPr>
        <w:pStyle w:val="ListBullet"/>
        <w:spacing w:after="40"/>
      </w:pPr>
      <w:r>
        <w:rPr>
          <w:sz w:val="19"/>
        </w:rPr>
        <w:t>snapshot</w:t>
      </w:r>
    </w:p>
    <w:p>
      <w:pPr>
        <w:pStyle w:val="ListBullet"/>
        <w:spacing w:after="40"/>
      </w:pPr>
      <w:r>
        <w:rPr>
          <w:sz w:val="19"/>
        </w:rPr>
        <w:t>rollback</w:t>
      </w:r>
    </w:p>
    <w:p>
      <w:pPr>
        <w:pStyle w:val="Heading2"/>
      </w:pPr>
      <w:r>
        <w:t>Planned storage direction</w:t>
      </w:r>
    </w:p>
    <w:p>
      <w:pPr>
        <w:pStyle w:val="ListBullet"/>
        <w:spacing w:after="40"/>
      </w:pPr>
      <w:r>
        <w:rPr>
          <w:sz w:val="19"/>
        </w:rPr>
        <w:t>block storage</w:t>
      </w:r>
    </w:p>
    <w:p>
      <w:pPr>
        <w:pStyle w:val="ListBullet"/>
        <w:spacing w:after="40"/>
      </w:pPr>
      <w:r>
        <w:rPr>
          <w:sz w:val="19"/>
        </w:rPr>
        <w:t>Amazon EFS</w:t>
      </w:r>
    </w:p>
    <w:p>
      <w:pPr>
        <w:pStyle w:val="ListBullet"/>
        <w:spacing w:after="40"/>
      </w:pPr>
      <w:r>
        <w:rPr>
          <w:sz w:val="19"/>
        </w:rPr>
        <w:t>OCI ZFS appliance</w:t>
      </w:r>
    </w:p>
    <w:p>
      <w:pPr>
        <w:pStyle w:val="ListBullet"/>
        <w:spacing w:after="40"/>
      </w:pPr>
      <w:r>
        <w:rPr>
          <w:sz w:val="19"/>
        </w:rPr>
        <w:t>extensible storage integration</w:t>
      </w:r>
    </w:p>
    <w:p>
      <w:pPr>
        <w:pStyle w:val="Heading2"/>
      </w:pPr>
      <w:r>
        <w:t>Strategic architecture note</w:t>
      </w:r>
    </w:p>
    <w:p>
      <w:r>
        <w:t>Tessera does not necessarily need to replace mature database-specific operators. A potential strategic direction is to become the data-environment control plane above database/storage mechanisms. This is a strategic direction and must not be presented as implemented functionality.</w:t>
      </w:r>
    </w:p>
    <w:p>
      <w:pPr>
        <w:pStyle w:val="Heading1"/>
      </w:pPr>
      <w:r>
        <w:t>11. Platform architecture — correct website view</w:t>
      </w:r>
    </w:p>
    <w:p>
      <w:pPr>
        <w:pStyle w:val="CodeBlock"/>
        <w:shd w:fill="F3F5F7"/>
        <w:pBdr>
          <w:left w:val="single" w:sz="14" w:space="4" w:color="8AA1B8"/>
        </w:pBdr>
      </w:pPr>
      <w:r>
        <w:rPr>
          <w:rFonts w:ascii="Liberation Mono" w:hAnsi="Liberation Mono"/>
          <w:sz w:val="16"/>
        </w:rPr>
        <w:t xml:space="preserve">                                DATA SOURCES</w:t>
        <w:br/>
        <w:t xml:space="preserve">                    ┌──────────────┼───────────────┐</w:t>
        <w:br/>
        <w:t xml:space="preserve">                    │              │               │</w:t>
        <w:br/>
        <w:t xml:space="preserve">                    ▼              ▼               ▼</w:t>
        <w:br/>
        <w:t xml:space="preserve">              DISCOVERY        SUBSETTER      CDC &amp; SNAPSHOT</w:t>
        <w:br/>
        <w:t xml:space="preserve">              reusable          data            data</w:t>
        <w:br/>
        <w:t xml:space="preserve">              framework         producer         producer</w:t>
        <w:br/>
        <w:t xml:space="preserve">                    │              │               │</w:t>
        <w:br/>
        <w:t xml:space="preserve">                    │              │               └──&gt; JSONL / S3 / FS</w:t>
        <w:br/>
        <w:t xml:space="preserve">                    │              │</w:t>
        <w:br/>
        <w:t xml:space="preserve">                    ▼              └──&gt; Subset datasets</w:t>
        <w:br/>
        <w:t xml:space="preserve">               Inventory</w:t>
        <w:br/>
        <w:t xml:space="preserve">                    │</w:t>
        <w:br/>
        <w:t xml:space="preserve">                    ▼</w:t>
        <w:br/>
        <w:t xml:space="preserve">                MASKING</w:t>
        <w:br/>
        <w:t xml:space="preserve">              reusable framework</w:t>
        <w:br/>
        <w:t xml:space="preserve">                    │</w:t>
        <w:br/>
        <w:t xml:space="preserve">                    └──&gt; can be used by compatible workflows</w:t>
        <w:br/>
        <w:br/>
        <w:t>Future orchestration:</w:t>
        <w:br/>
        <w:t>Subsetter output OR CDC-based replica</w:t>
        <w:br/>
        <w:t xml:space="preserve">                    ↓</w:t>
        <w:br/>
        <w:t xml:space="preserve">        DATA ENVIRONMENT LIFECYCLE</w:t>
        <w:br/>
        <w:t xml:space="preserve">                    ↓</w:t>
        <w:br/>
        <w:t xml:space="preserve">     Dev / QA / Data / Analytics / AI</w:t>
      </w:r>
    </w:p>
    <w:p>
      <w:r>
        <w:t>The homepage can simplify this into modular capability cards. The Architecture page should preserve the independence and optional integration relationships.</w:t>
      </w:r>
    </w:p>
    <w:p>
      <w:pPr>
        <w:pStyle w:val="Heading1"/>
      </w:pPr>
      <w:r>
        <w:t>12. Primary website use cases</w:t>
      </w:r>
    </w:p>
    <w:p>
      <w:pPr>
        <w:pStyle w:val="Heading1"/>
      </w:pPr>
      <w:r>
        <w:t>13. Use Case — Secure Test Data</w:t>
      </w:r>
    </w:p>
    <w:p>
      <w:pPr>
        <w:spacing w:before="60" w:after="120"/>
        <w:ind w:left="360" w:right="144"/>
        <w:shd w:fill="F6F8FA"/>
      </w:pPr>
      <w:r>
        <w:rPr>
          <w:i/>
          <w:color w:val="132235"/>
          <w:sz w:val="21"/>
        </w:rPr>
        <w:t>Production-like test data without production exposure.</w:t>
      </w:r>
    </w:p>
    <w:p>
      <w:pPr>
        <w:pStyle w:val="ListBullet"/>
        <w:spacing w:after="40"/>
      </w:pPr>
      <w:r>
        <w:rPr>
          <w:sz w:val="19"/>
        </w:rPr>
        <w:t>Smaller datasets</w:t>
      </w:r>
    </w:p>
    <w:p>
      <w:pPr>
        <w:pStyle w:val="ListBullet"/>
        <w:spacing w:after="40"/>
      </w:pPr>
      <w:r>
        <w:rPr>
          <w:sz w:val="19"/>
        </w:rPr>
        <w:t>Referential integrity</w:t>
      </w:r>
    </w:p>
    <w:p>
      <w:pPr>
        <w:pStyle w:val="ListBullet"/>
        <w:spacing w:after="40"/>
      </w:pPr>
      <w:r>
        <w:rPr>
          <w:sz w:val="19"/>
        </w:rPr>
        <w:t>Reduced sensitive-data exposure</w:t>
      </w:r>
    </w:p>
    <w:p>
      <w:pPr>
        <w:pStyle w:val="ListBullet"/>
        <w:spacing w:after="40"/>
      </w:pPr>
      <w:r>
        <w:rPr>
          <w:sz w:val="19"/>
        </w:rPr>
        <w:t>Repeatability</w:t>
      </w:r>
    </w:p>
    <w:p>
      <w:pPr>
        <w:pStyle w:val="ListBullet"/>
        <w:spacing w:after="40"/>
      </w:pPr>
      <w:r>
        <w:rPr>
          <w:sz w:val="19"/>
        </w:rPr>
        <w:t>Pipeline automation</w:t>
      </w:r>
    </w:p>
    <w:p>
      <w:pPr>
        <w:pStyle w:val="Heading1"/>
      </w:pPr>
      <w:r>
        <w:t>14. Use Case — Data Engineering Sandbox</w:t>
      </w:r>
    </w:p>
    <w:p>
      <w:pPr>
        <w:spacing w:before="60" w:after="120"/>
        <w:ind w:left="360" w:right="144"/>
        <w:shd w:fill="F6F8FA"/>
      </w:pPr>
      <w:r>
        <w:rPr>
          <w:i/>
          <w:color w:val="132235"/>
          <w:sz w:val="21"/>
        </w:rPr>
        <w:t>Build pipelines against realistic data without touching production.</w:t>
      </w:r>
    </w:p>
    <w:p>
      <w:pPr>
        <w:pStyle w:val="ListBullet"/>
        <w:spacing w:after="40"/>
      </w:pPr>
      <w:r>
        <w:rPr>
          <w:sz w:val="19"/>
        </w:rPr>
        <w:t>Ingestion development</w:t>
      </w:r>
    </w:p>
    <w:p>
      <w:pPr>
        <w:pStyle w:val="ListBullet"/>
        <w:spacing w:after="40"/>
      </w:pPr>
      <w:r>
        <w:rPr>
          <w:sz w:val="19"/>
        </w:rPr>
        <w:t>Transformation testing</w:t>
      </w:r>
    </w:p>
    <w:p>
      <w:pPr>
        <w:pStyle w:val="ListBullet"/>
        <w:spacing w:after="40"/>
      </w:pPr>
      <w:r>
        <w:rPr>
          <w:sz w:val="19"/>
        </w:rPr>
        <w:t>Data contracts</w:t>
      </w:r>
    </w:p>
    <w:p>
      <w:pPr>
        <w:pStyle w:val="ListBullet"/>
        <w:spacing w:after="40"/>
      </w:pPr>
      <w:r>
        <w:rPr>
          <w:sz w:val="19"/>
        </w:rPr>
        <w:t>Data Quality rule development</w:t>
      </w:r>
    </w:p>
    <w:p>
      <w:pPr>
        <w:pStyle w:val="ListBullet"/>
        <w:spacing w:after="40"/>
      </w:pPr>
      <w:r>
        <w:rPr>
          <w:sz w:val="19"/>
        </w:rPr>
        <w:t>Performance testing</w:t>
      </w:r>
    </w:p>
    <w:p>
      <w:pPr>
        <w:pStyle w:val="ListBullet"/>
        <w:spacing w:after="40"/>
      </w:pPr>
      <w:r>
        <w:rPr>
          <w:sz w:val="19"/>
        </w:rPr>
        <w:t>Schema validation</w:t>
      </w:r>
    </w:p>
    <w:p>
      <w:pPr>
        <w:pStyle w:val="ListBullet"/>
        <w:spacing w:after="40"/>
      </w:pPr>
      <w:r>
        <w:rPr>
          <w:sz w:val="19"/>
        </w:rPr>
        <w:t>New data-product development</w:t>
      </w:r>
    </w:p>
    <w:p>
      <w:pPr>
        <w:spacing w:before="60" w:after="120"/>
        <w:ind w:left="360" w:right="144"/>
        <w:shd w:fill="F6F8FA"/>
      </w:pPr>
      <w:r>
        <w:rPr>
          <w:i/>
          <w:color w:val="132235"/>
          <w:sz w:val="21"/>
        </w:rPr>
        <w:t>Tessera does not fix bad source-data quality. It provides a safer environment in which teams can observe realistic source behavior and build/test their data logic.</w:t>
      </w:r>
    </w:p>
    <w:p>
      <w:pPr>
        <w:pStyle w:val="Heading1"/>
      </w:pPr>
      <w:r>
        <w:t>15. Use Case — Incident Reproduction</w:t>
      </w:r>
    </w:p>
    <w:p>
      <w:pPr>
        <w:spacing w:before="60" w:after="120"/>
        <w:ind w:left="360" w:right="144"/>
        <w:shd w:fill="F6F8FA"/>
      </w:pPr>
      <w:r>
        <w:rPr>
          <w:i/>
          <w:color w:val="132235"/>
          <w:sz w:val="21"/>
        </w:rPr>
        <w:t>Turn production incidents into reproducible test scenarios.</w:t>
      </w:r>
    </w:p>
    <w:p>
      <w:pPr>
        <w:pStyle w:val="ListBullet"/>
        <w:spacing w:after="40"/>
      </w:pPr>
      <w:r>
        <w:rPr>
          <w:sz w:val="19"/>
        </w:rPr>
        <w:t>Lower time to reproduce</w:t>
      </w:r>
    </w:p>
    <w:p>
      <w:pPr>
        <w:pStyle w:val="ListBullet"/>
        <w:spacing w:after="40"/>
      </w:pPr>
      <w:r>
        <w:rPr>
          <w:sz w:val="19"/>
        </w:rPr>
        <w:t>Lower production access</w:t>
      </w:r>
    </w:p>
    <w:p>
      <w:pPr>
        <w:pStyle w:val="ListBullet"/>
        <w:spacing w:after="40"/>
      </w:pPr>
      <w:r>
        <w:rPr>
          <w:sz w:val="19"/>
        </w:rPr>
        <w:t>More reliable regression testing</w:t>
      </w:r>
    </w:p>
    <w:p>
      <w:pPr>
        <w:pStyle w:val="ListBullet"/>
        <w:spacing w:after="40"/>
      </w:pPr>
      <w:r>
        <w:rPr>
          <w:sz w:val="19"/>
        </w:rPr>
        <w:t>Lower MTTR</w:t>
      </w:r>
    </w:p>
    <w:p>
      <w:pPr>
        <w:pStyle w:val="Heading1"/>
      </w:pPr>
      <w:r>
        <w:t>16. Use Case — Migration &amp; Modernization</w:t>
      </w:r>
    </w:p>
    <w:p>
      <w:pPr>
        <w:spacing w:before="60" w:after="120"/>
        <w:ind w:left="360" w:right="144"/>
        <w:shd w:fill="F6F8FA"/>
      </w:pPr>
      <w:r>
        <w:rPr>
          <w:i/>
          <w:color w:val="132235"/>
          <w:sz w:val="21"/>
        </w:rPr>
        <w:t>Keep data moving while your platform changes.</w:t>
      </w:r>
    </w:p>
    <w:p>
      <w:pPr>
        <w:pStyle w:val="ListBullet"/>
        <w:spacing w:after="40"/>
      </w:pPr>
      <w:r>
        <w:rPr>
          <w:sz w:val="19"/>
        </w:rPr>
        <w:t>On-premises to cloud</w:t>
      </w:r>
    </w:p>
    <w:p>
      <w:pPr>
        <w:pStyle w:val="ListBullet"/>
        <w:spacing w:after="40"/>
      </w:pPr>
      <w:r>
        <w:rPr>
          <w:sz w:val="19"/>
        </w:rPr>
        <w:t>Database modernization</w:t>
      </w:r>
    </w:p>
    <w:p>
      <w:pPr>
        <w:pStyle w:val="ListBullet"/>
        <w:spacing w:after="40"/>
      </w:pPr>
      <w:r>
        <w:rPr>
          <w:sz w:val="19"/>
        </w:rPr>
        <w:t>ERP modernization</w:t>
      </w:r>
    </w:p>
    <w:p>
      <w:pPr>
        <w:pStyle w:val="ListBullet"/>
        <w:spacing w:after="40"/>
      </w:pPr>
      <w:r>
        <w:rPr>
          <w:sz w:val="19"/>
        </w:rPr>
        <w:t>Application replatforming</w:t>
      </w:r>
    </w:p>
    <w:p>
      <w:pPr>
        <w:pStyle w:val="ListBullet"/>
        <w:spacing w:after="40"/>
      </w:pPr>
      <w:r>
        <w:rPr>
          <w:sz w:val="19"/>
        </w:rPr>
        <w:t>Lakehouse ingestion</w:t>
      </w:r>
    </w:p>
    <w:p>
      <w:pPr>
        <w:pStyle w:val="ListBullet"/>
        <w:spacing w:after="40"/>
      </w:pPr>
      <w:r>
        <w:rPr>
          <w:sz w:val="19"/>
        </w:rPr>
        <w:t>Legacy decommissioning</w:t>
      </w:r>
    </w:p>
    <w:p>
      <w:pPr>
        <w:pStyle w:val="ListBullet"/>
        <w:spacing w:after="40"/>
      </w:pPr>
      <w:r>
        <w:rPr>
          <w:sz w:val="19"/>
        </w:rPr>
        <w:t>Repeated migration testing</w:t>
      </w:r>
    </w:p>
    <w:p>
      <w:pPr>
        <w:spacing w:before="60" w:after="120"/>
        <w:ind w:left="360" w:right="144"/>
        <w:shd w:fill="F6F8FA"/>
      </w:pPr>
      <w:r>
        <w:rPr>
          <w:i/>
          <w:color w:val="132235"/>
          <w:sz w:val="21"/>
        </w:rPr>
        <w:t>Do not say: 'Tessera automatically migrates any database to any target.' A generic target-side applier is not currently established.</w:t>
      </w:r>
    </w:p>
    <w:p>
      <w:pPr>
        <w:pStyle w:val="Heading1"/>
      </w:pPr>
      <w:r>
        <w:t>17. Use Case — Analytics Sandbox</w:t>
      </w:r>
    </w:p>
    <w:p>
      <w:pPr>
        <w:spacing w:before="60" w:after="120"/>
        <w:ind w:left="360" w:right="144"/>
        <w:shd w:fill="F6F8FA"/>
      </w:pPr>
      <w:r>
        <w:rPr>
          <w:i/>
          <w:color w:val="132235"/>
          <w:sz w:val="21"/>
        </w:rPr>
        <w:t>Give analysts realistic data, not direct production access.</w:t>
      </w:r>
    </w:p>
    <w:p>
      <w:pPr>
        <w:pStyle w:val="ListBullet"/>
        <w:spacing w:after="40"/>
      </w:pPr>
      <w:r>
        <w:rPr>
          <w:sz w:val="19"/>
        </w:rPr>
        <w:t>Exploration</w:t>
      </w:r>
    </w:p>
    <w:p>
      <w:pPr>
        <w:pStyle w:val="ListBullet"/>
        <w:spacing w:after="40"/>
      </w:pPr>
      <w:r>
        <w:rPr>
          <w:sz w:val="19"/>
        </w:rPr>
        <w:t>Prototyping</w:t>
      </w:r>
    </w:p>
    <w:p>
      <w:pPr>
        <w:pStyle w:val="ListBullet"/>
        <w:spacing w:after="40"/>
      </w:pPr>
      <w:r>
        <w:rPr>
          <w:sz w:val="19"/>
        </w:rPr>
        <w:t>Analytical development</w:t>
      </w:r>
    </w:p>
    <w:p>
      <w:pPr>
        <w:pStyle w:val="ListBullet"/>
        <w:spacing w:after="40"/>
      </w:pPr>
      <w:r>
        <w:rPr>
          <w:sz w:val="19"/>
        </w:rPr>
        <w:t>Metric testing</w:t>
      </w:r>
    </w:p>
    <w:p>
      <w:pPr>
        <w:pStyle w:val="ListBullet"/>
        <w:spacing w:after="40"/>
      </w:pPr>
      <w:r>
        <w:rPr>
          <w:sz w:val="19"/>
        </w:rPr>
        <w:t>Investigation</w:t>
      </w:r>
    </w:p>
    <w:p>
      <w:r>
        <w:t>Tessera is not a replacement for data catalogs, semantic layers or enterprise data-governance products.</w:t>
      </w:r>
    </w:p>
    <w:p>
      <w:pPr>
        <w:pStyle w:val="Heading1"/>
      </w:pPr>
      <w:r>
        <w:t>18. Use Case — Security &amp; Privacy</w:t>
      </w:r>
    </w:p>
    <w:p>
      <w:pPr>
        <w:spacing w:before="60" w:after="120"/>
        <w:ind w:left="360" w:right="144"/>
        <w:shd w:fill="F6F8FA"/>
      </w:pPr>
      <w:r>
        <w:rPr>
          <w:i/>
          <w:color w:val="132235"/>
          <w:sz w:val="21"/>
        </w:rPr>
        <w:t>Reduce sensitive-data exposure outside production.</w:t>
      </w:r>
    </w:p>
    <w:p>
      <w:pPr>
        <w:pStyle w:val="ListBullet"/>
        <w:spacing w:after="40"/>
      </w:pPr>
      <w:r>
        <w:rPr>
          <w:sz w:val="19"/>
        </w:rPr>
        <w:t>Sensitive-data Discovery</w:t>
      </w:r>
    </w:p>
    <w:p>
      <w:pPr>
        <w:pStyle w:val="ListBullet"/>
        <w:spacing w:after="40"/>
      </w:pPr>
      <w:r>
        <w:rPr>
          <w:sz w:val="19"/>
        </w:rPr>
        <w:t>Deterministic Masking</w:t>
      </w:r>
    </w:p>
    <w:p>
      <w:pPr>
        <w:pStyle w:val="ListBullet"/>
        <w:spacing w:after="40"/>
      </w:pPr>
      <w:r>
        <w:rPr>
          <w:sz w:val="19"/>
        </w:rPr>
        <w:t>Subsetting / data minimization</w:t>
      </w:r>
    </w:p>
    <w:p>
      <w:pPr>
        <w:pStyle w:val="ListBullet"/>
        <w:spacing w:after="40"/>
      </w:pPr>
      <w:r>
        <w:rPr>
          <w:sz w:val="19"/>
        </w:rPr>
        <w:t>Safe dataset delivery</w:t>
      </w:r>
    </w:p>
    <w:p>
      <w:pPr>
        <w:spacing w:before="60" w:after="120"/>
        <w:ind w:left="360" w:right="144"/>
        <w:shd w:fill="F6F8FA"/>
      </w:pPr>
      <w:r>
        <w:rPr>
          <w:i/>
          <w:color w:val="132235"/>
          <w:sz w:val="21"/>
        </w:rPr>
        <w:t>Support privacy-by-design practices by reducing unnecessary exposure of sensitive data in non-production workflows.</w:t>
      </w:r>
    </w:p>
    <w:p>
      <w:pPr>
        <w:pStyle w:val="Heading1"/>
      </w:pPr>
      <w:r>
        <w:t>19. Use Case — AI-Assisted Engineering</w:t>
      </w:r>
    </w:p>
    <w:p>
      <w:pPr>
        <w:spacing w:before="60" w:after="120"/>
        <w:ind w:left="360" w:right="144"/>
        <w:shd w:fill="F6F8FA"/>
      </w:pPr>
      <w:r>
        <w:rPr>
          <w:i/>
          <w:color w:val="132235"/>
          <w:sz w:val="21"/>
        </w:rPr>
        <w:t>Give AI-assisted engineering realistic data without giving it production access.</w:t>
      </w:r>
    </w:p>
    <w:p>
      <w:pPr>
        <w:pStyle w:val="ListBullet"/>
        <w:spacing w:after="40"/>
      </w:pPr>
      <w:r>
        <w:rPr>
          <w:sz w:val="19"/>
        </w:rPr>
        <w:t>Smaller realistic datasets</w:t>
      </w:r>
    </w:p>
    <w:p>
      <w:pPr>
        <w:pStyle w:val="ListBullet"/>
        <w:spacing w:after="40"/>
      </w:pPr>
      <w:r>
        <w:rPr>
          <w:sz w:val="19"/>
        </w:rPr>
        <w:t>Masked sensitive data</w:t>
      </w:r>
    </w:p>
    <w:p>
      <w:pPr>
        <w:pStyle w:val="ListBullet"/>
        <w:spacing w:after="40"/>
      </w:pPr>
      <w:r>
        <w:rPr>
          <w:sz w:val="19"/>
        </w:rPr>
        <w:t>Reproducible inputs</w:t>
      </w:r>
    </w:p>
    <w:p>
      <w:pPr>
        <w:pStyle w:val="ListBullet"/>
        <w:spacing w:after="40"/>
      </w:pPr>
      <w:r>
        <w:rPr>
          <w:sz w:val="19"/>
        </w:rPr>
        <w:t>Database changes through CDC</w:t>
      </w:r>
    </w:p>
    <w:p>
      <w:pPr>
        <w:pStyle w:val="ListBullet"/>
        <w:spacing w:after="40"/>
      </w:pPr>
      <w:r>
        <w:rPr>
          <w:sz w:val="19"/>
        </w:rPr>
        <w:t>Future isolated data environments</w:t>
      </w:r>
    </w:p>
    <w:p>
      <w:pPr>
        <w:spacing w:before="60" w:after="120"/>
        <w:ind w:left="360" w:right="144"/>
        <w:shd w:fill="F6F8FA"/>
      </w:pPr>
      <w:r>
        <w:rPr>
          <w:i/>
          <w:color w:val="132235"/>
          <w:sz w:val="21"/>
        </w:rPr>
        <w:t>AI is a consumer of Tessera data environments, not the product category itself.</w:t>
      </w:r>
    </w:p>
    <w:p>
      <w:pPr>
        <w:pStyle w:val="Heading1"/>
      </w:pPr>
      <w:r>
        <w:t>20. Target personas</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DCE6F1"/>
            <w:vAlign w:val="center"/>
            <w:tcMar>
              <w:top w:w="60" w:type="dxa"/>
              <w:start w:w="70" w:type="dxa"/>
              <w:bottom w:w="60" w:type="dxa"/>
              <w:end w:w="70" w:type="dxa"/>
            </w:tcMar>
          </w:tcPr>
          <w:p>
            <w:r>
              <w:rPr>
                <w:b/>
                <w:color w:val="132235"/>
                <w:sz w:val="17"/>
              </w:rPr>
              <w:t>Persona</w:t>
            </w:r>
          </w:p>
        </w:tc>
        <w:tc>
          <w:tcPr>
            <w:tcW w:type="dxa" w:w="4608"/>
            <w:shd w:fill="DCE6F1"/>
            <w:vAlign w:val="center"/>
            <w:tcMar>
              <w:top w:w="60" w:type="dxa"/>
              <w:start w:w="70" w:type="dxa"/>
              <w:bottom w:w="60" w:type="dxa"/>
              <w:end w:w="70" w:type="dxa"/>
            </w:tcMar>
          </w:tcPr>
          <w:p>
            <w:r>
              <w:rPr>
                <w:b/>
                <w:color w:val="132235"/>
                <w:sz w:val="17"/>
              </w:rPr>
              <w:t>Typical Problems</w:t>
            </w:r>
          </w:p>
        </w:tc>
        <w:tc>
          <w:tcPr>
            <w:tcW w:type="dxa" w:w="3384"/>
            <w:shd w:fill="DCE6F1"/>
            <w:vAlign w:val="center"/>
            <w:tcMar>
              <w:top w:w="60" w:type="dxa"/>
              <w:start w:w="70" w:type="dxa"/>
              <w:bottom w:w="60" w:type="dxa"/>
              <w:end w:w="70" w:type="dxa"/>
            </w:tcMar>
          </w:tcPr>
          <w:p>
            <w:r>
              <w:rPr>
                <w:b/>
                <w:color w:val="132235"/>
                <w:sz w:val="17"/>
              </w:rPr>
              <w:t>Relevant Tessera Capabilities</w:t>
            </w:r>
          </w:p>
        </w:tc>
      </w:tr>
      <w:tr>
        <w:tc>
          <w:tcPr>
            <w:tcW w:type="dxa" w:w="1944"/>
            <w:vAlign w:val="top"/>
            <w:tcMar>
              <w:top w:w="55" w:type="dxa"/>
              <w:start w:w="65" w:type="dxa"/>
              <w:bottom w:w="55" w:type="dxa"/>
              <w:end w:w="65" w:type="dxa"/>
            </w:tcMar>
          </w:tcPr>
          <w:p>
            <w:r>
              <w:rPr>
                <w:sz w:val="17"/>
              </w:rPr>
              <w:t>Software Engineering</w:t>
            </w:r>
          </w:p>
        </w:tc>
        <w:tc>
          <w:tcPr>
            <w:tcW w:type="dxa" w:w="4608"/>
            <w:vAlign w:val="top"/>
            <w:tcMar>
              <w:top w:w="55" w:type="dxa"/>
              <w:start w:w="65" w:type="dxa"/>
              <w:bottom w:w="55" w:type="dxa"/>
              <w:end w:w="65" w:type="dxa"/>
            </w:tcMar>
          </w:tcPr>
          <w:p>
            <w:r>
              <w:rPr>
                <w:sz w:val="17"/>
              </w:rPr>
              <w:t>Waiting for test data; shared QA state; poor mocks; difficult incident reproduction</w:t>
            </w:r>
          </w:p>
        </w:tc>
        <w:tc>
          <w:tcPr>
            <w:tcW w:type="dxa" w:w="3384"/>
            <w:vAlign w:val="top"/>
            <w:tcMar>
              <w:top w:w="55" w:type="dxa"/>
              <w:start w:w="65" w:type="dxa"/>
              <w:bottom w:w="55" w:type="dxa"/>
              <w:end w:w="65" w:type="dxa"/>
            </w:tcMar>
          </w:tcPr>
          <w:p>
            <w:r>
              <w:rPr>
                <w:sz w:val="17"/>
              </w:rPr>
              <w:t>Subsetter; Masking; future Lifecycle</w:t>
            </w:r>
          </w:p>
        </w:tc>
      </w:tr>
      <w:tr>
        <w:tc>
          <w:tcPr>
            <w:tcW w:type="dxa" w:w="1944"/>
            <w:vAlign w:val="top"/>
            <w:tcMar>
              <w:top w:w="55" w:type="dxa"/>
              <w:start w:w="65" w:type="dxa"/>
              <w:bottom w:w="55" w:type="dxa"/>
              <w:end w:w="65" w:type="dxa"/>
            </w:tcMar>
          </w:tcPr>
          <w:p>
            <w:r>
              <w:rPr>
                <w:sz w:val="17"/>
              </w:rPr>
              <w:t>Data Engineering / Data Platform</w:t>
            </w:r>
          </w:p>
        </w:tc>
        <w:tc>
          <w:tcPr>
            <w:tcW w:type="dxa" w:w="4608"/>
            <w:vAlign w:val="top"/>
            <w:tcMar>
              <w:top w:w="55" w:type="dxa"/>
              <w:start w:w="65" w:type="dxa"/>
              <w:bottom w:w="55" w:type="dxa"/>
              <w:end w:w="65" w:type="dxa"/>
            </w:tcMar>
          </w:tcPr>
          <w:p>
            <w:r>
              <w:rPr>
                <w:sz w:val="17"/>
              </w:rPr>
              <w:t>Unrealistic DEV data; migration testing; incremental ingestion</w:t>
            </w:r>
          </w:p>
        </w:tc>
        <w:tc>
          <w:tcPr>
            <w:tcW w:type="dxa" w:w="3384"/>
            <w:vAlign w:val="top"/>
            <w:tcMar>
              <w:top w:w="55" w:type="dxa"/>
              <w:start w:w="65" w:type="dxa"/>
              <w:bottom w:w="55" w:type="dxa"/>
              <w:end w:w="65" w:type="dxa"/>
            </w:tcMar>
          </w:tcPr>
          <w:p>
            <w:r>
              <w:rPr>
                <w:sz w:val="17"/>
              </w:rPr>
              <w:t>Subsetter; CDC &amp; Snapshot; Discovery/Masking when needed</w:t>
            </w:r>
          </w:p>
        </w:tc>
      </w:tr>
      <w:tr>
        <w:tc>
          <w:tcPr>
            <w:tcW w:type="dxa" w:w="1944"/>
            <w:vAlign w:val="top"/>
            <w:tcMar>
              <w:top w:w="55" w:type="dxa"/>
              <w:start w:w="65" w:type="dxa"/>
              <w:bottom w:w="55" w:type="dxa"/>
              <w:end w:w="65" w:type="dxa"/>
            </w:tcMar>
          </w:tcPr>
          <w:p>
            <w:r>
              <w:rPr>
                <w:sz w:val="17"/>
              </w:rPr>
              <w:t>QA / Quality Engineering</w:t>
            </w:r>
          </w:p>
        </w:tc>
        <w:tc>
          <w:tcPr>
            <w:tcW w:type="dxa" w:w="4608"/>
            <w:vAlign w:val="top"/>
            <w:tcMar>
              <w:top w:w="55" w:type="dxa"/>
              <w:start w:w="65" w:type="dxa"/>
              <w:bottom w:w="55" w:type="dxa"/>
              <w:end w:w="65" w:type="dxa"/>
            </w:tcMar>
          </w:tcPr>
          <w:p>
            <w:r>
              <w:rPr>
                <w:sz w:val="17"/>
              </w:rPr>
              <w:t>Non-repeatable data; environment contention; sensitive copies</w:t>
            </w:r>
          </w:p>
        </w:tc>
        <w:tc>
          <w:tcPr>
            <w:tcW w:type="dxa" w:w="3384"/>
            <w:vAlign w:val="top"/>
            <w:tcMar>
              <w:top w:w="55" w:type="dxa"/>
              <w:start w:w="65" w:type="dxa"/>
              <w:bottom w:w="55" w:type="dxa"/>
              <w:end w:w="65" w:type="dxa"/>
            </w:tcMar>
          </w:tcPr>
          <w:p>
            <w:r>
              <w:rPr>
                <w:sz w:val="17"/>
              </w:rPr>
              <w:t>Subsetter; Masking; future isolated environments</w:t>
            </w:r>
          </w:p>
        </w:tc>
      </w:tr>
      <w:tr>
        <w:tc>
          <w:tcPr>
            <w:tcW w:type="dxa" w:w="1944"/>
            <w:vAlign w:val="top"/>
            <w:tcMar>
              <w:top w:w="55" w:type="dxa"/>
              <w:start w:w="65" w:type="dxa"/>
              <w:bottom w:w="55" w:type="dxa"/>
              <w:end w:w="65" w:type="dxa"/>
            </w:tcMar>
          </w:tcPr>
          <w:p>
            <w:r>
              <w:rPr>
                <w:sz w:val="17"/>
              </w:rPr>
              <w:t>Database / Platform Engineering</w:t>
            </w:r>
          </w:p>
        </w:tc>
        <w:tc>
          <w:tcPr>
            <w:tcW w:type="dxa" w:w="4608"/>
            <w:vAlign w:val="top"/>
            <w:tcMar>
              <w:top w:w="55" w:type="dxa"/>
              <w:start w:w="65" w:type="dxa"/>
              <w:bottom w:w="55" w:type="dxa"/>
              <w:end w:w="65" w:type="dxa"/>
            </w:tcMar>
          </w:tcPr>
          <w:p>
            <w:r>
              <w:rPr>
                <w:sz w:val="17"/>
              </w:rPr>
              <w:t>Refresh operations; copies; migration; synchronization; self-service demand</w:t>
            </w:r>
          </w:p>
        </w:tc>
        <w:tc>
          <w:tcPr>
            <w:tcW w:type="dxa" w:w="3384"/>
            <w:vAlign w:val="top"/>
            <w:tcMar>
              <w:top w:w="55" w:type="dxa"/>
              <w:start w:w="65" w:type="dxa"/>
              <w:bottom w:w="55" w:type="dxa"/>
              <w:end w:w="65" w:type="dxa"/>
            </w:tcMar>
          </w:tcPr>
          <w:p>
            <w:r>
              <w:rPr>
                <w:sz w:val="17"/>
              </w:rPr>
              <w:t>CDC &amp; Snapshot; Subsetter; future Lifecycle</w:t>
            </w:r>
          </w:p>
        </w:tc>
      </w:tr>
      <w:tr>
        <w:tc>
          <w:tcPr>
            <w:tcW w:type="dxa" w:w="1944"/>
            <w:vAlign w:val="top"/>
            <w:tcMar>
              <w:top w:w="55" w:type="dxa"/>
              <w:start w:w="65" w:type="dxa"/>
              <w:bottom w:w="55" w:type="dxa"/>
              <w:end w:w="65" w:type="dxa"/>
            </w:tcMar>
          </w:tcPr>
          <w:p>
            <w:r>
              <w:rPr>
                <w:sz w:val="17"/>
              </w:rPr>
              <w:t>Security / Privacy / DPO</w:t>
            </w:r>
          </w:p>
        </w:tc>
        <w:tc>
          <w:tcPr>
            <w:tcW w:type="dxa" w:w="4608"/>
            <w:vAlign w:val="top"/>
            <w:tcMar>
              <w:top w:w="55" w:type="dxa"/>
              <w:start w:w="65" w:type="dxa"/>
              <w:bottom w:w="55" w:type="dxa"/>
              <w:end w:w="65" w:type="dxa"/>
            </w:tcMar>
          </w:tcPr>
          <w:p>
            <w:r>
              <w:rPr>
                <w:sz w:val="17"/>
              </w:rPr>
              <w:t>Unknown PII; uncontrolled copies; contractor datasets</w:t>
            </w:r>
          </w:p>
        </w:tc>
        <w:tc>
          <w:tcPr>
            <w:tcW w:type="dxa" w:w="3384"/>
            <w:vAlign w:val="top"/>
            <w:tcMar>
              <w:top w:w="55" w:type="dxa"/>
              <w:start w:w="65" w:type="dxa"/>
              <w:bottom w:w="55" w:type="dxa"/>
              <w:end w:w="65" w:type="dxa"/>
            </w:tcMar>
          </w:tcPr>
          <w:p>
            <w:r>
              <w:rPr>
                <w:sz w:val="17"/>
              </w:rPr>
              <w:t>Discovery; Masking; Subsetter</w:t>
            </w:r>
          </w:p>
        </w:tc>
      </w:tr>
      <w:tr>
        <w:tc>
          <w:tcPr>
            <w:tcW w:type="dxa" w:w="1944"/>
            <w:vAlign w:val="top"/>
            <w:tcMar>
              <w:top w:w="55" w:type="dxa"/>
              <w:start w:w="65" w:type="dxa"/>
              <w:bottom w:w="55" w:type="dxa"/>
              <w:end w:w="65" w:type="dxa"/>
            </w:tcMar>
          </w:tcPr>
          <w:p>
            <w:r>
              <w:rPr>
                <w:sz w:val="17"/>
              </w:rPr>
              <w:t>Analytics</w:t>
            </w:r>
          </w:p>
        </w:tc>
        <w:tc>
          <w:tcPr>
            <w:tcW w:type="dxa" w:w="4608"/>
            <w:vAlign w:val="top"/>
            <w:tcMar>
              <w:top w:w="55" w:type="dxa"/>
              <w:start w:w="65" w:type="dxa"/>
              <w:bottom w:w="55" w:type="dxa"/>
              <w:end w:w="65" w:type="dxa"/>
            </w:tcMar>
          </w:tcPr>
          <w:p>
            <w:r>
              <w:rPr>
                <w:sz w:val="17"/>
              </w:rPr>
              <w:t>Restricted PROD access; oversized datasets; slow provisioning</w:t>
            </w:r>
          </w:p>
        </w:tc>
        <w:tc>
          <w:tcPr>
            <w:tcW w:type="dxa" w:w="3384"/>
            <w:vAlign w:val="top"/>
            <w:tcMar>
              <w:top w:w="55" w:type="dxa"/>
              <w:start w:w="65" w:type="dxa"/>
              <w:bottom w:w="55" w:type="dxa"/>
              <w:end w:w="65" w:type="dxa"/>
            </w:tcMar>
          </w:tcPr>
          <w:p>
            <w:r>
              <w:rPr>
                <w:sz w:val="17"/>
              </w:rPr>
              <w:t>Subsetter; Masking</w:t>
            </w:r>
          </w:p>
        </w:tc>
      </w:tr>
      <w:tr>
        <w:tc>
          <w:tcPr>
            <w:tcW w:type="dxa" w:w="1944"/>
            <w:vAlign w:val="top"/>
            <w:tcMar>
              <w:top w:w="55" w:type="dxa"/>
              <w:start w:w="65" w:type="dxa"/>
              <w:bottom w:w="55" w:type="dxa"/>
              <w:end w:w="65" w:type="dxa"/>
            </w:tcMar>
          </w:tcPr>
          <w:p>
            <w:r>
              <w:rPr>
                <w:sz w:val="17"/>
              </w:rPr>
              <w:t>AI Engineering</w:t>
            </w:r>
          </w:p>
        </w:tc>
        <w:tc>
          <w:tcPr>
            <w:tcW w:type="dxa" w:w="4608"/>
            <w:vAlign w:val="top"/>
            <w:tcMar>
              <w:top w:w="55" w:type="dxa"/>
              <w:start w:w="65" w:type="dxa"/>
              <w:bottom w:w="55" w:type="dxa"/>
              <w:end w:w="65" w:type="dxa"/>
            </w:tcMar>
          </w:tcPr>
          <w:p>
            <w:r>
              <w:rPr>
                <w:sz w:val="17"/>
              </w:rPr>
              <w:t>Agents need realistic systems without unrestricted production access</w:t>
            </w:r>
          </w:p>
        </w:tc>
        <w:tc>
          <w:tcPr>
            <w:tcW w:type="dxa" w:w="3384"/>
            <w:vAlign w:val="top"/>
            <w:tcMar>
              <w:top w:w="55" w:type="dxa"/>
              <w:start w:w="65" w:type="dxa"/>
              <w:bottom w:w="55" w:type="dxa"/>
              <w:end w:w="65" w:type="dxa"/>
            </w:tcMar>
          </w:tcPr>
          <w:p>
            <w:r>
              <w:rPr>
                <w:sz w:val="17"/>
              </w:rPr>
              <w:t>Subsetter; Masking; future Lifecycle</w:t>
            </w:r>
          </w:p>
        </w:tc>
      </w:tr>
    </w:tbl>
    <w:p>
      <w:pPr>
        <w:spacing w:after="0"/>
      </w:pPr>
    </w:p>
    <w:p>
      <w:pPr>
        <w:pStyle w:val="Heading1"/>
      </w:pPr>
      <w:r>
        <w:t>21. Target industries</w:t>
      </w:r>
    </w:p>
    <w:p>
      <w:pPr>
        <w:pStyle w:val="Heading2"/>
      </w:pPr>
      <w:r>
        <w:t>Financial Services</w:t>
      </w:r>
    </w:p>
    <w:p>
      <w:r>
        <w:t>Banks, fintechs, payments, insurance and asset management. Strong fit due to sensitive data, complex environments, regulatory pressure and engineering scale.</w:t>
      </w:r>
    </w:p>
    <w:p>
      <w:pPr>
        <w:pStyle w:val="Heading2"/>
      </w:pPr>
      <w:r>
        <w:t>SaaS / Digital Products</w:t>
      </w:r>
    </w:p>
    <w:p>
      <w:r>
        <w:t>Multiple tenants, incident reproduction, fast release cycles and environment automation.</w:t>
      </w:r>
    </w:p>
    <w:p>
      <w:pPr>
        <w:pStyle w:val="Heading2"/>
      </w:pPr>
      <w:r>
        <w:t>Retail / E-commerce</w:t>
      </w:r>
    </w:p>
    <w:p>
      <w:r>
        <w:t>Customer PII, payment/order/logistics relationships and performance testing.</w:t>
      </w:r>
    </w:p>
    <w:p>
      <w:pPr>
        <w:pStyle w:val="Heading2"/>
      </w:pPr>
      <w:r>
        <w:t>Manufacturing</w:t>
      </w:r>
    </w:p>
    <w:p>
      <w:r>
        <w:t>ERP modernization, legacy databases, integration testing and external vendors.</w:t>
      </w:r>
    </w:p>
    <w:p>
      <w:pPr>
        <w:pStyle w:val="Heading2"/>
      </w:pPr>
      <w:r>
        <w:t>Telecommunications</w:t>
      </w:r>
    </w:p>
    <w:p>
      <w:r>
        <w:t>Large databases, customer PII, complex systems and frequent engineering change.</w:t>
      </w:r>
    </w:p>
    <w:p>
      <w:pPr>
        <w:pStyle w:val="Heading2"/>
      </w:pPr>
      <w:r>
        <w:t>Healthcare</w:t>
      </w:r>
    </w:p>
    <w:p>
      <w:r>
        <w:t>Potential fit, but unstructured clinical data and re-identification risks require additional care; avoid overstating current capability.</w:t>
      </w:r>
    </w:p>
    <w:p>
      <w:pPr>
        <w:pStyle w:val="Heading1"/>
      </w:pPr>
      <w:r>
        <w:t>22. Ideal Customer Profile</w:t>
      </w:r>
    </w:p>
    <w:p>
      <w:pPr>
        <w:pStyle w:val="ListBullet"/>
        <w:spacing w:after="40"/>
      </w:pPr>
      <w:r>
        <w:rPr>
          <w:sz w:val="19"/>
        </w:rPr>
        <w:t>Medium or large engineering organization</w:t>
      </w:r>
    </w:p>
    <w:p>
      <w:pPr>
        <w:pStyle w:val="ListBullet"/>
        <w:spacing w:after="40"/>
      </w:pPr>
      <w:r>
        <w:rPr>
          <w:sz w:val="19"/>
        </w:rPr>
        <w:t>Multiple DEV / QA / HML environments</w:t>
      </w:r>
    </w:p>
    <w:p>
      <w:pPr>
        <w:pStyle w:val="ListBullet"/>
        <w:spacing w:after="40"/>
      </w:pPr>
      <w:r>
        <w:rPr>
          <w:sz w:val="19"/>
        </w:rPr>
        <w:t>PostgreSQL, MySQL, SQL Server, Oracle or MongoDB</w:t>
      </w:r>
    </w:p>
    <w:p>
      <w:pPr>
        <w:pStyle w:val="ListBullet"/>
        <w:spacing w:after="40"/>
      </w:pPr>
      <w:r>
        <w:rPr>
          <w:sz w:val="19"/>
        </w:rPr>
        <w:t>Sensitive / regulated data</w:t>
      </w:r>
    </w:p>
    <w:p>
      <w:pPr>
        <w:pStyle w:val="ListBullet"/>
        <w:spacing w:after="40"/>
      </w:pPr>
      <w:r>
        <w:rPr>
          <w:sz w:val="19"/>
        </w:rPr>
        <w:t>Database migration or cloud modernization</w:t>
      </w:r>
    </w:p>
    <w:p>
      <w:pPr>
        <w:pStyle w:val="ListBullet"/>
        <w:spacing w:after="40"/>
      </w:pPr>
      <w:r>
        <w:rPr>
          <w:sz w:val="19"/>
        </w:rPr>
        <w:t>Large QA organization</w:t>
      </w:r>
    </w:p>
    <w:p>
      <w:pPr>
        <w:pStyle w:val="ListBullet"/>
        <w:spacing w:after="40"/>
      </w:pPr>
      <w:r>
        <w:rPr>
          <w:sz w:val="19"/>
        </w:rPr>
        <w:t>Platform Engineering</w:t>
      </w:r>
    </w:p>
    <w:p>
      <w:pPr>
        <w:pStyle w:val="ListBullet"/>
        <w:spacing w:after="40"/>
      </w:pPr>
      <w:r>
        <w:rPr>
          <w:sz w:val="19"/>
        </w:rPr>
        <w:t>Data Platform</w:t>
      </w:r>
    </w:p>
    <w:p>
      <w:pPr>
        <w:pStyle w:val="ListBullet"/>
        <w:spacing w:after="40"/>
      </w:pPr>
      <w:r>
        <w:rPr>
          <w:sz w:val="19"/>
        </w:rPr>
        <w:t>Manual database refreshes</w:t>
      </w:r>
    </w:p>
    <w:p>
      <w:pPr>
        <w:pStyle w:val="ListBullet"/>
        <w:spacing w:after="40"/>
      </w:pPr>
      <w:r>
        <w:rPr>
          <w:sz w:val="19"/>
        </w:rPr>
        <w:t>Production copies outside PROD</w:t>
      </w:r>
    </w:p>
    <w:p>
      <w:pPr>
        <w:pStyle w:val="ListBullet"/>
        <w:spacing w:after="40"/>
      </w:pPr>
      <w:r>
        <w:rPr>
          <w:sz w:val="19"/>
        </w:rPr>
        <w:t>Contractor development</w:t>
      </w:r>
    </w:p>
    <w:p>
      <w:pPr>
        <w:pStyle w:val="ListBullet"/>
        <w:spacing w:after="40"/>
      </w:pPr>
      <w:r>
        <w:rPr>
          <w:sz w:val="19"/>
        </w:rPr>
        <w:t>Long lead time to provision test data</w:t>
      </w:r>
    </w:p>
    <w:p>
      <w:pPr>
        <w:pStyle w:val="ListBullet"/>
        <w:spacing w:after="40"/>
      </w:pPr>
      <w:r>
        <w:rPr>
          <w:sz w:val="19"/>
        </w:rPr>
        <w:t>Shared non-production databases</w:t>
      </w:r>
    </w:p>
    <w:p>
      <w:pPr>
        <w:pStyle w:val="Heading2"/>
      </w:pPr>
      <w:r>
        <w:t>Relevant buyer / sponsor roles</w:t>
      </w:r>
    </w:p>
    <w:p>
      <w:pPr>
        <w:pStyle w:val="ListBullet"/>
        <w:spacing w:after="40"/>
      </w:pPr>
      <w:r>
        <w:rPr>
          <w:sz w:val="19"/>
        </w:rPr>
        <w:t>CTO</w:t>
      </w:r>
    </w:p>
    <w:p>
      <w:pPr>
        <w:pStyle w:val="ListBullet"/>
        <w:spacing w:after="40"/>
      </w:pPr>
      <w:r>
        <w:rPr>
          <w:sz w:val="19"/>
        </w:rPr>
        <w:t>CIO</w:t>
      </w:r>
    </w:p>
    <w:p>
      <w:pPr>
        <w:pStyle w:val="ListBullet"/>
        <w:spacing w:after="40"/>
      </w:pPr>
      <w:r>
        <w:rPr>
          <w:sz w:val="19"/>
        </w:rPr>
        <w:t>Head of Engineering</w:t>
      </w:r>
    </w:p>
    <w:p>
      <w:pPr>
        <w:pStyle w:val="ListBullet"/>
        <w:spacing w:after="40"/>
      </w:pPr>
      <w:r>
        <w:rPr>
          <w:sz w:val="19"/>
        </w:rPr>
        <w:t>Head of Platform Engineering</w:t>
      </w:r>
    </w:p>
    <w:p>
      <w:pPr>
        <w:pStyle w:val="ListBullet"/>
        <w:spacing w:after="40"/>
      </w:pPr>
      <w:r>
        <w:rPr>
          <w:sz w:val="19"/>
        </w:rPr>
        <w:t>Head of Data</w:t>
      </w:r>
    </w:p>
    <w:p>
      <w:pPr>
        <w:pStyle w:val="ListBullet"/>
        <w:spacing w:after="40"/>
      </w:pPr>
      <w:r>
        <w:rPr>
          <w:sz w:val="19"/>
        </w:rPr>
        <w:t>Data Platform Manager</w:t>
      </w:r>
    </w:p>
    <w:p>
      <w:pPr>
        <w:pStyle w:val="ListBullet"/>
        <w:spacing w:after="40"/>
      </w:pPr>
      <w:r>
        <w:rPr>
          <w:sz w:val="19"/>
        </w:rPr>
        <w:t>Database Engineering Manager</w:t>
      </w:r>
    </w:p>
    <w:p>
      <w:pPr>
        <w:pStyle w:val="ListBullet"/>
        <w:spacing w:after="40"/>
      </w:pPr>
      <w:r>
        <w:rPr>
          <w:sz w:val="19"/>
        </w:rPr>
        <w:t>QA / Quality Engineering Manager</w:t>
      </w:r>
    </w:p>
    <w:p>
      <w:pPr>
        <w:pStyle w:val="ListBullet"/>
        <w:spacing w:after="40"/>
      </w:pPr>
      <w:r>
        <w:rPr>
          <w:sz w:val="19"/>
        </w:rPr>
        <w:t>CISO</w:t>
      </w:r>
    </w:p>
    <w:p>
      <w:pPr>
        <w:pStyle w:val="ListBullet"/>
        <w:spacing w:after="40"/>
      </w:pPr>
      <w:r>
        <w:rPr>
          <w:sz w:val="19"/>
        </w:rPr>
        <w:t>DPO</w:t>
      </w:r>
    </w:p>
    <w:p>
      <w:pPr>
        <w:pStyle w:val="ListBullet"/>
        <w:spacing w:after="40"/>
      </w:pPr>
      <w:r>
        <w:rPr>
          <w:sz w:val="19"/>
        </w:rPr>
        <w:t>Enterprise Architect</w:t>
      </w:r>
    </w:p>
    <w:p>
      <w:pPr>
        <w:pStyle w:val="ListBullet"/>
        <w:spacing w:after="40"/>
      </w:pPr>
      <w:r>
        <w:rPr>
          <w:sz w:val="19"/>
        </w:rPr>
        <w:t>Solution Architect</w:t>
      </w:r>
    </w:p>
    <w:p>
      <w:pPr>
        <w:pStyle w:val="Heading1"/>
      </w:pPr>
      <w:r>
        <w:t>23. Website information architecture</w:t>
      </w:r>
    </w:p>
    <w:p>
      <w:pPr>
        <w:pStyle w:val="CodeBlock"/>
        <w:shd w:fill="F3F5F7"/>
        <w:pBdr>
          <w:left w:val="single" w:sz="14" w:space="4" w:color="8AA1B8"/>
        </w:pBdr>
      </w:pPr>
      <w:r>
        <w:rPr>
          <w:rFonts w:ascii="Liberation Mono" w:hAnsi="Liberation Mono"/>
          <w:sz w:val="16"/>
        </w:rPr>
        <w:t>Platform</w:t>
        <w:br/>
        <w:t>Use Cases</w:t>
        <w:br/>
        <w:t>Architecture</w:t>
        <w:br/>
        <w:t>Security</w:t>
        <w:br/>
        <w:t>Roadmap</w:t>
        <w:br/>
        <w:t>Company</w:t>
        <w:br/>
        <w:t>Contact</w:t>
      </w:r>
    </w:p>
    <w:p>
      <w:r>
        <w:t>Primary CTA: Request a Demo</w:t>
      </w:r>
    </w:p>
    <w:p>
      <w:r>
        <w:t>Secondary CTA: Explore the Platform</w:t>
      </w:r>
    </w:p>
    <w:p>
      <w:pPr>
        <w:pStyle w:val="Heading1"/>
      </w:pPr>
      <w:r>
        <w:t>24. Homepage — Hero</w:t>
      </w:r>
    </w:p>
    <w:p>
      <w:pPr>
        <w:pStyle w:val="SmallNote"/>
      </w:pPr>
      <w:r>
        <w:t>Eyebrow: DATA ENVIRONMENT AUTOMATION</w:t>
      </w:r>
    </w:p>
    <w:p>
      <w:pPr>
        <w:spacing w:before="60" w:after="120"/>
        <w:ind w:left="360" w:right="144"/>
        <w:shd w:fill="F6F8FA"/>
      </w:pPr>
      <w:r>
        <w:rPr>
          <w:i/>
          <w:color w:val="132235"/>
          <w:sz w:val="21"/>
        </w:rPr>
        <w:t>Production-like data. Without production risk.</w:t>
      </w:r>
    </w:p>
    <w:p>
      <w:r>
        <w:t>Tessera helps engineering and data teams discover sensitive data, protect it with deterministic masking, create referentially consistent subsets and capture ongoing database changes for development, testing, analytics, migration and AI-assisted engineering.</w:t>
      </w:r>
    </w:p>
    <w:p>
      <w:r>
        <w:t>Primary CTA: Request a Demo</w:t>
      </w:r>
    </w:p>
    <w:p>
      <w:r>
        <w:t>Secondary CTA: Explore the Platform</w:t>
      </w:r>
    </w:p>
    <w:p>
      <w:pPr>
        <w:pStyle w:val="Heading1"/>
      </w:pPr>
      <w:r>
        <w:t>25. Homepage — Problem</w:t>
      </w:r>
    </w:p>
    <w:p>
      <w:pPr>
        <w:spacing w:before="60" w:after="120"/>
        <w:ind w:left="360" w:right="144"/>
        <w:shd w:fill="F6F8FA"/>
      </w:pPr>
      <w:r>
        <w:rPr>
          <w:i/>
          <w:color w:val="132235"/>
          <w:sz w:val="21"/>
        </w:rPr>
        <w:t>Your code moves fast. Your data environments don't.</w:t>
      </w:r>
    </w:p>
    <w:p>
      <w:r>
        <w:t>Modern teams have automated code and infrastructure, but realistic data for development and testing is still frequently delivered through full database copies, manual scripts, shared environments and support tickets.</w:t>
      </w:r>
    </w:p>
    <w:p>
      <w:r>
        <w:t>The result is slower engineering, higher infrastructure cost and unnecessary exposure of sensitive production data.</w:t>
      </w:r>
    </w:p>
    <w:p>
      <w:pPr>
        <w:spacing w:before="60" w:after="120"/>
        <w:ind w:left="360" w:right="144"/>
        <w:shd w:fill="F6F8FA"/>
      </w:pPr>
      <w:r>
        <w:rPr>
          <w:i/>
          <w:color w:val="132235"/>
          <w:sz w:val="21"/>
        </w:rPr>
        <w:t>Tessera automates the data layer of modern engineering workflows.</w:t>
      </w:r>
    </w:p>
    <w:p>
      <w:pPr>
        <w:pStyle w:val="Heading1"/>
      </w:pPr>
      <w:r>
        <w:t>26. Homepage — Platform capabilities</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DCE6F1"/>
            <w:vAlign w:val="center"/>
            <w:tcMar>
              <w:top w:w="60" w:type="dxa"/>
              <w:start w:w="70" w:type="dxa"/>
              <w:bottom w:w="60" w:type="dxa"/>
              <w:end w:w="70" w:type="dxa"/>
            </w:tcMar>
          </w:tcPr>
          <w:p>
            <w:r>
              <w:rPr>
                <w:b/>
                <w:color w:val="132235"/>
                <w:sz w:val="17"/>
              </w:rPr>
              <w:t>Capability</w:t>
            </w:r>
          </w:p>
        </w:tc>
        <w:tc>
          <w:tcPr>
            <w:tcW w:type="dxa" w:w="2520"/>
            <w:shd w:fill="DCE6F1"/>
            <w:vAlign w:val="center"/>
            <w:tcMar>
              <w:top w:w="60" w:type="dxa"/>
              <w:start w:w="70" w:type="dxa"/>
              <w:bottom w:w="60" w:type="dxa"/>
              <w:end w:w="70" w:type="dxa"/>
            </w:tcMar>
          </w:tcPr>
          <w:p>
            <w:r>
              <w:rPr>
                <w:b/>
                <w:color w:val="132235"/>
                <w:sz w:val="17"/>
              </w:rPr>
              <w:t>Status</w:t>
            </w:r>
          </w:p>
        </w:tc>
        <w:tc>
          <w:tcPr>
            <w:tcW w:type="dxa" w:w="5256"/>
            <w:shd w:fill="DCE6F1"/>
            <w:vAlign w:val="center"/>
            <w:tcMar>
              <w:top w:w="60" w:type="dxa"/>
              <w:start w:w="70" w:type="dxa"/>
              <w:bottom w:w="60" w:type="dxa"/>
              <w:end w:w="70" w:type="dxa"/>
            </w:tcMar>
          </w:tcPr>
          <w:p>
            <w:r>
              <w:rPr>
                <w:b/>
                <w:color w:val="132235"/>
                <w:sz w:val="17"/>
              </w:rPr>
              <w:t>Homepage message</w:t>
            </w:r>
          </w:p>
        </w:tc>
      </w:tr>
      <w:tr>
        <w:tc>
          <w:tcPr>
            <w:tcW w:type="dxa" w:w="2232"/>
            <w:vAlign w:val="top"/>
            <w:tcMar>
              <w:top w:w="55" w:type="dxa"/>
              <w:start w:w="65" w:type="dxa"/>
              <w:bottom w:w="55" w:type="dxa"/>
              <w:end w:w="65" w:type="dxa"/>
            </w:tcMar>
          </w:tcPr>
          <w:p>
            <w:r>
              <w:rPr>
                <w:sz w:val="17"/>
              </w:rPr>
              <w:t>Discovery</w:t>
            </w:r>
          </w:p>
        </w:tc>
        <w:tc>
          <w:tcPr>
            <w:tcW w:type="dxa" w:w="2520"/>
            <w:vAlign w:val="top"/>
            <w:tcMar>
              <w:top w:w="55" w:type="dxa"/>
              <w:start w:w="65" w:type="dxa"/>
              <w:bottom w:w="55" w:type="dxa"/>
              <w:end w:w="65" w:type="dxa"/>
            </w:tcMar>
          </w:tcPr>
          <w:p>
            <w:r>
              <w:rPr>
                <w:sz w:val="17"/>
              </w:rPr>
              <w:t>READY</w:t>
            </w:r>
          </w:p>
        </w:tc>
        <w:tc>
          <w:tcPr>
            <w:tcW w:type="dxa" w:w="5256"/>
            <w:vAlign w:val="top"/>
            <w:tcMar>
              <w:top w:w="55" w:type="dxa"/>
              <w:start w:w="65" w:type="dxa"/>
              <w:bottom w:w="55" w:type="dxa"/>
              <w:end w:w="65" w:type="dxa"/>
            </w:tcMar>
          </w:tcPr>
          <w:p>
            <w:r>
              <w:rPr>
                <w:sz w:val="17"/>
              </w:rPr>
              <w:t>Find sensitive data — classify sensitive fields from metadata and representative values.</w:t>
            </w:r>
          </w:p>
        </w:tc>
      </w:tr>
      <w:tr>
        <w:tc>
          <w:tcPr>
            <w:tcW w:type="dxa" w:w="2232"/>
            <w:vAlign w:val="top"/>
            <w:tcMar>
              <w:top w:w="55" w:type="dxa"/>
              <w:start w:w="65" w:type="dxa"/>
              <w:bottom w:w="55" w:type="dxa"/>
              <w:end w:w="65" w:type="dxa"/>
            </w:tcMar>
          </w:tcPr>
          <w:p>
            <w:r>
              <w:rPr>
                <w:sz w:val="17"/>
              </w:rPr>
              <w:t>Masking</w:t>
            </w:r>
          </w:p>
        </w:tc>
        <w:tc>
          <w:tcPr>
            <w:tcW w:type="dxa" w:w="2520"/>
            <w:vAlign w:val="top"/>
            <w:tcMar>
              <w:top w:w="55" w:type="dxa"/>
              <w:start w:w="65" w:type="dxa"/>
              <w:bottom w:w="55" w:type="dxa"/>
              <w:end w:w="65" w:type="dxa"/>
            </w:tcMar>
          </w:tcPr>
          <w:p>
            <w:r>
              <w:rPr>
                <w:sz w:val="17"/>
              </w:rPr>
              <w:t>READY</w:t>
            </w:r>
          </w:p>
        </w:tc>
        <w:tc>
          <w:tcPr>
            <w:tcW w:type="dxa" w:w="5256"/>
            <w:vAlign w:val="top"/>
            <w:tcMar>
              <w:top w:w="55" w:type="dxa"/>
              <w:start w:w="65" w:type="dxa"/>
              <w:bottom w:w="55" w:type="dxa"/>
              <w:end w:w="65" w:type="dxa"/>
            </w:tcMar>
          </w:tcPr>
          <w:p>
            <w:r>
              <w:rPr>
                <w:sz w:val="17"/>
              </w:rPr>
              <w:t>Protect without breaking relationships — deterministic, format-aware transformations.</w:t>
            </w:r>
          </w:p>
        </w:tc>
      </w:tr>
      <w:tr>
        <w:tc>
          <w:tcPr>
            <w:tcW w:type="dxa" w:w="2232"/>
            <w:vAlign w:val="top"/>
            <w:tcMar>
              <w:top w:w="55" w:type="dxa"/>
              <w:start w:w="65" w:type="dxa"/>
              <w:bottom w:w="55" w:type="dxa"/>
              <w:end w:w="65" w:type="dxa"/>
            </w:tcMar>
          </w:tcPr>
          <w:p>
            <w:r>
              <w:rPr>
                <w:sz w:val="17"/>
              </w:rPr>
              <w:t>Subsetter</w:t>
            </w:r>
          </w:p>
        </w:tc>
        <w:tc>
          <w:tcPr>
            <w:tcW w:type="dxa" w:w="2520"/>
            <w:vAlign w:val="top"/>
            <w:tcMar>
              <w:top w:w="55" w:type="dxa"/>
              <w:start w:w="65" w:type="dxa"/>
              <w:bottom w:w="55" w:type="dxa"/>
              <w:end w:w="65" w:type="dxa"/>
            </w:tcMar>
          </w:tcPr>
          <w:p>
            <w:r>
              <w:rPr>
                <w:sz w:val="17"/>
              </w:rPr>
              <w:t>READY — CORE COMPLETE</w:t>
            </w:r>
          </w:p>
        </w:tc>
        <w:tc>
          <w:tcPr>
            <w:tcW w:type="dxa" w:w="5256"/>
            <w:vAlign w:val="top"/>
            <w:tcMar>
              <w:top w:w="55" w:type="dxa"/>
              <w:start w:w="65" w:type="dxa"/>
              <w:bottom w:w="55" w:type="dxa"/>
              <w:end w:w="65" w:type="dxa"/>
            </w:tcMar>
          </w:tcPr>
          <w:p>
            <w:r>
              <w:rPr>
                <w:sz w:val="17"/>
              </w:rPr>
              <w:t>Move only what you need — smaller datasets with preserved relationships.</w:t>
            </w:r>
          </w:p>
        </w:tc>
      </w:tr>
      <w:tr>
        <w:tc>
          <w:tcPr>
            <w:tcW w:type="dxa" w:w="2232"/>
            <w:vAlign w:val="top"/>
            <w:tcMar>
              <w:top w:w="55" w:type="dxa"/>
              <w:start w:w="65" w:type="dxa"/>
              <w:bottom w:w="55" w:type="dxa"/>
              <w:end w:w="65" w:type="dxa"/>
            </w:tcMar>
          </w:tcPr>
          <w:p>
            <w:r>
              <w:rPr>
                <w:sz w:val="17"/>
              </w:rPr>
              <w:t>CDC &amp; Snapshot</w:t>
            </w:r>
          </w:p>
        </w:tc>
        <w:tc>
          <w:tcPr>
            <w:tcW w:type="dxa" w:w="2520"/>
            <w:vAlign w:val="top"/>
            <w:tcMar>
              <w:top w:w="55" w:type="dxa"/>
              <w:start w:w="65" w:type="dxa"/>
              <w:bottom w:w="55" w:type="dxa"/>
              <w:end w:w="65" w:type="dxa"/>
            </w:tcMar>
          </w:tcPr>
          <w:p>
            <w:r>
              <w:rPr>
                <w:sz w:val="17"/>
              </w:rPr>
              <w:t>AVAILABLE — HARDENING</w:t>
            </w:r>
          </w:p>
        </w:tc>
        <w:tc>
          <w:tcPr>
            <w:tcW w:type="dxa" w:w="5256"/>
            <w:vAlign w:val="top"/>
            <w:tcMar>
              <w:top w:w="55" w:type="dxa"/>
              <w:start w:w="65" w:type="dxa"/>
              <w:bottom w:w="55" w:type="dxa"/>
              <w:end w:w="65" w:type="dxa"/>
            </w:tcMar>
          </w:tcPr>
          <w:p>
            <w:r>
              <w:rPr>
                <w:sz w:val="17"/>
              </w:rPr>
              <w:t>Capture what changes — consistent snapshot + incremental PostgreSQL/MySQL CDC.</w:t>
            </w:r>
          </w:p>
        </w:tc>
      </w:tr>
      <w:tr>
        <w:tc>
          <w:tcPr>
            <w:tcW w:type="dxa" w:w="2232"/>
            <w:vAlign w:val="top"/>
            <w:tcMar>
              <w:top w:w="55" w:type="dxa"/>
              <w:start w:w="65" w:type="dxa"/>
              <w:bottom w:w="55" w:type="dxa"/>
              <w:end w:w="65" w:type="dxa"/>
            </w:tcMar>
          </w:tcPr>
          <w:p>
            <w:r>
              <w:rPr>
                <w:sz w:val="17"/>
              </w:rPr>
              <w:t>Data Environment Lifecycle</w:t>
            </w:r>
          </w:p>
        </w:tc>
        <w:tc>
          <w:tcPr>
            <w:tcW w:type="dxa" w:w="2520"/>
            <w:vAlign w:val="top"/>
            <w:tcMar>
              <w:top w:w="55" w:type="dxa"/>
              <w:start w:w="65" w:type="dxa"/>
              <w:bottom w:w="55" w:type="dxa"/>
              <w:end w:w="65" w:type="dxa"/>
            </w:tcMar>
          </w:tcPr>
          <w:p>
            <w:r>
              <w:rPr>
                <w:sz w:val="17"/>
              </w:rPr>
              <w:t>ROADMAP</w:t>
            </w:r>
          </w:p>
        </w:tc>
        <w:tc>
          <w:tcPr>
            <w:tcW w:type="dxa" w:w="5256"/>
            <w:vAlign w:val="top"/>
            <w:tcMar>
              <w:top w:w="55" w:type="dxa"/>
              <w:start w:w="65" w:type="dxa"/>
              <w:bottom w:w="55" w:type="dxa"/>
              <w:end w:w="65" w:type="dxa"/>
            </w:tcMar>
          </w:tcPr>
          <w:p>
            <w:r>
              <w:rPr>
                <w:sz w:val="17"/>
              </w:rPr>
              <w:t>Environments on demand — future provisioning, refresh, snapshots and rollback.</w:t>
            </w:r>
          </w:p>
        </w:tc>
      </w:tr>
    </w:tbl>
    <w:p>
      <w:pPr>
        <w:spacing w:after="0"/>
      </w:pPr>
    </w:p>
    <w:p>
      <w:pPr>
        <w:pStyle w:val="Heading1"/>
      </w:pPr>
      <w:r>
        <w:t>27. Homepage — Composable architecture</w:t>
      </w:r>
    </w:p>
    <w:p>
      <w:pPr>
        <w:spacing w:before="60" w:after="120"/>
        <w:ind w:left="360" w:right="144"/>
        <w:shd w:fill="F6F8FA"/>
      </w:pPr>
      <w:r>
        <w:rPr>
          <w:i/>
          <w:color w:val="132235"/>
          <w:sz w:val="21"/>
        </w:rPr>
        <w:t>Use the capabilities you need. Combine them when the workflow demands it.</w:t>
      </w:r>
    </w:p>
    <w:p>
      <w:r>
        <w:t>Tessera is modular by design. Discovery, Masking, Subsetter and CDC can support different workflows independently or be combined for more advanced data-delivery scenarios.</w:t>
      </w:r>
    </w:p>
    <w:p>
      <w:pPr>
        <w:spacing w:before="60" w:after="120"/>
        <w:ind w:left="360" w:right="144"/>
        <w:shd w:fill="F6F8FA"/>
      </w:pPr>
      <w:r>
        <w:rPr>
          <w:i/>
          <w:color w:val="132235"/>
          <w:sz w:val="21"/>
        </w:rPr>
        <w:t>Prefer a hub-and-spoke or modular tile visual instead of arrows implying a fixed pipeline.</w:t>
      </w:r>
    </w:p>
    <w:p>
      <w:pPr>
        <w:pStyle w:val="Heading1"/>
      </w:pPr>
      <w:r>
        <w:t>28. Homepage — Use case cards</w:t>
      </w:r>
    </w:p>
    <w:p>
      <w:pPr>
        <w:pStyle w:val="Heading2"/>
      </w:pPr>
      <w:r>
        <w:t>Secure Test Data</w:t>
      </w:r>
    </w:p>
    <w:p>
      <w:r>
        <w:t>Smaller, protected datasets for DEV, QA and integration testing.</w:t>
      </w:r>
    </w:p>
    <w:p>
      <w:pPr>
        <w:pStyle w:val="Heading2"/>
      </w:pPr>
      <w:r>
        <w:t>Data Engineering Sandbox</w:t>
      </w:r>
    </w:p>
    <w:p>
      <w:r>
        <w:t>Build and validate data pipelines against realistic source structures.</w:t>
      </w:r>
    </w:p>
    <w:p>
      <w:pPr>
        <w:pStyle w:val="Heading2"/>
      </w:pPr>
      <w:r>
        <w:t>Incident Reproduction</w:t>
      </w:r>
    </w:p>
    <w:p>
      <w:r>
        <w:t>Recreate production scenarios safely and consistently.</w:t>
      </w:r>
    </w:p>
    <w:p>
      <w:pPr>
        <w:pStyle w:val="Heading2"/>
      </w:pPr>
      <w:r>
        <w:t>Migration &amp; Modernization</w:t>
      </w:r>
    </w:p>
    <w:p>
      <w:r>
        <w:t>Use repeatable subsets and incremental change capture while platforms evolve.</w:t>
      </w:r>
    </w:p>
    <w:p>
      <w:pPr>
        <w:pStyle w:val="Heading2"/>
      </w:pPr>
      <w:r>
        <w:t>Analytics Sandbox</w:t>
      </w:r>
    </w:p>
    <w:p>
      <w:r>
        <w:t>Give analysts realistic datasets without direct production access.</w:t>
      </w:r>
    </w:p>
    <w:p>
      <w:pPr>
        <w:pStyle w:val="Heading2"/>
      </w:pPr>
      <w:r>
        <w:t>AI-Assisted Engineering</w:t>
      </w:r>
    </w:p>
    <w:p>
      <w:r>
        <w:t>Provide realistic, protected data for AI-assisted development and testing.</w:t>
      </w:r>
    </w:p>
    <w:p>
      <w:pPr>
        <w:pStyle w:val="Heading1"/>
      </w:pPr>
      <w:r>
        <w:t>29. Homepage — Developer experience</w:t>
      </w:r>
    </w:p>
    <w:p>
      <w:pPr>
        <w:pStyle w:val="Heading2"/>
      </w:pPr>
      <w:r>
        <w:t>Web</w:t>
      </w:r>
    </w:p>
    <w:p>
      <w:r>
        <w:t>Interactive job configuration, connectors, schema graph and job progress.</w:t>
      </w:r>
    </w:p>
    <w:p>
      <w:pPr>
        <w:pStyle w:val="Heading2"/>
      </w:pPr>
      <w:r>
        <w:t>REST API</w:t>
      </w:r>
    </w:p>
    <w:p>
      <w:r>
        <w:t>Programmatic platform integration.</w:t>
      </w:r>
    </w:p>
    <w:p>
      <w:pPr>
        <w:pStyle w:val="Heading2"/>
      </w:pPr>
      <w:r>
        <w:t>CLI</w:t>
      </w:r>
    </w:p>
    <w:p>
      <w:r>
        <w:t>Headless execution through configuration, suitable for CI/CD and automation.</w:t>
      </w:r>
    </w:p>
    <w:p>
      <w:pPr>
        <w:pStyle w:val="Heading2"/>
      </w:pPr>
      <w:r>
        <w:t>Kubernetes</w:t>
      </w:r>
    </w:p>
    <w:p>
      <w:r>
        <w:t>Declarative execution through custom resources and controller-runtime.</w:t>
      </w:r>
    </w:p>
    <w:p>
      <w:pPr>
        <w:pStyle w:val="Heading1"/>
      </w:pPr>
      <w:r>
        <w:t>30. Homepage — Roadmap</w:t>
      </w:r>
    </w:p>
    <w:p>
      <w:pPr>
        <w:spacing w:before="60" w:after="120"/>
        <w:ind w:left="360" w:right="144"/>
        <w:shd w:fill="F6F8FA"/>
      </w:pPr>
      <w:r>
        <w:rPr>
          <w:i/>
          <w:color w:val="132235"/>
          <w:sz w:val="21"/>
        </w:rPr>
        <w:t>From secure data delivery to complete data environment lifecycle automation.</w:t>
      </w:r>
    </w:p>
    <w:p>
      <w:r>
        <w:t>Tessera's roadmap extends the current platform toward on-demand non-production database environments backed by safe replicas and cloud-native storage.</w:t>
      </w:r>
    </w:p>
    <w:p>
      <w:pPr>
        <w:pStyle w:val="ListBullet"/>
        <w:spacing w:after="40"/>
      </w:pPr>
      <w:r>
        <w:rPr>
          <w:sz w:val="19"/>
        </w:rPr>
        <w:t>provision</w:t>
      </w:r>
    </w:p>
    <w:p>
      <w:pPr>
        <w:pStyle w:val="ListBullet"/>
        <w:spacing w:after="40"/>
      </w:pPr>
      <w:r>
        <w:rPr>
          <w:sz w:val="19"/>
        </w:rPr>
        <w:t>refresh</w:t>
      </w:r>
    </w:p>
    <w:p>
      <w:pPr>
        <w:pStyle w:val="ListBullet"/>
        <w:spacing w:after="40"/>
      </w:pPr>
      <w:r>
        <w:rPr>
          <w:sz w:val="19"/>
        </w:rPr>
        <w:t>snapshot</w:t>
      </w:r>
    </w:p>
    <w:p>
      <w:pPr>
        <w:pStyle w:val="ListBullet"/>
        <w:spacing w:after="40"/>
      </w:pPr>
      <w:r>
        <w:rPr>
          <w:sz w:val="19"/>
        </w:rPr>
        <w:t>rollback</w:t>
      </w:r>
    </w:p>
    <w:p>
      <w:pPr>
        <w:pStyle w:val="SmallNote"/>
      </w:pPr>
      <w:r>
        <w:t>Use a visible ROADMAP label.</w:t>
      </w:r>
    </w:p>
    <w:p>
      <w:pPr>
        <w:pStyle w:val="Heading1"/>
      </w:pPr>
      <w:r>
        <w:t>31. Homepage — Final CTA</w:t>
      </w:r>
    </w:p>
    <w:p>
      <w:pPr>
        <w:spacing w:before="60" w:after="120"/>
        <w:ind w:left="360" w:right="144"/>
        <w:shd w:fill="F6F8FA"/>
      </w:pPr>
      <w:r>
        <w:rPr>
          <w:i/>
          <w:color w:val="132235"/>
          <w:sz w:val="21"/>
        </w:rPr>
        <w:t>Stop waiting for safe, realistic data.</w:t>
      </w:r>
    </w:p>
    <w:p>
      <w:r>
        <w:t>Bring production-like datasets to engineering and data teams without bringing unnecessary production risk with them.</w:t>
      </w:r>
    </w:p>
    <w:p>
      <w:r>
        <w:t>CTA: Request a Demo</w:t>
      </w:r>
    </w:p>
    <w:p>
      <w:pPr>
        <w:pStyle w:val="Heading1"/>
      </w:pPr>
      <w:r>
        <w:t>32. Platform page — Intro copy</w:t>
      </w:r>
    </w:p>
    <w:p>
      <w:pPr>
        <w:spacing w:before="60" w:after="120"/>
        <w:ind w:left="360" w:right="144"/>
        <w:shd w:fill="F6F8FA"/>
      </w:pPr>
      <w:r>
        <w:rPr>
          <w:i/>
          <w:color w:val="132235"/>
          <w:sz w:val="21"/>
        </w:rPr>
        <w:t>Composable data capabilities for modern engineering.</w:t>
      </w:r>
    </w:p>
    <w:p>
      <w:r>
        <w:t>Tessera is built as a set of independent and composable data capabilities. Use sensitive-data Discovery, deterministic Masking, referential Subsetting, CDC &amp; Snapshot independently or combine them according to the workflow.</w:t>
      </w:r>
    </w:p>
    <w:p>
      <w:pPr>
        <w:pStyle w:val="Heading1"/>
      </w:pPr>
      <w:r>
        <w:t>33. Security page — Recommended content</w:t>
      </w:r>
    </w:p>
    <w:p>
      <w:pPr>
        <w:pStyle w:val="ListBullet"/>
        <w:spacing w:after="40"/>
      </w:pPr>
      <w:r>
        <w:rPr>
          <w:sz w:val="19"/>
        </w:rPr>
        <w:t>Sensitive-data classification</w:t>
      </w:r>
    </w:p>
    <w:p>
      <w:pPr>
        <w:pStyle w:val="ListBullet"/>
        <w:spacing w:after="40"/>
      </w:pPr>
      <w:r>
        <w:rPr>
          <w:sz w:val="19"/>
        </w:rPr>
        <w:t>Deterministic masking</w:t>
      </w:r>
    </w:p>
    <w:p>
      <w:pPr>
        <w:pStyle w:val="ListBullet"/>
        <w:spacing w:after="40"/>
      </w:pPr>
      <w:r>
        <w:rPr>
          <w:sz w:val="19"/>
        </w:rPr>
        <w:t>Key-driven transformations</w:t>
      </w:r>
    </w:p>
    <w:p>
      <w:pPr>
        <w:pStyle w:val="ListBullet"/>
        <w:spacing w:after="40"/>
      </w:pPr>
      <w:r>
        <w:rPr>
          <w:sz w:val="19"/>
        </w:rPr>
        <w:t>AWS KMS support</w:t>
      </w:r>
    </w:p>
    <w:p>
      <w:pPr>
        <w:pStyle w:val="ListBullet"/>
        <w:spacing w:after="40"/>
      </w:pPr>
      <w:r>
        <w:rPr>
          <w:sz w:val="19"/>
        </w:rPr>
        <w:t>Kubernetes Secret / file providers</w:t>
      </w:r>
    </w:p>
    <w:p>
      <w:pPr>
        <w:pStyle w:val="ListBullet"/>
        <w:spacing w:after="40"/>
      </w:pPr>
      <w:r>
        <w:rPr>
          <w:sz w:val="19"/>
        </w:rPr>
        <w:t>Data minimization through subsetting</w:t>
      </w:r>
    </w:p>
    <w:p>
      <w:pPr>
        <w:pStyle w:val="ListBullet"/>
        <w:spacing w:after="40"/>
      </w:pPr>
      <w:r>
        <w:rPr>
          <w:sz w:val="19"/>
        </w:rPr>
        <w:t>Deployment within engineering pipelines</w:t>
      </w:r>
    </w:p>
    <w:p>
      <w:pPr>
        <w:spacing w:before="60" w:after="120"/>
        <w:ind w:left="360" w:right="144"/>
        <w:shd w:fill="F6F8FA"/>
      </w:pPr>
      <w:r>
        <w:rPr>
          <w:i/>
          <w:color w:val="132235"/>
          <w:sz w:val="21"/>
        </w:rPr>
        <w:t>Avoid certifications or compliance claims unless they have actually been obtained.</w:t>
      </w:r>
    </w:p>
    <w:p>
      <w:pPr>
        <w:pStyle w:val="Heading1"/>
      </w:pPr>
      <w:r>
        <w:t>34. Architecture page — Technical detail</w:t>
      </w:r>
    </w:p>
    <w:p>
      <w:pPr>
        <w:pStyle w:val="ListNumber"/>
        <w:spacing w:after="40"/>
      </w:pPr>
      <w:r>
        <w:rPr>
          <w:sz w:val="19"/>
        </w:rPr>
        <w:t>Modular architecture</w:t>
      </w:r>
    </w:p>
    <w:p>
      <w:pPr>
        <w:pStyle w:val="ListNumber"/>
        <w:spacing w:after="40"/>
      </w:pPr>
      <w:r>
        <w:rPr>
          <w:sz w:val="19"/>
        </w:rPr>
        <w:t>Discovery classifier architecture</w:t>
      </w:r>
    </w:p>
    <w:p>
      <w:pPr>
        <w:pStyle w:val="ListNumber"/>
        <w:spacing w:after="40"/>
      </w:pPr>
      <w:r>
        <w:rPr>
          <w:sz w:val="19"/>
        </w:rPr>
        <w:t>Masking algorithm registry and CryptoService</w:t>
      </w:r>
    </w:p>
    <w:p>
      <w:pPr>
        <w:pStyle w:val="ListNumber"/>
        <w:spacing w:after="40"/>
      </w:pPr>
      <w:r>
        <w:rPr>
          <w:sz w:val="19"/>
        </w:rPr>
        <w:t>Subsetter Schema Graph / Planner / Executor</w:t>
      </w:r>
    </w:p>
    <w:p>
      <w:pPr>
        <w:pStyle w:val="ListNumber"/>
        <w:spacing w:after="40"/>
      </w:pPr>
      <w:r>
        <w:rPr>
          <w:sz w:val="19"/>
        </w:rPr>
        <w:t>Tarjan SCC and execution waves</w:t>
      </w:r>
    </w:p>
    <w:p>
      <w:pPr>
        <w:pStyle w:val="ListNumber"/>
        <w:spacing w:after="40"/>
      </w:pPr>
      <w:r>
        <w:rPr>
          <w:sz w:val="19"/>
        </w:rPr>
        <w:t>Web / CLI / Kubernetes surfaces</w:t>
      </w:r>
    </w:p>
    <w:p>
      <w:pPr>
        <w:pStyle w:val="ListNumber"/>
        <w:spacing w:after="40"/>
      </w:pPr>
      <w:r>
        <w:rPr>
          <w:sz w:val="19"/>
        </w:rPr>
        <w:t>CDC Coordinator / Snapshot / Streamer</w:t>
      </w:r>
    </w:p>
    <w:p>
      <w:pPr>
        <w:pStyle w:val="ListNumber"/>
        <w:spacing w:after="40"/>
      </w:pPr>
      <w:r>
        <w:rPr>
          <w:sz w:val="19"/>
        </w:rPr>
        <w:t>Canonical JSONL</w:t>
      </w:r>
    </w:p>
    <w:p>
      <w:pPr>
        <w:pStyle w:val="ListNumber"/>
        <w:spacing w:after="40"/>
      </w:pPr>
      <w:r>
        <w:rPr>
          <w:sz w:val="19"/>
        </w:rPr>
        <w:t>Kubernetes custom resources</w:t>
      </w:r>
    </w:p>
    <w:p>
      <w:pPr>
        <w:pStyle w:val="ListNumber"/>
        <w:spacing w:after="40"/>
      </w:pPr>
      <w:r>
        <w:rPr>
          <w:sz w:val="19"/>
        </w:rPr>
        <w:t>Roadmap environment lifecycle</w:t>
      </w:r>
    </w:p>
    <w:p>
      <w:r>
        <w:t>The Architecture page is the right location for technical terms such as FF1, SHA-256, Neo4j, Tarjan SCC, MVCC, LSN, GTID, pgoutput, controller-runtime and SSE.</w:t>
      </w:r>
    </w:p>
    <w:p>
      <w:pPr>
        <w:pStyle w:val="Heading1"/>
      </w:pPr>
      <w:r>
        <w:t>35. FAQ — Recommended questions</w:t>
      </w:r>
    </w:p>
    <w:p>
      <w:pPr>
        <w:pStyle w:val="Heading2"/>
      </w:pPr>
      <w:r>
        <w:t>Does CDC require Discovery, Masking or Subsetter?</w:t>
      </w:r>
    </w:p>
    <w:p>
      <w:r>
        <w:t>No. CDC &amp; Snapshot is an independent capability. It can run without Discovery, Masking or Subsetter. The modules may be integrated depending on the workflow.</w:t>
      </w:r>
    </w:p>
    <w:p>
      <w:pPr>
        <w:pStyle w:val="Heading2"/>
      </w:pPr>
      <w:r>
        <w:t>Can Discovery run independently?</w:t>
      </w:r>
    </w:p>
    <w:p>
      <w:r>
        <w:t>Yes. Discovery is a reusable Go framework that accepts metadata and samples and returns a classification inventory.</w:t>
      </w:r>
    </w:p>
    <w:p>
      <w:pPr>
        <w:pStyle w:val="Heading2"/>
      </w:pPr>
      <w:r>
        <w:t>Is Masking tied to Discovery?</w:t>
      </w:r>
    </w:p>
    <w:p>
      <w:r>
        <w:t>No. They are separate frameworks. Discovery can produce an inventory that Masking consumes, but they do not require direct implementation coupling.</w:t>
      </w:r>
    </w:p>
    <w:p>
      <w:pPr>
        <w:pStyle w:val="Heading2"/>
      </w:pPr>
      <w:r>
        <w:t>Can Subsetter apply masking while extracting data?</w:t>
      </w:r>
    </w:p>
    <w:p>
      <w:r>
        <w:t>Yes. Subsetter can embed Discovery and Masking during extraction.</w:t>
      </w:r>
    </w:p>
    <w:p>
      <w:pPr>
        <w:pStyle w:val="Heading2"/>
      </w:pPr>
      <w:r>
        <w:t>Which databases does Subsetter support?</w:t>
      </w:r>
    </w:p>
    <w:p>
      <w:r>
        <w:t>Current technical support includes PostgreSQL, MySQL, SQL Server, Oracle and MongoDB, plus object-storage workflows.</w:t>
      </w:r>
    </w:p>
    <w:p>
      <w:pPr>
        <w:pStyle w:val="Heading2"/>
      </w:pPr>
      <w:r>
        <w:t>Which databases does CDC support?</w:t>
      </w:r>
    </w:p>
    <w:p>
      <w:r>
        <w:t>Current CDC source support is PostgreSQL 16+ and MySQL 8+.</w:t>
      </w:r>
    </w:p>
    <w:p>
      <w:pPr>
        <w:pStyle w:val="Heading2"/>
      </w:pPr>
      <w:r>
        <w:t>Where does CDC write data?</w:t>
      </w:r>
    </w:p>
    <w:p>
      <w:r>
        <w:t>Current output is canonical JSONL written to S3 or filesystem.</w:t>
      </w:r>
    </w:p>
    <w:p>
      <w:pPr>
        <w:pStyle w:val="Heading2"/>
      </w:pPr>
      <w:r>
        <w:t>Does Tessera replace Kafka?</w:t>
      </w:r>
    </w:p>
    <w:p>
      <w:r>
        <w:t>Not necessarily. Tessera CDC can support use cases that do not require a full streaming stack, but the website should not claim it universally replaces Kafka.</w:t>
      </w:r>
    </w:p>
    <w:p>
      <w:pPr>
        <w:pStyle w:val="Heading2"/>
      </w:pPr>
      <w:r>
        <w:t>Does Tessera automatically clone production databases today?</w:t>
      </w:r>
    </w:p>
    <w:p>
      <w:r>
        <w:t>No. Full database environment lifecycle automation is on the roadmap.</w:t>
      </w:r>
    </w:p>
    <w:p>
      <w:pPr>
        <w:pStyle w:val="Heading2"/>
      </w:pPr>
      <w:r>
        <w:t>Does Tessera guarantee 100% PII detection?</w:t>
      </w:r>
    </w:p>
    <w:p>
      <w:r>
        <w:t>No. Discovery is designed with a recall-first strategy, but sensitive-data classification still requires appropriate policies, evaluation and review.</w:t>
      </w:r>
    </w:p>
    <w:p>
      <w:pPr>
        <w:pStyle w:val="Heading2"/>
      </w:pPr>
      <w:r>
        <w:t>Does Tessera fix poor data quality?</w:t>
      </w:r>
    </w:p>
    <w:p>
      <w:r>
        <w:t>No. Tessera helps teams work with realistic, protected data. It does not automatically remediate incorrect or low-quality source data.</w:t>
      </w:r>
    </w:p>
    <w:p>
      <w:pPr>
        <w:pStyle w:val="Heading2"/>
      </w:pPr>
      <w:r>
        <w:t>Is Tessera an AI platform?</w:t>
      </w:r>
    </w:p>
    <w:p>
      <w:r>
        <w:t>No. Tessera provides data capabilities that can support AI-assisted engineering, but it is not an AI-agent, RAG or LLM orchestration platform.</w:t>
      </w:r>
    </w:p>
    <w:p>
      <w:pPr>
        <w:pStyle w:val="Heading1"/>
      </w:pPr>
      <w:r>
        <w:t>36. Claims to avoid</w:t>
      </w:r>
    </w:p>
    <w:p>
      <w:pPr>
        <w:pStyle w:val="ListBullet"/>
        <w:spacing w:after="40"/>
      </w:pPr>
      <w:r>
        <w:rPr>
          <w:sz w:val="19"/>
        </w:rPr>
        <w:t>100% of PII protected.</w:t>
      </w:r>
    </w:p>
    <w:p>
      <w:pPr>
        <w:pStyle w:val="ListBullet"/>
        <w:spacing w:after="40"/>
      </w:pPr>
      <w:r>
        <w:rPr>
          <w:sz w:val="19"/>
        </w:rPr>
        <w:t>All sensitive data automatically detected.</w:t>
      </w:r>
    </w:p>
    <w:p>
      <w:pPr>
        <w:pStyle w:val="ListBullet"/>
        <w:spacing w:after="40"/>
      </w:pPr>
      <w:r>
        <w:rPr>
          <w:sz w:val="19"/>
        </w:rPr>
        <w:t>All products production-ready.</w:t>
      </w:r>
    </w:p>
    <w:p>
      <w:pPr>
        <w:pStyle w:val="ListBullet"/>
        <w:spacing w:after="40"/>
      </w:pPr>
      <w:r>
        <w:rPr>
          <w:sz w:val="19"/>
        </w:rPr>
        <w:t>Clone any database in minutes.</w:t>
      </w:r>
    </w:p>
    <w:p>
      <w:pPr>
        <w:pStyle w:val="ListBullet"/>
        <w:spacing w:after="40"/>
      </w:pPr>
      <w:r>
        <w:rPr>
          <w:sz w:val="19"/>
        </w:rPr>
        <w:t>Complete database lifecycle available now.</w:t>
      </w:r>
    </w:p>
    <w:p>
      <w:pPr>
        <w:pStyle w:val="ListBullet"/>
        <w:spacing w:after="40"/>
      </w:pPr>
      <w:r>
        <w:rPr>
          <w:sz w:val="19"/>
        </w:rPr>
        <w:t>Automatic migration to any database.</w:t>
      </w:r>
    </w:p>
    <w:p>
      <w:pPr>
        <w:pStyle w:val="ListBullet"/>
        <w:spacing w:after="40"/>
      </w:pPr>
      <w:r>
        <w:rPr>
          <w:sz w:val="19"/>
        </w:rPr>
        <w:t>Tessera fixes data quality.</w:t>
      </w:r>
    </w:p>
    <w:p>
      <w:pPr>
        <w:pStyle w:val="ListBullet"/>
        <w:spacing w:after="40"/>
      </w:pPr>
      <w:r>
        <w:rPr>
          <w:sz w:val="19"/>
        </w:rPr>
        <w:t>Tessera makes any data GDPR/LGPD compliant.</w:t>
      </w:r>
    </w:p>
    <w:p>
      <w:pPr>
        <w:pStyle w:val="ListBullet"/>
        <w:spacing w:after="40"/>
      </w:pPr>
      <w:r>
        <w:rPr>
          <w:sz w:val="19"/>
        </w:rPr>
        <w:t>Tessera is a full AI context platform.</w:t>
      </w:r>
    </w:p>
    <w:p>
      <w:pPr>
        <w:pStyle w:val="ListBullet"/>
        <w:spacing w:after="40"/>
      </w:pPr>
      <w:r>
        <w:rPr>
          <w:sz w:val="19"/>
        </w:rPr>
        <w:t>Synthetic data generation — not currently established.</w:t>
      </w:r>
    </w:p>
    <w:p>
      <w:pPr>
        <w:pStyle w:val="ListBullet"/>
        <w:spacing w:after="40"/>
      </w:pPr>
      <w:r>
        <w:rPr>
          <w:sz w:val="19"/>
        </w:rPr>
        <w:t>Dynamic masking — not currently established.</w:t>
      </w:r>
    </w:p>
    <w:p>
      <w:pPr>
        <w:pStyle w:val="ListBullet"/>
        <w:spacing w:after="40"/>
      </w:pPr>
      <w:r>
        <w:rPr>
          <w:sz w:val="19"/>
        </w:rPr>
        <w:t>DynamoDB support — currently specified, not implemented.</w:t>
      </w:r>
    </w:p>
    <w:p>
      <w:pPr>
        <w:pStyle w:val="Heading1"/>
      </w:pPr>
      <w:r>
        <w:t>37. Safe marketing claims</w:t>
      </w:r>
    </w:p>
    <w:p>
      <w:pPr>
        <w:pStyle w:val="ListBullet"/>
        <w:spacing w:after="40"/>
      </w:pPr>
      <w:r>
        <w:rPr>
          <w:sz w:val="19"/>
        </w:rPr>
        <w:t>Automated sensitive-data discovery.</w:t>
      </w:r>
    </w:p>
    <w:p>
      <w:pPr>
        <w:pStyle w:val="ListBullet"/>
        <w:spacing w:after="40"/>
      </w:pPr>
      <w:r>
        <w:rPr>
          <w:sz w:val="19"/>
        </w:rPr>
        <w:t>Deterministic masking designed to preserve relationships.</w:t>
      </w:r>
    </w:p>
    <w:p>
      <w:pPr>
        <w:pStyle w:val="ListBullet"/>
        <w:spacing w:after="40"/>
      </w:pPr>
      <w:r>
        <w:rPr>
          <w:sz w:val="19"/>
        </w:rPr>
        <w:t>Referentially consistent data subsetting.</w:t>
      </w:r>
    </w:p>
    <w:p>
      <w:pPr>
        <w:pStyle w:val="ListBullet"/>
        <w:spacing w:after="40"/>
      </w:pPr>
      <w:r>
        <w:rPr>
          <w:sz w:val="19"/>
        </w:rPr>
        <w:t>Consistent snapshot and incremental change capture.</w:t>
      </w:r>
    </w:p>
    <w:p>
      <w:pPr>
        <w:pStyle w:val="ListBullet"/>
        <w:spacing w:after="40"/>
      </w:pPr>
      <w:r>
        <w:rPr>
          <w:sz w:val="19"/>
        </w:rPr>
        <w:t>PostgreSQL and MySQL CDC.</w:t>
      </w:r>
    </w:p>
    <w:p>
      <w:pPr>
        <w:pStyle w:val="ListBullet"/>
        <w:spacing w:after="40"/>
      </w:pPr>
      <w:r>
        <w:rPr>
          <w:sz w:val="19"/>
        </w:rPr>
        <w:t>Web, CLI and Kubernetes-friendly workflows.</w:t>
      </w:r>
    </w:p>
    <w:p>
      <w:pPr>
        <w:pStyle w:val="ListBullet"/>
        <w:spacing w:after="40"/>
      </w:pPr>
      <w:r>
        <w:rPr>
          <w:sz w:val="19"/>
        </w:rPr>
        <w:t>Designed for development, QA, Data Engineering, analytics, migration and AI-assisted engineering.</w:t>
      </w:r>
    </w:p>
    <w:p>
      <w:pPr>
        <w:pStyle w:val="ListBullet"/>
        <w:spacing w:after="40"/>
      </w:pPr>
      <w:r>
        <w:rPr>
          <w:sz w:val="19"/>
        </w:rPr>
        <w:t>Data Environment Lifecycle is on the roadmap.</w:t>
      </w:r>
    </w:p>
    <w:p>
      <w:pPr>
        <w:pStyle w:val="ListBullet"/>
        <w:spacing w:after="40"/>
      </w:pPr>
      <w:r>
        <w:rPr>
          <w:sz w:val="19"/>
        </w:rPr>
        <w:t>Production-like data without direct production exposure.</w:t>
      </w:r>
    </w:p>
    <w:p>
      <w:pPr>
        <w:pStyle w:val="Heading1"/>
      </w:pPr>
      <w:r>
        <w:t>38. Tone of voice</w:t>
      </w:r>
    </w:p>
    <w:p>
      <w:r>
        <w:t>The website should feel:</w:t>
      </w:r>
    </w:p>
    <w:p>
      <w:pPr>
        <w:pStyle w:val="ListBullet"/>
        <w:spacing w:after="40"/>
      </w:pPr>
      <w:r>
        <w:rPr>
          <w:sz w:val="19"/>
        </w:rPr>
        <w:t>technical</w:t>
      </w:r>
    </w:p>
    <w:p>
      <w:pPr>
        <w:pStyle w:val="ListBullet"/>
        <w:spacing w:after="40"/>
      </w:pPr>
      <w:r>
        <w:rPr>
          <w:sz w:val="19"/>
        </w:rPr>
        <w:t>precise</w:t>
      </w:r>
    </w:p>
    <w:p>
      <w:pPr>
        <w:pStyle w:val="ListBullet"/>
        <w:spacing w:after="40"/>
      </w:pPr>
      <w:r>
        <w:rPr>
          <w:sz w:val="19"/>
        </w:rPr>
        <w:t>enterprise-ready</w:t>
      </w:r>
    </w:p>
    <w:p>
      <w:pPr>
        <w:pStyle w:val="ListBullet"/>
        <w:spacing w:after="40"/>
      </w:pPr>
      <w:r>
        <w:rPr>
          <w:sz w:val="19"/>
        </w:rPr>
        <w:t>modern</w:t>
      </w:r>
    </w:p>
    <w:p>
      <w:pPr>
        <w:pStyle w:val="ListBullet"/>
        <w:spacing w:after="40"/>
      </w:pPr>
      <w:r>
        <w:rPr>
          <w:sz w:val="19"/>
        </w:rPr>
        <w:t>confident</w:t>
      </w:r>
    </w:p>
    <w:p>
      <w:pPr>
        <w:pStyle w:val="ListBullet"/>
        <w:spacing w:after="40"/>
      </w:pPr>
      <w:r>
        <w:rPr>
          <w:sz w:val="19"/>
        </w:rPr>
        <w:t>engineering-oriented</w:t>
      </w:r>
    </w:p>
    <w:p>
      <w:pPr>
        <w:pStyle w:val="ListBullet"/>
        <w:spacing w:after="40"/>
      </w:pPr>
      <w:r>
        <w:rPr>
          <w:sz w:val="19"/>
        </w:rPr>
        <w:t>low-hype</w:t>
      </w:r>
    </w:p>
    <w:p>
      <w:r>
        <w:t>Avoid generic consulting language and exaggerated startup claims.</w:t>
      </w:r>
    </w:p>
    <w:p>
      <w:pPr>
        <w:spacing w:before="60" w:after="120"/>
        <w:ind w:left="360" w:right="144"/>
        <w:shd w:fill="F6F8FA"/>
      </w:pPr>
      <w:r>
        <w:rPr>
          <w:i/>
          <w:color w:val="132235"/>
          <w:sz w:val="21"/>
        </w:rPr>
        <w:t>Prefer concrete statements such as: 'Create smaller, realistic datasets while preserving relationships.'</w:t>
      </w:r>
    </w:p>
    <w:p>
      <w:pPr>
        <w:pStyle w:val="Heading1"/>
      </w:pPr>
      <w:r>
        <w:t>39. Visual direction</w:t>
      </w:r>
    </w:p>
    <w:p>
      <w:pPr>
        <w:pStyle w:val="ListBullet"/>
        <w:spacing w:after="40"/>
      </w:pPr>
      <w:r>
        <w:rPr>
          <w:sz w:val="19"/>
        </w:rPr>
        <w:t>Enterprise developer infrastructure feel</w:t>
      </w:r>
    </w:p>
    <w:p>
      <w:pPr>
        <w:pStyle w:val="ListBullet"/>
        <w:spacing w:after="40"/>
      </w:pPr>
      <w:r>
        <w:rPr>
          <w:sz w:val="19"/>
        </w:rPr>
        <w:t>Clean technical aesthetic</w:t>
      </w:r>
    </w:p>
    <w:p>
      <w:pPr>
        <w:pStyle w:val="ListBullet"/>
        <w:spacing w:after="40"/>
      </w:pPr>
      <w:r>
        <w:rPr>
          <w:sz w:val="19"/>
        </w:rPr>
        <w:t>Strong diagrams</w:t>
      </w:r>
    </w:p>
    <w:p>
      <w:pPr>
        <w:pStyle w:val="ListBullet"/>
        <w:spacing w:after="40"/>
      </w:pPr>
      <w:r>
        <w:rPr>
          <w:sz w:val="19"/>
        </w:rPr>
        <w:t>Product UI / terminal examples</w:t>
      </w:r>
    </w:p>
    <w:p>
      <w:pPr>
        <w:pStyle w:val="ListBullet"/>
        <w:spacing w:after="40"/>
      </w:pPr>
      <w:r>
        <w:rPr>
          <w:sz w:val="19"/>
        </w:rPr>
        <w:t>Minimal stock photography</w:t>
      </w:r>
    </w:p>
    <w:p>
      <w:pPr>
        <w:pStyle w:val="ListBullet"/>
        <w:spacing w:after="40"/>
      </w:pPr>
      <w:r>
        <w:rPr>
          <w:sz w:val="19"/>
        </w:rPr>
        <w:t>Avoid generic AI robot imagery</w:t>
      </w:r>
    </w:p>
    <w:p>
      <w:pPr>
        <w:pStyle w:val="ListBullet"/>
        <w:spacing w:after="40"/>
      </w:pPr>
      <w:r>
        <w:rPr>
          <w:sz w:val="19"/>
        </w:rPr>
        <w:t>Use modular diagrams rather than mandatory linear pipelines</w:t>
      </w:r>
    </w:p>
    <w:p>
      <w:pPr>
        <w:pStyle w:val="Heading2"/>
      </w:pPr>
      <w:r>
        <w:t>Product status labels</w:t>
      </w:r>
    </w:p>
    <w:p>
      <w:pPr>
        <w:pStyle w:val="ListBullet"/>
        <w:spacing w:after="40"/>
      </w:pPr>
      <w:r>
        <w:rPr>
          <w:sz w:val="19"/>
        </w:rPr>
        <w:t>READY</w:t>
      </w:r>
    </w:p>
    <w:p>
      <w:pPr>
        <w:pStyle w:val="ListBullet"/>
        <w:spacing w:after="40"/>
      </w:pPr>
      <w:r>
        <w:rPr>
          <w:sz w:val="19"/>
        </w:rPr>
        <w:t>CORE COMPLETE</w:t>
      </w:r>
    </w:p>
    <w:p>
      <w:pPr>
        <w:pStyle w:val="ListBullet"/>
        <w:spacing w:after="40"/>
      </w:pPr>
      <w:r>
        <w:rPr>
          <w:sz w:val="19"/>
        </w:rPr>
        <w:t>HARDENING</w:t>
      </w:r>
    </w:p>
    <w:p>
      <w:pPr>
        <w:pStyle w:val="ListBullet"/>
        <w:spacing w:after="40"/>
      </w:pPr>
      <w:r>
        <w:rPr>
          <w:sz w:val="19"/>
        </w:rPr>
        <w:t>ROADMAP</w:t>
      </w:r>
    </w:p>
    <w:p>
      <w:pPr>
        <w:pStyle w:val="Heading1"/>
      </w:pPr>
      <w:r>
        <w:t>40. Optional website product labels</w:t>
      </w:r>
    </w:p>
    <w:tbl>
      <w:tblPr>
        <w:tblStyle w:val="TableGrid"/>
        <w:tblW w:type="auto" w:w="0"/>
        <w:jc w:val="center"/>
        <w:tblLook w:firstColumn="1" w:firstRow="1" w:lastColumn="0" w:lastRow="0" w:noHBand="0" w:noVBand="1" w:val="04A0"/>
      </w:tblPr>
      <w:tblGrid>
        <w:gridCol w:w="5083"/>
        <w:gridCol w:w="5083"/>
      </w:tblGrid>
      <w:tr>
        <w:tc>
          <w:tcPr>
            <w:tcW w:type="dxa" w:w="4464"/>
            <w:shd w:fill="DCE6F1"/>
            <w:vAlign w:val="center"/>
            <w:tcMar>
              <w:top w:w="60" w:type="dxa"/>
              <w:start w:w="70" w:type="dxa"/>
              <w:bottom w:w="60" w:type="dxa"/>
              <w:end w:w="70" w:type="dxa"/>
            </w:tcMar>
          </w:tcPr>
          <w:p>
            <w:r>
              <w:rPr>
                <w:b/>
                <w:color w:val="132235"/>
                <w:sz w:val="17"/>
              </w:rPr>
              <w:t>Technical Name</w:t>
            </w:r>
          </w:p>
        </w:tc>
        <w:tc>
          <w:tcPr>
            <w:tcW w:type="dxa" w:w="4464"/>
            <w:shd w:fill="DCE6F1"/>
            <w:vAlign w:val="center"/>
            <w:tcMar>
              <w:top w:w="60" w:type="dxa"/>
              <w:start w:w="70" w:type="dxa"/>
              <w:bottom w:w="60" w:type="dxa"/>
              <w:end w:w="70" w:type="dxa"/>
            </w:tcMar>
          </w:tcPr>
          <w:p>
            <w:r>
              <w:rPr>
                <w:b/>
                <w:color w:val="132235"/>
                <w:sz w:val="17"/>
              </w:rPr>
              <w:t>Optional Marketing Label</w:t>
            </w:r>
          </w:p>
        </w:tc>
      </w:tr>
      <w:tr>
        <w:tc>
          <w:tcPr>
            <w:tcW w:type="dxa" w:w="4464"/>
            <w:vAlign w:val="top"/>
            <w:tcMar>
              <w:top w:w="55" w:type="dxa"/>
              <w:start w:w="65" w:type="dxa"/>
              <w:bottom w:w="55" w:type="dxa"/>
              <w:end w:w="65" w:type="dxa"/>
            </w:tcMar>
          </w:tcPr>
          <w:p>
            <w:r>
              <w:rPr>
                <w:sz w:val="17"/>
              </w:rPr>
              <w:t>Discovery</w:t>
            </w:r>
          </w:p>
        </w:tc>
        <w:tc>
          <w:tcPr>
            <w:tcW w:type="dxa" w:w="4464"/>
            <w:vAlign w:val="top"/>
            <w:tcMar>
              <w:top w:w="55" w:type="dxa"/>
              <w:start w:w="65" w:type="dxa"/>
              <w:bottom w:w="55" w:type="dxa"/>
              <w:end w:w="65" w:type="dxa"/>
            </w:tcMar>
          </w:tcPr>
          <w:p>
            <w:r>
              <w:rPr>
                <w:sz w:val="17"/>
              </w:rPr>
              <w:t>Tessera Discover</w:t>
            </w:r>
          </w:p>
        </w:tc>
      </w:tr>
      <w:tr>
        <w:tc>
          <w:tcPr>
            <w:tcW w:type="dxa" w:w="4464"/>
            <w:vAlign w:val="top"/>
            <w:tcMar>
              <w:top w:w="55" w:type="dxa"/>
              <w:start w:w="65" w:type="dxa"/>
              <w:bottom w:w="55" w:type="dxa"/>
              <w:end w:w="65" w:type="dxa"/>
            </w:tcMar>
          </w:tcPr>
          <w:p>
            <w:r>
              <w:rPr>
                <w:sz w:val="17"/>
              </w:rPr>
              <w:t>Masking</w:t>
            </w:r>
          </w:p>
        </w:tc>
        <w:tc>
          <w:tcPr>
            <w:tcW w:type="dxa" w:w="4464"/>
            <w:vAlign w:val="top"/>
            <w:tcMar>
              <w:top w:w="55" w:type="dxa"/>
              <w:start w:w="65" w:type="dxa"/>
              <w:bottom w:w="55" w:type="dxa"/>
              <w:end w:w="65" w:type="dxa"/>
            </w:tcMar>
          </w:tcPr>
          <w:p>
            <w:r>
              <w:rPr>
                <w:sz w:val="17"/>
              </w:rPr>
              <w:t>Tessera Protect</w:t>
            </w:r>
          </w:p>
        </w:tc>
      </w:tr>
      <w:tr>
        <w:tc>
          <w:tcPr>
            <w:tcW w:type="dxa" w:w="4464"/>
            <w:vAlign w:val="top"/>
            <w:tcMar>
              <w:top w:w="55" w:type="dxa"/>
              <w:start w:w="65" w:type="dxa"/>
              <w:bottom w:w="55" w:type="dxa"/>
              <w:end w:w="65" w:type="dxa"/>
            </w:tcMar>
          </w:tcPr>
          <w:p>
            <w:r>
              <w:rPr>
                <w:sz w:val="17"/>
              </w:rPr>
              <w:t>Subsetter</w:t>
            </w:r>
          </w:p>
        </w:tc>
        <w:tc>
          <w:tcPr>
            <w:tcW w:type="dxa" w:w="4464"/>
            <w:vAlign w:val="top"/>
            <w:tcMar>
              <w:top w:w="55" w:type="dxa"/>
              <w:start w:w="65" w:type="dxa"/>
              <w:bottom w:w="55" w:type="dxa"/>
              <w:end w:w="65" w:type="dxa"/>
            </w:tcMar>
          </w:tcPr>
          <w:p>
            <w:r>
              <w:rPr>
                <w:sz w:val="17"/>
              </w:rPr>
              <w:t>Tessera Subset</w:t>
            </w:r>
          </w:p>
        </w:tc>
      </w:tr>
      <w:tr>
        <w:tc>
          <w:tcPr>
            <w:tcW w:type="dxa" w:w="4464"/>
            <w:vAlign w:val="top"/>
            <w:tcMar>
              <w:top w:w="55" w:type="dxa"/>
              <w:start w:w="65" w:type="dxa"/>
              <w:bottom w:w="55" w:type="dxa"/>
              <w:end w:w="65" w:type="dxa"/>
            </w:tcMar>
          </w:tcPr>
          <w:p>
            <w:r>
              <w:rPr>
                <w:sz w:val="17"/>
              </w:rPr>
              <w:t>CDC &amp; Snapshot</w:t>
            </w:r>
          </w:p>
        </w:tc>
        <w:tc>
          <w:tcPr>
            <w:tcW w:type="dxa" w:w="4464"/>
            <w:vAlign w:val="top"/>
            <w:tcMar>
              <w:top w:w="55" w:type="dxa"/>
              <w:start w:w="65" w:type="dxa"/>
              <w:bottom w:w="55" w:type="dxa"/>
              <w:end w:w="65" w:type="dxa"/>
            </w:tcMar>
          </w:tcPr>
          <w:p>
            <w:r>
              <w:rPr>
                <w:sz w:val="17"/>
              </w:rPr>
              <w:t>Tessera Capture</w:t>
            </w:r>
          </w:p>
        </w:tc>
      </w:tr>
      <w:tr>
        <w:tc>
          <w:tcPr>
            <w:tcW w:type="dxa" w:w="4464"/>
            <w:vAlign w:val="top"/>
            <w:tcMar>
              <w:top w:w="55" w:type="dxa"/>
              <w:start w:w="65" w:type="dxa"/>
              <w:bottom w:w="55" w:type="dxa"/>
              <w:end w:w="65" w:type="dxa"/>
            </w:tcMar>
          </w:tcPr>
          <w:p>
            <w:r>
              <w:rPr>
                <w:sz w:val="17"/>
              </w:rPr>
              <w:t>Data Environment Lifecycle</w:t>
            </w:r>
          </w:p>
        </w:tc>
        <w:tc>
          <w:tcPr>
            <w:tcW w:type="dxa" w:w="4464"/>
            <w:vAlign w:val="top"/>
            <w:tcMar>
              <w:top w:w="55" w:type="dxa"/>
              <w:start w:w="65" w:type="dxa"/>
              <w:bottom w:w="55" w:type="dxa"/>
              <w:end w:w="65" w:type="dxa"/>
            </w:tcMar>
          </w:tcPr>
          <w:p>
            <w:r>
              <w:rPr>
                <w:sz w:val="17"/>
              </w:rPr>
              <w:t>Tessera Environments</w:t>
            </w:r>
          </w:p>
        </w:tc>
      </w:tr>
    </w:tbl>
    <w:p>
      <w:pPr>
        <w:spacing w:after="0"/>
      </w:pPr>
    </w:p>
    <w:p>
      <w:pPr>
        <w:pStyle w:val="SmallNote"/>
      </w:pPr>
      <w:r>
        <w:t>Do not silently rename technical components without founder approval.</w:t>
      </w:r>
    </w:p>
    <w:p>
      <w:pPr>
        <w:pStyle w:val="Heading1"/>
      </w:pPr>
      <w:r>
        <w:t>41. Short company description</w:t>
      </w:r>
    </w:p>
    <w:p>
      <w:pPr>
        <w:spacing w:before="60" w:after="120"/>
        <w:ind w:left="360" w:right="144"/>
        <w:shd w:fill="F6F8FA"/>
      </w:pPr>
      <w:r>
        <w:rPr>
          <w:i/>
          <w:color w:val="132235"/>
          <w:sz w:val="21"/>
        </w:rPr>
        <w:t>Tessera is building a Data Environment Automation platform for engineering and data teams. Its current capabilities include sensitive-data discovery, deterministic masking, referentially consistent subsetting and database snapshot/change capture. These modules can be used independently or combined according to the workflow, supporting development, testing, Data Engineering, analytics, migration and AI-assisted engineering. Tessera's roadmap extends the platform toward automated lifecycle management for isolated non-production database environments.</w:t>
      </w:r>
    </w:p>
    <w:p>
      <w:pPr>
        <w:pStyle w:val="Heading1"/>
      </w:pPr>
      <w:r>
        <w:t>42. 30-second product description</w:t>
      </w:r>
    </w:p>
    <w:p>
      <w:pPr>
        <w:spacing w:before="60" w:after="120"/>
        <w:ind w:left="360" w:right="144"/>
        <w:shd w:fill="F6F8FA"/>
      </w:pPr>
      <w:r>
        <w:rPr>
          <w:i/>
          <w:color w:val="132235"/>
          <w:sz w:val="21"/>
        </w:rPr>
        <w:t>Tessera helps teams work with realistic data outside production without relying on unsafe full copies or manually assembled datasets. It can discover sensitive fields, mask them deterministically, create smaller referentially consistent subsets, and capture PostgreSQL/MySQL changes through coordinated snapshots and CDC. The modules are composable, so teams can use only the capabilities they need.</w:t>
      </w:r>
    </w:p>
    <w:p>
      <w:pPr>
        <w:pStyle w:val="Heading1"/>
      </w:pPr>
      <w:r>
        <w:t>43. One-sentence description</w:t>
      </w:r>
    </w:p>
    <w:p>
      <w:pPr>
        <w:spacing w:before="60" w:after="120"/>
        <w:ind w:left="360" w:right="144"/>
        <w:shd w:fill="F6F8FA"/>
      </w:pPr>
      <w:r>
        <w:rPr>
          <w:i/>
          <w:color w:val="132235"/>
          <w:sz w:val="21"/>
        </w:rPr>
        <w:t>Tessera automates how realistic, protected data is prepared and delivered for modern engineering workflows.</w:t>
      </w:r>
    </w:p>
    <w:p>
      <w:pPr>
        <w:pStyle w:val="Heading1"/>
      </w:pPr>
      <w:r>
        <w:t>44. Tagline options</w:t>
      </w:r>
    </w:p>
    <w:p>
      <w:r>
        <w:t>1. Production-like data. Without production risk.</w:t>
      </w:r>
    </w:p>
    <w:p>
      <w:r>
        <w:t>2. Bring data environments into the automation era.</w:t>
      </w:r>
    </w:p>
    <w:p>
      <w:r>
        <w:t>3. Realistic data. Safe by design.</w:t>
      </w:r>
    </w:p>
    <w:p>
      <w:r>
        <w:t>4. Stop waiting for test data.</w:t>
      </w:r>
    </w:p>
    <w:p>
      <w:r>
        <w:t>5. Automate the data layer of engineering.</w:t>
      </w:r>
    </w:p>
    <w:p>
      <w:pPr>
        <w:pStyle w:val="Heading1"/>
      </w:pPr>
      <w:r>
        <w:t>45. Website generation prompt for Claude / AI coding assistant</w:t>
      </w:r>
    </w:p>
    <w:p>
      <w:r>
        <w:t>Copy the prompt below together with this document. The AI should treat this brief as the single source of truth.</w:t>
      </w:r>
    </w:p>
    <w:p>
      <w:pPr>
        <w:pStyle w:val="CodeBlock"/>
        <w:shd w:fill="F3F5F7"/>
        <w:pBdr>
          <w:left w:val="single" w:sz="14" w:space="4" w:color="8AA1B8"/>
        </w:pBdr>
      </w:pPr>
      <w:r>
        <w:rPr>
          <w:rFonts w:ascii="Liberation Mono" w:hAnsi="Liberation Mono"/>
          <w:sz w:val="16"/>
        </w:rPr>
        <w:t>You are designing and implementing the public website for Tessera, an enterprise developer/data infrastructure company.</w:t>
        <w:br/>
        <w:br/>
        <w:t>Use the attached Tessera Website Source of Truth &amp; Content Brief as the authoritative source for product capabilities, product status, architecture, terminology, product boundaries, use cases and marketing claims.</w:t>
        <w:br/>
        <w:br/>
        <w:t>CRITICAL RULES</w:t>
        <w:br/>
        <w:t>1. Do not invent product capabilities.</w:t>
        <w:br/>
        <w:t>2. Do not market roadmap functionality as available today.</w:t>
        <w:br/>
        <w:t>3. Do not draw Discovery -&gt; Masking -&gt; Subsetter -&gt; CDC as a mandatory linear pipeline.</w:t>
        <w:br/>
        <w:t>4. CDC &amp; Snapshot is an independent capability and can operate without Discovery, Masking or Subsetter.</w:t>
        <w:br/>
        <w:t>5. Discovery and Masking are reusable frameworks.</w:t>
        <w:br/>
        <w:t>6. Subsetter can integrate Discovery and Masking during extraction.</w:t>
        <w:br/>
        <w:t>7. The future Data Environment Lifecycle / Database Operator is explicitly roadmap.</w:t>
        <w:br/>
        <w:t>8. Keep AI as a use case, not the primary definition of Tessera.</w:t>
        <w:br/>
        <w:t>9. Sell customer outcomes first and technical algorithms second.</w:t>
        <w:br/>
        <w:t>10. Use enterprise, technically precise language. Avoid hype.</w:t>
        <w:br/>
        <w:br/>
        <w:t>PRODUCT STATUS TO PRESERVE EXACTLY</w:t>
        <w:br/>
        <w:t>- Discovery — READY</w:t>
        <w:br/>
        <w:t>- Masking — READY</w:t>
        <w:br/>
        <w:t>- Subsetter — READY / CORE COMPLETE</w:t>
        <w:br/>
        <w:t>- CDC &amp; Snapshot — AVAILABLE / HARDENING</w:t>
        <w:br/>
        <w:t>- Data Environment Lifecycle — ROADMAP / PLANNED</w:t>
        <w:br/>
        <w:br/>
        <w:t>WEBSITE GOAL</w:t>
        <w:br/>
        <w:t>A technical or executive visitor should understand within ten seconds:</w:t>
        <w:br/>
        <w:t>Tessera helps teams create and deliver realistic, protected data for non-production engineering workflows without requiring direct production access.</w:t>
        <w:br/>
        <w:br/>
        <w:t>SUGGESTED INFORMATION ARCHITECTURE</w:t>
        <w:br/>
        <w:t>Home</w:t>
        <w:br/>
        <w:t>Platform</w:t>
        <w:br/>
        <w:t>Use Cases</w:t>
        <w:br/>
        <w:t>Architecture</w:t>
        <w:br/>
        <w:t>Security</w:t>
        <w:br/>
        <w:t>Roadmap</w:t>
        <w:br/>
        <w:t>Company</w:t>
        <w:br/>
        <w:t>Contact</w:t>
        <w:br/>
        <w:br/>
        <w:t>PRIMARY CTA</w:t>
        <w:br/>
        <w:t>Request a Demo</w:t>
        <w:br/>
        <w:br/>
        <w:t>HERO</w:t>
        <w:br/>
        <w:t>Eyebrow: DATA ENVIRONMENT AUTOMATION</w:t>
        <w:br/>
        <w:t>Headline: Production-like data. Without production risk.</w:t>
        <w:br/>
        <w:t>Supporting text: Tessera helps engineering and data teams discover sensitive data, protect it with deterministic masking, create referentially consistent subsets and capture ongoing database changes for development, testing, analytics, migration and AI-assisted engineering.</w:t>
        <w:br/>
        <w:br/>
        <w:t>UX / VISUAL DIRECTION</w:t>
        <w:br/>
        <w:t>Build a modern enterprise infrastructure website inspired by the clarity and technical credibility of modern cloud/data/developer-tool companies.</w:t>
        <w:br/>
        <w:t>Use clean typography, strong architecture diagrams, modular product cards, terminal/configuration examples, restrained motion, responsive design and clear product status badges.</w:t>
        <w:br/>
        <w:t>Avoid generic AI imagery, stock-office photography, fake customer logos, invented benchmark numbers, invented certifications and vague consulting language.</w:t>
        <w:br/>
        <w:br/>
        <w:t>ARCHITECTURE VISUALIZATION REQUIREMENT</w:t>
        <w:br/>
        <w:t>Represent the modules as composable independent capabilities, not as one linear workflow.</w:t>
        <w:br/>
        <w:t>Data Sources can independently feed Discovery, Subsetter, and CDC &amp; Snapshot.</w:t>
        <w:br/>
        <w:t>Discovery can produce an inventory for Masking.</w:t>
        <w:br/>
        <w:t>Subsetter may call Discovery and Masking.</w:t>
        <w:br/>
        <w:t>CDC can operate independently.</w:t>
        <w:br/>
        <w:t>The future lifecycle layer is separate and must be labeled Roadmap.</w:t>
        <w:br/>
        <w:br/>
        <w:t>OUTPUT EXPECTED</w:t>
        <w:br/>
        <w:t>Create a polished production-quality website structure and copy using the brief as the single source of truth.</w:t>
        <w:br/>
        <w:t>Where information is missing — customer logos, founders, pricing, legal entity, certifications, deployment diagrams, benchmark numbers or contact details — insert clearly identified placeholders rather than inventing facts.</w:t>
      </w:r>
    </w:p>
    <w:p>
      <w:pPr>
        <w:pStyle w:val="Heading1"/>
      </w:pPr>
      <w:r>
        <w:t>46. Final source-of-truth checklist</w:t>
      </w:r>
    </w:p>
    <w:p>
      <w:pPr>
        <w:spacing w:after="40"/>
        <w:ind w:left="259"/>
      </w:pPr>
      <w:r>
        <w:rPr>
          <w:color w:val="2A5EA7"/>
        </w:rPr>
        <w:t xml:space="preserve">☐ </w:t>
      </w:r>
      <w:r>
        <w:t>CDC is not shown as dependent on Discovery.</w:t>
      </w:r>
    </w:p>
    <w:p>
      <w:pPr>
        <w:spacing w:after="40"/>
        <w:ind w:left="259"/>
      </w:pPr>
      <w:r>
        <w:rPr>
          <w:color w:val="2A5EA7"/>
        </w:rPr>
        <w:t xml:space="preserve">☐ </w:t>
      </w:r>
      <w:r>
        <w:t>CDC is not shown as dependent on Masking.</w:t>
      </w:r>
    </w:p>
    <w:p>
      <w:pPr>
        <w:spacing w:after="40"/>
        <w:ind w:left="259"/>
      </w:pPr>
      <w:r>
        <w:rPr>
          <w:color w:val="2A5EA7"/>
        </w:rPr>
        <w:t xml:space="preserve">☐ </w:t>
      </w:r>
      <w:r>
        <w:t>CDC is not shown as dependent on Subsetter.</w:t>
      </w:r>
    </w:p>
    <w:p>
      <w:pPr>
        <w:spacing w:after="40"/>
        <w:ind w:left="259"/>
      </w:pPr>
      <w:r>
        <w:rPr>
          <w:color w:val="2A5EA7"/>
        </w:rPr>
        <w:t xml:space="preserve">☐ </w:t>
      </w:r>
      <w:r>
        <w:t>Discovery / Masking are described as reusable frameworks.</w:t>
      </w:r>
    </w:p>
    <w:p>
      <w:pPr>
        <w:spacing w:after="40"/>
        <w:ind w:left="259"/>
      </w:pPr>
      <w:r>
        <w:rPr>
          <w:color w:val="2A5EA7"/>
        </w:rPr>
        <w:t xml:space="preserve">☐ </w:t>
      </w:r>
      <w:r>
        <w:t>Subsetter is described as a data-producing application that can embed Discovery / Masking.</w:t>
      </w:r>
    </w:p>
    <w:p>
      <w:pPr>
        <w:spacing w:after="40"/>
        <w:ind w:left="259"/>
      </w:pPr>
      <w:r>
        <w:rPr>
          <w:color w:val="2A5EA7"/>
        </w:rPr>
        <w:t xml:space="preserve">☐ </w:t>
      </w:r>
      <w:r>
        <w:t>CDC current output is described as JSONL to S3/filesystem.</w:t>
      </w:r>
    </w:p>
    <w:p>
      <w:pPr>
        <w:spacing w:after="40"/>
        <w:ind w:left="259"/>
      </w:pPr>
      <w:r>
        <w:rPr>
          <w:color w:val="2A5EA7"/>
        </w:rPr>
        <w:t xml:space="preserve">☐ </w:t>
      </w:r>
      <w:r>
        <w:t>CDC source support is PostgreSQL 16+ and MySQL 8+.</w:t>
      </w:r>
    </w:p>
    <w:p>
      <w:pPr>
        <w:spacing w:after="40"/>
        <w:ind w:left="259"/>
      </w:pPr>
      <w:r>
        <w:rPr>
          <w:color w:val="2A5EA7"/>
        </w:rPr>
        <w:t xml:space="preserve">☐ </w:t>
      </w:r>
      <w:r>
        <w:t>Subsetter supported platforms match the current technical material.</w:t>
      </w:r>
    </w:p>
    <w:p>
      <w:pPr>
        <w:spacing w:after="40"/>
        <w:ind w:left="259"/>
      </w:pPr>
      <w:r>
        <w:rPr>
          <w:color w:val="2A5EA7"/>
        </w:rPr>
        <w:t xml:space="preserve">☐ </w:t>
      </w:r>
      <w:r>
        <w:t>DynamoDB is not shown as currently supported.</w:t>
      </w:r>
    </w:p>
    <w:p>
      <w:pPr>
        <w:spacing w:after="40"/>
        <w:ind w:left="259"/>
      </w:pPr>
      <w:r>
        <w:rPr>
          <w:color w:val="2A5EA7"/>
        </w:rPr>
        <w:t xml:space="preserve">☐ </w:t>
      </w:r>
      <w:r>
        <w:t>Data Environment Lifecycle is clearly labeled roadmap.</w:t>
      </w:r>
    </w:p>
    <w:p>
      <w:pPr>
        <w:spacing w:after="40"/>
        <w:ind w:left="259"/>
      </w:pPr>
      <w:r>
        <w:rPr>
          <w:color w:val="2A5EA7"/>
        </w:rPr>
        <w:t xml:space="preserve">☐ </w:t>
      </w:r>
      <w:r>
        <w:t>No universal database applier is claimed.</w:t>
      </w:r>
    </w:p>
    <w:p>
      <w:pPr>
        <w:spacing w:after="40"/>
        <w:ind w:left="259"/>
      </w:pPr>
      <w:r>
        <w:rPr>
          <w:color w:val="2A5EA7"/>
        </w:rPr>
        <w:t xml:space="preserve">☐ </w:t>
      </w:r>
      <w:r>
        <w:t>No synthetic-data capability is invented.</w:t>
      </w:r>
    </w:p>
    <w:p>
      <w:pPr>
        <w:spacing w:after="40"/>
        <w:ind w:left="259"/>
      </w:pPr>
      <w:r>
        <w:rPr>
          <w:color w:val="2A5EA7"/>
        </w:rPr>
        <w:t xml:space="preserve">☐ </w:t>
      </w:r>
      <w:r>
        <w:t>No dynamic masking capability is invented.</w:t>
      </w:r>
    </w:p>
    <w:p>
      <w:pPr>
        <w:spacing w:after="40"/>
        <w:ind w:left="259"/>
      </w:pPr>
      <w:r>
        <w:rPr>
          <w:color w:val="2A5EA7"/>
        </w:rPr>
        <w:t xml:space="preserve">☐ </w:t>
      </w:r>
      <w:r>
        <w:t>No '100% PII' claim is made.</w:t>
      </w:r>
    </w:p>
    <w:p>
      <w:pPr>
        <w:spacing w:after="40"/>
        <w:ind w:left="259"/>
      </w:pPr>
      <w:r>
        <w:rPr>
          <w:color w:val="2A5EA7"/>
        </w:rPr>
        <w:t xml:space="preserve">☐ </w:t>
      </w:r>
      <w:r>
        <w:t>No unsupported compliance certification is shown.</w:t>
      </w:r>
    </w:p>
    <w:p>
      <w:pPr>
        <w:spacing w:after="40"/>
        <w:ind w:left="259"/>
      </w:pPr>
      <w:r>
        <w:rPr>
          <w:color w:val="2A5EA7"/>
        </w:rPr>
        <w:t xml:space="preserve">☐ </w:t>
      </w:r>
      <w:r>
        <w:t>AI is positioned as a consumer/use case.</w:t>
      </w:r>
    </w:p>
    <w:p>
      <w:pPr>
        <w:spacing w:after="40"/>
        <w:ind w:left="259"/>
      </w:pPr>
      <w:r>
        <w:rPr>
          <w:color w:val="2A5EA7"/>
        </w:rPr>
        <w:t xml:space="preserve">☐ </w:t>
      </w:r>
      <w:r>
        <w:t>Homepage focuses on customer pain/outcome before technical internals.</w:t>
      </w:r>
    </w:p>
    <w:p>
      <w:pPr>
        <w:spacing w:after="40"/>
        <w:ind w:left="259"/>
      </w:pPr>
      <w:r>
        <w:rPr>
          <w:color w:val="2A5EA7"/>
        </w:rPr>
        <w:t xml:space="preserve">☐ </w:t>
      </w:r>
      <w:r>
        <w:t>Technical terms such as Tarjan SCC, FF1, MVCC and LSN are primarily used on Architecture/Product pages.</w:t>
      </w:r>
    </w:p>
    <w:p>
      <w:pPr>
        <w:spacing w:after="40"/>
        <w:ind w:left="259"/>
      </w:pPr>
      <w:r>
        <w:rPr>
          <w:color w:val="2A5EA7"/>
        </w:rPr>
        <w:t xml:space="preserve">☐ </w:t>
      </w:r>
      <w:r>
        <w:t>Missing company/founder/contact/customer information remains placeholder until supplied.</w:t>
      </w:r>
    </w:p>
    <w:p>
      <w:pPr>
        <w:pStyle w:val="Heading1"/>
      </w:pPr>
      <w:r>
        <w:t>47. Source basis</w:t>
      </w:r>
    </w:p>
    <w:p>
      <w:r>
        <w:t>This brief consolidates the following supplied materials and founder discussions:</w:t>
      </w:r>
    </w:p>
    <w:p>
      <w:pPr>
        <w:pStyle w:val="ListBullet"/>
        <w:spacing w:after="40"/>
      </w:pPr>
      <w:r>
        <w:rPr>
          <w:sz w:val="19"/>
        </w:rPr>
        <w:t>Tessera - Deck Tecnico: platform module architecture; Discovery; Masking; Subsetter architecture and interfaces; CDC &amp; Snapshot; planned Database Operator.</w:t>
      </w:r>
    </w:p>
    <w:p>
      <w:pPr>
        <w:pStyle w:val="ListBullet"/>
        <w:spacing w:after="40"/>
      </w:pPr>
      <w:r>
        <w:rPr>
          <w:sz w:val="19"/>
        </w:rPr>
        <w:t>Tessera Pitch - Light: positioning around engineering velocity, AI adoption, data-environment bottlenecks, sensitive-data protection and product roadmap.</w:t>
      </w:r>
    </w:p>
    <w:p>
      <w:pPr>
        <w:pStyle w:val="ListBullet"/>
        <w:spacing w:after="40"/>
      </w:pPr>
      <w:r>
        <w:rPr>
          <w:sz w:val="19"/>
        </w:rPr>
        <w:t>Founder Q&amp;A / discussion: Discovery is portable with no direct I/O; Masking is currently static rather than dynamic; Discovery / Masking / Subsetter are not mandatory prerequisites for CDC; database lifecycle automation is future work; the platform should support broader engineering/data use cases rather than being positioned only around AI.</w:t>
      </w:r>
    </w:p>
    <w:p>
      <w:r>
        <w:t>This document intentionally separates current capability, hardening work and roadmap so the public website does not overstate product maturity.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85460"/>
        <w:sz w:val="16"/>
      </w:rPr>
      <w:t>Confidential working brief — website generation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85460"/>
        <w:sz w:val="16"/>
      </w:rPr>
      <w:t>TESSERA  |  Website Source of Truth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32235"/>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3223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32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22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144"/>
    </w:pPr>
    <w:rPr>
      <w:rFonts w:ascii="Liberation Mono" w:hAnsi="Liberation Mono"/>
      <w:sz w:val="16"/>
    </w:rPr>
  </w:style>
  <w:style w:type="paragraph" w:customStyle="1" w:styleId="SmallNote">
    <w:name w:val="Small Note"/>
    <w:pPr>
      <w:spacing w:after="80"/>
    </w:pPr>
    <w:rPr>
      <w:rFonts w:ascii="Aptos" w:hAnsi="Aptos"/>
      <w:color w:val="48546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