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20"/>
        </w:rPr>
        <w:t>Exemplo gerado pelo Advoclaude sobre processo FICTÍCIO (caso de consumidor, 01/10/2026). Partes, fatos e documentos são inventados para demonstração. Os trechos [DEFINIR] e [INSERIR JULGADO] são o que o kit deixa para o advogado conferir.</w:t>
      </w:r>
    </w:p>
    <w:p>
      <w:r>
        <w:rPr>
          <w:b w:val="0"/>
        </w:rPr>
        <w:t>EXCELENTÍSSIMO SENHOR DOUTOR JUIZ DE DIREITO DA 3ª VARA CÍVEL DA COMARCA DE OLINDA/PE</w:t>
      </w:r>
    </w:p>
    <w:p>
      <w:r>
        <w:rPr>
          <w:b w:val="0"/>
        </w:rPr>
        <w:t>Processo nº [DEFINIR: número do processo]</w:t>
      </w:r>
    </w:p>
    <w:p>
      <w:r>
        <w:rPr>
          <w:b w:val="0"/>
        </w:rPr>
        <w:t>NORDESTE MÓVEIS E DECORAÇÕES LTDA., já qualificada nos autos da AÇÃO DE OBRIGAÇÃO DE FAZER C/C INDENIZAÇÃO POR DANOS MORAIS que lhe move MARCOS SILVEIRA, vem, respeitosamente, por sua procuradora que esta subscreve, apresentar CONTESTAÇÃO, pelos fatos e fundamentos a seguir.</w:t>
      </w:r>
    </w:p>
    <w:p>
      <w:r>
        <w:rPr>
          <w:b/>
        </w:rPr>
        <w:t>I – DA TEMPESTIVIDADE</w:t>
      </w:r>
    </w:p>
    <w:p>
      <w:r>
        <w:rPr>
          <w:b w:val="0"/>
        </w:rPr>
        <w:t xml:space="preserve">1. </w:t>
      </w:r>
      <w:r>
        <w:rPr>
          <w:b/>
        </w:rPr>
        <w:t>A presente contestação é tempestiva.</w:t>
      </w:r>
      <w:r>
        <w:rPr>
          <w:b w:val="0"/>
        </w:rPr>
        <w:t xml:space="preserve"> Nos termos do art. 335, I, do CPC, o prazo de 15 dias úteis conta da audiência de conciliação, designada para 15/10/2026, de modo que o termo final recai em [DEFINIR: termo final, conta do advogado; se protocolada antes da audiência, acrescentar o art. 218, §4º, do CPC].</w:t>
      </w:r>
    </w:p>
    <w:p>
      <w:r>
        <w:rPr>
          <w:b/>
        </w:rPr>
        <w:t>II – SÍNTESE DA DEMANDA</w:t>
      </w:r>
    </w:p>
    <w:p>
      <w:r>
        <w:rPr>
          <w:b w:val="0"/>
        </w:rPr>
        <w:t>2. O autor alega que comprou da ré, em 10/06/2026, um sofá retrátil de 3 lugares, modelo Ravena, por R$ 3.890,00, entregue em 15/07/2026 com 7 dias de atraso, com o mecanismo retrátil do assento direito travado e um rasgo de 6 cm no tecido do encosto. Afirma que reclamou no SAC em 15/07, 22/07 e 05/08/2026, que a assistência técnica nunca compareceu e que recusou a proposta de reparo feita pela ré no consumidor.gov.br.</w:t>
      </w:r>
    </w:p>
    <w:p>
      <w:r>
        <w:rPr>
          <w:b w:val="0"/>
        </w:rPr>
        <w:t>3. Pede, em tutela de urgência, a troca do sofá por outro novo em 10 dias, sob multa diária de R$ 300,00; ao final, a confirmação da tutela ou a restituição do preço; indenização de R$ 10.000,00 por danos morais; e a inversão do ônus da prova.</w:t>
      </w:r>
    </w:p>
    <w:p>
      <w:r>
        <w:rPr>
          <w:b w:val="0"/>
        </w:rPr>
        <w:t>4. A ré nunca se recusou a reparar o mecanismo retrátil. Nos termos do art. 341 do CPC, impugna especificamente a imputação do atraso à sua conduta, a afirmação de que a assistência não procurou o autor, a existência do rasgo no momento da entrega e o dano moral, como se demonstra a seguir.</w:t>
      </w:r>
    </w:p>
    <w:p>
      <w:r>
        <w:rPr>
          <w:b/>
        </w:rPr>
        <w:t>III – PRELIMINARMENTE</w:t>
      </w:r>
    </w:p>
    <w:p>
      <w:r>
        <w:rPr>
          <w:b/>
        </w:rPr>
        <w:t>III.1 – Da tutela de urgência</w:t>
      </w:r>
    </w:p>
    <w:p>
      <w:r>
        <w:rPr>
          <w:b w:val="0"/>
        </w:rPr>
        <w:t xml:space="preserve">5. </w:t>
      </w:r>
      <w:r>
        <w:rPr>
          <w:b/>
        </w:rPr>
        <w:t>Não há probabilidade do direito nem perigo de dano que justifiquem a troca do sofá inteiro em 10 dias.</w:t>
      </w:r>
      <w:r>
        <w:rPr>
          <w:b w:val="0"/>
        </w:rPr>
        <w:t xml:space="preserve"> Nos termos do art. 300 do CPC, a tutela de urgência exige os dois requisitos. O defeito apontado está no mecanismo retrátil de um dos assentos, peça de reposição de R$ 180,00, e o reparo não ocorreu porque o autor não atendeu às tentativas de agendamento da assistência técnica (doc. 02).</w:t>
      </w:r>
    </w:p>
    <w:p>
      <w:r>
        <w:rPr>
          <w:b w:val="0"/>
        </w:rPr>
        <w:t>6. O sofá é bem de conforto, não produto essencial. A troca integral em caráter liminar esgotaria o objeto da ação antes da instrução, com base apenas na versão do autor. Requer-se a este MM. Juízo o indeferimento da medida ou, se já concedida, a sua revogação. [DEFINIR: a tutela já foi apreciada?]</w:t>
      </w:r>
    </w:p>
    <w:p>
      <w:r>
        <w:rPr>
          <w:b/>
        </w:rPr>
        <w:t>IV – DO MÉRITO</w:t>
      </w:r>
    </w:p>
    <w:p>
      <w:r>
        <w:rPr>
          <w:b/>
        </w:rPr>
        <w:t>IV.1 – Do atraso na entrega por greve dos transportadores</w:t>
      </w:r>
    </w:p>
    <w:p>
      <w:r>
        <w:rPr>
          <w:b w:val="0"/>
        </w:rPr>
        <w:t xml:space="preserve">7. </w:t>
      </w:r>
      <w:r>
        <w:rPr>
          <w:b/>
        </w:rPr>
        <w:t>O atraso de 7 dias decorreu de greve dos transportadores, fato alheio à ré, e o autor foi avisado logo no início dela.</w:t>
      </w:r>
      <w:r>
        <w:rPr>
          <w:b w:val="0"/>
        </w:rPr>
        <w:t xml:space="preserve"> Nos termos do art. 393 do Código Civil, o devedor não responde pelos prejuízos resultantes de caso fortuito ou força maior. A greve dos transportadores entre 08/07 e 14/07/2026 (doc. 01) coincide com o período do atraso, e a ré comunicou o autor por WhatsApp em 09/07/2026. [DEFINIR: juntar o print da mensagem de 09/07]</w:t>
      </w:r>
    </w:p>
    <w:p>
      <w:r>
        <w:rPr>
          <w:b w:val="0"/>
        </w:rPr>
        <w:t>8. A entrega ocorreu em 15/07/2026, no dia seguinte ao fim da greve. Atraso dessa duração, avisado e justificado, não gera dever de indenizar. [INSERIR JULGADO: greve de transportadora no atraso de entrega, fortuito externo ou interno, conferir]</w:t>
      </w:r>
    </w:p>
    <w:p>
      <w:r>
        <w:rPr>
          <w:b/>
        </w:rPr>
        <w:t>IV.2 – Do vício do mecanismo: o reparo não ocorreu por conduta do autor</w:t>
      </w:r>
    </w:p>
    <w:p>
      <w:r>
        <w:rPr>
          <w:b w:val="0"/>
        </w:rPr>
        <w:t xml:space="preserve">9. </w:t>
      </w:r>
      <w:r>
        <w:rPr>
          <w:b/>
        </w:rPr>
        <w:t>O prazo de 30 dias para sanar o vício não se esgotou por culpa da ré, porque o autor não atendeu às tentativas de agendamento da assistência técnica.</w:t>
      </w:r>
      <w:r>
        <w:rPr>
          <w:b w:val="0"/>
        </w:rPr>
        <w:t xml:space="preserve"> Nos termos do art. 18, §1º, do CDC, a substituição do produto e a restituição do preço só podem ser exigidas se o vício não for sanado em 30 dias. O fornecedor que procura o consumidor dentro desse prazo e não consegue reparar o produto por ausência do próprio consumidor não pode perder o direito de sanar o vício.</w:t>
      </w:r>
    </w:p>
    <w:p>
      <w:r>
        <w:rPr>
          <w:b w:val="0"/>
        </w:rPr>
        <w:t>10. A ré tentou agendar a visita técnica em 28/07/2026 e em 11/08/2026, ambas dentro dos 30 dias contados da primeira reclamação, de 15/07/2026, e nos dois dias o autor não atendeu às ligações (doc. 02). A inicial afirma que "ninguém compareceu", mas omite que a visita dependia de agendamento com o próprio autor. [INSERIR JULGADO: conduta do consumidor que impede o reparo e o prazo do art. 18, §1º, do CDC, conferir]</w:t>
      </w:r>
    </w:p>
    <w:p>
      <w:r>
        <w:rPr>
          <w:b w:val="0"/>
        </w:rPr>
        <w:t>11. Sem prazo vencido por fato da ré, não nasceu para o autor o direito de escolher entre a substituição do produto e a restituição do preço, e os pedidos (a) e (b) da inicial não se sustentam.</w:t>
      </w:r>
    </w:p>
    <w:p>
      <w:r>
        <w:rPr>
          <w:b/>
        </w:rPr>
        <w:t>IV.3 – Da desproporção da troca do sofá inteiro</w:t>
      </w:r>
    </w:p>
    <w:p>
      <w:r>
        <w:rPr>
          <w:b w:val="0"/>
        </w:rPr>
        <w:t xml:space="preserve">12. </w:t>
      </w:r>
      <w:r>
        <w:rPr>
          <w:b/>
        </w:rPr>
        <w:t>A troca do sofá inteiro é desproporcional ao vício alegado, que se resolve com a substituição de uma peça.</w:t>
      </w:r>
      <w:r>
        <w:rPr>
          <w:b w:val="0"/>
        </w:rPr>
        <w:t xml:space="preserve"> Nos termos do art. 18, §3º, do CDC, a substituição imediata do produto só cabe quando a troca das partes viciadas puder comprometer a qualidade ou as características do produto, diminuir-lhe o valor, ou quando se tratar de produto essencial. Nenhuma dessas hipóteses ocorre: o defeito está no mecanismo retrátil de um assento, peça substituível de R$ 180,00, num produto de R$ 3.890,00 que não é essencial.</w:t>
      </w:r>
    </w:p>
    <w:p>
      <w:r>
        <w:rPr>
          <w:b w:val="0"/>
        </w:rPr>
        <w:t>13. A ré reitera nestes autos a disposição de trocar o mecanismo retrátil e de oferecer ao autor vale-compras de R$ 300,00, como demonstração de boa-fé. [DEFINIR: confirmar com a ré se a proposta pode constar da contestação ou fica só para a audiência de 15/10/2026]</w:t>
      </w:r>
    </w:p>
    <w:p>
      <w:r>
        <w:rPr>
          <w:b/>
        </w:rPr>
        <w:t>IV.4 – Do rasgo no tecido do encosto</w:t>
      </w:r>
    </w:p>
    <w:p>
      <w:r>
        <w:rPr>
          <w:b w:val="0"/>
        </w:rPr>
        <w:t xml:space="preserve">14. </w:t>
      </w:r>
      <w:r>
        <w:rPr>
          <w:b/>
        </w:rPr>
        <w:t>O rasgo no encosto não existia na entrega: o autor assinou o termo de recebimento com a anotação "produto conferido, sem avarias".</w:t>
      </w:r>
      <w:r>
        <w:rPr>
          <w:b w:val="0"/>
        </w:rPr>
        <w:t xml:space="preserve"> Nos termos do art. 373, I, do CPC, cabe ao autor provar o fato constitutivo do seu direito, e o termo de recebimento assinado por ele no ato da entrega (doc. 03) registra a conferência do produto sem avaria alguma.</w:t>
      </w:r>
    </w:p>
    <w:p>
      <w:r>
        <w:rPr>
          <w:b w:val="0"/>
        </w:rPr>
        <w:t>15. Rasgo de 6 cm no tecido do encosto é defeito visível, que a conferência feita pelo próprio autor no ato da entrega teria apontado. Cabe a ele demonstrar que o dano já existia antes da assinatura do termo. [DEFINIR: conferir as fotos da inicial e o conteúdo do protocolo SAC 2026-88412, de 15/07/2026; se o protocolo já citar o rasgo, rever este tópico]</w:t>
      </w:r>
    </w:p>
    <w:p>
      <w:r>
        <w:rPr>
          <w:b/>
        </w:rPr>
        <w:t>IV.5 – Da inexistência de dano moral</w:t>
      </w:r>
    </w:p>
    <w:p>
      <w:r>
        <w:rPr>
          <w:b w:val="0"/>
        </w:rPr>
        <w:t xml:space="preserve">16. </w:t>
      </w:r>
      <w:r>
        <w:rPr>
          <w:b/>
        </w:rPr>
        <w:t>Vício de produto e atraso curto, sem fato concreto de lesão, não geram dano moral.</w:t>
      </w:r>
      <w:r>
        <w:rPr>
          <w:b w:val="0"/>
        </w:rPr>
        <w:t xml:space="preserve"> Nos termos dos arts. 186 e 927 do Código Civil, o dever de indenizar pressupõe dano efetivo, que cabe ao autor provar (art. 373, I, do CPC). A inicial se limita a afirmar descaso e constrangimento num aniversário familiar em 30/08/2026, sem descrever fato que ultrapasse o aborrecimento próprio de uma relação de consumo. [INSERIR JULGADO: vício do produto e mero inadimplemento contratual não geram dano moral por si, STJ, conferir]</w:t>
      </w:r>
    </w:p>
    <w:p>
      <w:r>
        <w:rPr>
          <w:b w:val="0"/>
        </w:rPr>
        <w:t>17. O que o autor chama de falha reiterada do atendimento é, em parte, consequência da própria conduta dele, que não atendeu às duas tentativas de agendamento (doc. 02). Não se indeniza a demora que a parte ajudou a causar.</w:t>
      </w:r>
    </w:p>
    <w:p>
      <w:r>
        <w:rPr>
          <w:b w:val="0"/>
        </w:rPr>
        <w:t>18. Nos termos do art. 944 do Código Civil, a indenização se mede pela extensão do dano. Caso se entenda devida, deve ser fixada em patamar moderado, muito abaixo dos R$ 10.000,00 pedidos, valor que supera o dobro do preço do próprio sofá.</w:t>
      </w:r>
    </w:p>
    <w:p>
      <w:r>
        <w:rPr>
          <w:b/>
        </w:rPr>
        <w:t>IV.6 – Da inversão do ônus da prova</w:t>
      </w:r>
    </w:p>
    <w:p>
      <w:r>
        <w:rPr>
          <w:b w:val="0"/>
        </w:rPr>
        <w:t xml:space="preserve">19. </w:t>
      </w:r>
      <w:r>
        <w:rPr>
          <w:b/>
        </w:rPr>
        <w:t>A inversão do ônus da prova não é automática e não se justifica neste caso.</w:t>
      </w:r>
      <w:r>
        <w:rPr>
          <w:b w:val="0"/>
        </w:rPr>
        <w:t xml:space="preserve"> Nos termos do art. 6º, VIII, do CDC, ela depende da verossimilhança da alegação ou da hipossuficiência do consumidor, a critério do juiz. Os fatos decisivos, a entrega, o termo de recebimento e as tentativas de agendamento, estão documentados pela própria ré (docs. 01 a 03), de modo que não há dificuldade de prova a compensar.</w:t>
      </w:r>
    </w:p>
    <w:p>
      <w:r>
        <w:rPr>
          <w:b/>
        </w:rPr>
        <w:t>V – DOS PEDIDOS</w:t>
      </w:r>
    </w:p>
    <w:p>
      <w:r>
        <w:rPr>
          <w:b w:val="0"/>
        </w:rPr>
        <w:t>20. Diante do exposto, requer:</w:t>
      </w:r>
    </w:p>
    <w:p>
      <w:r>
        <w:rPr>
          <w:b w:val="0"/>
        </w:rPr>
        <w:t>(a) o indeferimento da tutela de urgência ou, se já concedida, a sua revogação, nos termos do art. 300 do CPC;</w:t>
      </w:r>
    </w:p>
    <w:p>
      <w:r>
        <w:rPr>
          <w:b w:val="0"/>
        </w:rPr>
        <w:t xml:space="preserve">(b) no mérito, a </w:t>
      </w:r>
      <w:r>
        <w:rPr>
          <w:b/>
        </w:rPr>
        <w:t>improcedência total dos pedidos</w:t>
      </w:r>
      <w:r>
        <w:rPr>
          <w:b w:val="0"/>
        </w:rPr>
        <w:t>;</w:t>
      </w:r>
    </w:p>
    <w:p>
      <w:r>
        <w:rPr>
          <w:b w:val="0"/>
        </w:rPr>
        <w:t>(c) subsidiariamente, que a condenação se limite à troca do mecanismo retrátil do assento direito, afastadas a substituição do sofá e a restituição do preço;</w:t>
      </w:r>
    </w:p>
    <w:p>
      <w:r>
        <w:rPr>
          <w:b w:val="0"/>
        </w:rPr>
        <w:t>(d) subsidiariamente, caso se entenda devida indenização por dano moral, que seja fixada em patamar moderado, nos termos do art. 944 do Código Civil;</w:t>
      </w:r>
    </w:p>
    <w:p>
      <w:r>
        <w:rPr>
          <w:b w:val="0"/>
        </w:rPr>
        <w:t>(e) o indeferimento da inversão do ônus da prova;</w:t>
      </w:r>
    </w:p>
    <w:p>
      <w:r>
        <w:rPr>
          <w:b w:val="0"/>
        </w:rPr>
        <w:t>(f) a produção de todas as provas em direito admitidas, em especial a juntada dos documentos que acompanham esta peça, o depoimento pessoal do autor e a oitiva de testemunhas [DEFINIR: requerer perícia ou inspeção no sofá?];</w:t>
      </w:r>
    </w:p>
    <w:p>
      <w:r>
        <w:rPr>
          <w:b w:val="0"/>
        </w:rPr>
        <w:t>(g) a condenação do autor ao pagamento das custas processuais e dos honorários advocatícios, nos termos do art. 85 do CPC.</w:t>
      </w:r>
    </w:p>
    <w:p>
      <w:r>
        <w:rPr>
          <w:b w:val="0"/>
        </w:rPr>
        <w:t>Nestes termos, pede deferimento.</w:t>
      </w:r>
    </w:p>
    <w:p>
      <w:r>
        <w:rPr>
          <w:b w:val="0"/>
        </w:rPr>
        <w:t>Recife, [DEFINIR: data] de 2026.</w:t>
      </w:r>
    </w:p>
    <w:p>
      <w:r>
        <w:rPr>
          <w:b w:val="0"/>
        </w:rPr>
        <w:t>Carla Andrade · OAB/PE 31.204 · Andrade &amp; Lins Advocacia</w:t>
      </w:r>
    </w:p>
    <w:p>
      <w:r>
        <w:rPr>
          <w:b w:val="0"/>
        </w:rPr>
        <w:t>---</w:t>
      </w:r>
    </w:p>
    <w:p>
      <w:r>
        <w:rPr>
          <w:b w:val="0"/>
        </w:rPr>
        <w:t>PENDÊNCIAS (não faz parte da peça; apagar antes de colar no Word)</w:t>
      </w:r>
    </w:p>
    <w:p>
      <w:r>
        <w:rPr>
          <w:b w:val="0"/>
        </w:rPr>
        <w:t>- [DEFINIR] número do processo; tutela já apreciada?; termo final do prazo e data do protocolo; print do WhatsApp de 09/07; proposta (mecanismo + vale de R$ 300,00) nos autos ou só na audiência; fotos da inicial e conteúdo do protocolo SAC 2026-88412; perícia ou inspeção no sofá.</w:t>
      </w:r>
    </w:p>
    <w:p>
      <w:r>
        <w:rPr>
          <w:b w:val="0"/>
        </w:rPr>
        <w:t>- [INSERIR JULGADO] greve de transportadora e atraso de entrega (par. 8); conduta do consumidor e o prazo do art. 18, §1º, do CDC (par. 10); vício do produto e dano moral (par. 16).</w:t>
      </w:r>
    </w:p>
    <w:p>
      <w:r>
        <w:rPr>
          <w:b w:val="0"/>
        </w:rPr>
        <w:t>- Dispositivos citados de memória, sem leitura na fonte oficial (ambiente sem web): CPC 85, 218 §4º, 300, 335 I, 341, 373 I; CDC 6º VIII, 18 §1º e §3º; CC 186, 393, 927, 944. Conferir antes de protocolar.</w:t>
      </w:r>
    </w:p>
    <w:p>
      <w:r>
        <w:rPr>
          <w:b w:val="0"/>
        </w:rPr>
        <w:t xml:space="preserve">- Formatação: documento limpo (não há TIMBRADO.docx); numeração digitada, renumerar no Word; os </w:t>
      </w:r>
      <w:r>
        <w:rPr>
          <w:b/>
        </w:rPr>
        <w:t xml:space="preserve"> marcam o negrito e precisam virar negrito real ao montar o 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