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zbw4jyf3vik" w:id="0"/>
      <w:bookmarkEnd w:id="0"/>
      <w:r w:rsidDel="00000000" w:rsidR="00000000" w:rsidRPr="00000000">
        <w:rPr>
          <w:rtl w:val="0"/>
        </w:rPr>
        <w:t xml:space="preserve">Plan de Mejoramiento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lwh1u5z4y0y" w:id="1"/>
      <w:bookmarkEnd w:id="1"/>
      <w:r w:rsidDel="00000000" w:rsidR="00000000" w:rsidRPr="00000000">
        <w:rPr>
          <w:rtl w:val="0"/>
        </w:rPr>
        <w:t xml:space="preserve">1. Teoría del Color y Fundamentos Visuales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bmaq5zm938uh" w:id="2"/>
      <w:bookmarkEnd w:id="2"/>
      <w:r w:rsidDel="00000000" w:rsidR="00000000" w:rsidRPr="00000000">
        <w:rPr>
          <w:rtl w:val="0"/>
        </w:rPr>
        <w:t xml:space="preserve">1.1 Círculo Cromático de 12 Matices (Dibujo a Mano)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Figura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Círculo Cromático de 12 Matices Elaborado a 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Ilustración en dibujo a mano del círculo cromático de 12 matices que muestra la distribución de colores primarios, secundarios y terciarios.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Se presenta la ilustración hecha a mano del círculo cromático tradicional de 12 matices. En él se diferencian y rotulan correctamente: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Colores Primarios:</w:t>
      </w:r>
      <w:r w:rsidDel="00000000" w:rsidR="00000000" w:rsidRPr="00000000">
        <w:rPr>
          <w:rtl w:val="0"/>
        </w:rPr>
        <w:t xml:space="preserve"> Rojo, Amarillo, Azul.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Colores Secundarios:</w:t>
      </w:r>
      <w:r w:rsidDel="00000000" w:rsidR="00000000" w:rsidRPr="00000000">
        <w:rPr>
          <w:rtl w:val="0"/>
        </w:rPr>
        <w:t xml:space="preserve"> Naranja, Verde, Violeta (obtenidos de la mezcla de dos primarios).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Colores Terciarios:</w:t>
      </w:r>
      <w:r w:rsidDel="00000000" w:rsidR="00000000" w:rsidRPr="00000000">
        <w:rPr>
          <w:rtl w:val="0"/>
        </w:rPr>
        <w:t xml:space="preserve"> Rojo-Naranja, Amarillo-Naranja, Amarillo-Verde, Azul-Verde, Azul-Violeta, Rojo-Violeta (obtenidos de la mezcla de un primario y un secundario adyacente).</w:t>
      </w:r>
    </w:p>
    <w:p w:rsidR="00000000" w:rsidDel="00000000" w:rsidP="00000000" w:rsidRDefault="00000000" w:rsidRPr="00000000" w14:paraId="00000012">
      <w:pPr>
        <w:pStyle w:val="Heading1"/>
        <w:ind w:left="720" w:firstLine="0"/>
        <w:rPr/>
      </w:pPr>
      <w:bookmarkStart w:colFirst="0" w:colLast="0" w:name="_821rpqykrkbw" w:id="3"/>
      <w:bookmarkEnd w:id="3"/>
      <w:r w:rsidDel="00000000" w:rsidR="00000000" w:rsidRPr="00000000">
        <w:rPr>
          <w:rtl w:val="0"/>
        </w:rPr>
        <w:t xml:space="preserve">1.2 Análisis de Color en Tres Aplicaciones Reales</w:t>
      </w:r>
    </w:p>
    <w:p w:rsidR="00000000" w:rsidDel="00000000" w:rsidP="00000000" w:rsidRDefault="00000000" w:rsidRPr="00000000" w14:paraId="00000013">
      <w:pPr>
        <w:spacing w:line="480" w:lineRule="auto"/>
        <w:ind w:firstLine="720"/>
        <w:rPr/>
      </w:pPr>
      <w:r w:rsidDel="00000000" w:rsidR="00000000" w:rsidRPr="00000000">
        <w:rPr>
          <w:rtl w:val="0"/>
        </w:rPr>
        <w:t xml:space="preserve">A continuación se analiza el uso de la teoría del color, la regla 60-30-10 y las armonías del círculo cromático en tres plataformas digitales de gestión real.</w:t>
      </w:r>
    </w:p>
    <w:p w:rsidR="00000000" w:rsidDel="00000000" w:rsidP="00000000" w:rsidRDefault="00000000" w:rsidRPr="00000000" w14:paraId="00000014">
      <w:pPr>
        <w:pStyle w:val="Heading3"/>
        <w:rPr>
          <w:color w:val="000000"/>
        </w:rPr>
      </w:pPr>
      <w:bookmarkStart w:colFirst="0" w:colLast="0" w:name="_dewa64ruspb6" w:id="4"/>
      <w:bookmarkEnd w:id="4"/>
      <w:r w:rsidDel="00000000" w:rsidR="00000000" w:rsidRPr="00000000">
        <w:rPr>
          <w:color w:val="000000"/>
          <w:rtl w:val="0"/>
        </w:rPr>
        <w:t xml:space="preserve">1.2.1 Bancolombia (Portal Web)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Dominante (60%):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Blanco / Gris Neutro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#FFFFFF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#F7F7F7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Cubre el fondo general de la pantalla y el área de contenido principal para dar limpieza visual y facilitar la lectura.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de Apoyo (30%):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Negro / Gris Oscuro (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#2C2A29</w:t>
      </w:r>
      <w:r w:rsidDel="00000000" w:rsidR="00000000" w:rsidRPr="00000000">
        <w:rPr>
          <w:b w:val="1"/>
          <w:bCs w:val="1"/>
          <w:rtl w:val="0"/>
        </w:rPr>
        <w:t xml:space="preserve"> /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 #5C5A5A</w:t>
      </w:r>
      <w:r w:rsidDel="00000000" w:rsidR="00000000" w:rsidRPr="00000000">
        <w:rPr>
          <w:b w:val="1"/>
          <w:bCs w:val="1"/>
          <w:rtl w:val="0"/>
        </w:rPr>
        <w:t xml:space="preserve"> ).</w:t>
      </w:r>
      <w:r w:rsidDel="00000000" w:rsidR="00000000" w:rsidRPr="00000000">
        <w:rPr>
          <w:rtl w:val="0"/>
        </w:rPr>
        <w:t xml:space="preserve"> Aplicado en la tipografía principal, encabezados grandes (</w:t>
      </w:r>
      <w:r w:rsidDel="00000000" w:rsidR="00000000" w:rsidRPr="00000000">
        <w:rPr>
          <w:i w:val="1"/>
          <w:iCs w:val="1"/>
          <w:rtl w:val="0"/>
        </w:rPr>
        <w:t xml:space="preserve">"Hoy ponemos lo que somos a tu servicio"</w:t>
      </w:r>
      <w:r w:rsidDel="00000000" w:rsidR="00000000" w:rsidRPr="00000000">
        <w:rPr>
          <w:rtl w:val="0"/>
        </w:rPr>
        <w:t xml:space="preserve">) y botones secundarios (</w:t>
      </w:r>
      <w:r w:rsidDel="00000000" w:rsidR="00000000" w:rsidRPr="00000000">
        <w:rPr>
          <w:i w:val="1"/>
          <w:iCs w:val="1"/>
          <w:rtl w:val="0"/>
        </w:rPr>
        <w:t xml:space="preserve">"Trámites digitales"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de Acento (10%):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Amarillo Cítrico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#FFDF00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Presente en la barra superior promocional, el botón clave </w:t>
      </w:r>
      <w:r w:rsidDel="00000000" w:rsidR="00000000" w:rsidRPr="00000000">
        <w:rPr>
          <w:i w:val="1"/>
          <w:iCs w:val="1"/>
          <w:rtl w:val="0"/>
        </w:rPr>
        <w:t xml:space="preserve">"Entrar"</w:t>
      </w:r>
      <w:r w:rsidDel="00000000" w:rsidR="00000000" w:rsidRPr="00000000">
        <w:rPr>
          <w:rtl w:val="0"/>
        </w:rPr>
        <w:t xml:space="preserve">, el botón </w:t>
      </w:r>
      <w:r w:rsidDel="00000000" w:rsidR="00000000" w:rsidRPr="00000000">
        <w:rPr>
          <w:i w:val="1"/>
          <w:iCs w:val="1"/>
          <w:rtl w:val="0"/>
        </w:rPr>
        <w:t xml:space="preserve">"Conoce más"</w:t>
      </w:r>
      <w:r w:rsidDel="00000000" w:rsidR="00000000" w:rsidRPr="00000000">
        <w:rPr>
          <w:rtl w:val="0"/>
        </w:rPr>
        <w:t xml:space="preserve"> y el botón flotante de soporte.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Esquema de Armonía: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Acromático con Acento Monocromático Cálido.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 técnica del acento:</w:t>
      </w:r>
      <w:r w:rsidDel="00000000" w:rsidR="00000000" w:rsidRPr="00000000">
        <w:rPr>
          <w:rtl w:val="0"/>
        </w:rPr>
        <w:t xml:space="preserve"> El amarillo es el matiz con la luminosidad más alta del círculo cromático. Sobre una estructura acromática (blanco y negro), genera un contraste de valor directo que dirige la mirada del usuario de inmediato hacia los puntos de interacción e inicio de sesión.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31051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1746" l="0" r="75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Figura 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Interfaz del Portal Web Bancolombia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Captura de pantalla de la página principal del sitio web de Bancolombia que ilustra la aplicación de la regla cromática 60-30-10.</w:t>
      </w:r>
    </w:p>
    <w:p w:rsidR="00000000" w:rsidDel="00000000" w:rsidP="00000000" w:rsidRDefault="00000000" w:rsidRPr="00000000" w14:paraId="0000001D">
      <w:pPr>
        <w:spacing w:line="480" w:lineRule="auto"/>
        <w:ind w:firstLine="72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b w:val="1"/>
          <w:bCs w:val="1"/>
          <w:color w:val="000000"/>
        </w:rPr>
      </w:pPr>
      <w:bookmarkStart w:colFirst="0" w:colLast="0" w:name="_yior5yozlyk3" w:id="5"/>
      <w:bookmarkEnd w:id="5"/>
      <w:r w:rsidDel="00000000" w:rsidR="00000000" w:rsidRPr="00000000">
        <w:rPr>
          <w:color w:val="000000"/>
          <w:rtl w:val="0"/>
        </w:rPr>
        <w:t xml:space="preserve">1.2.2 Falabella (E-commerce)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Dominante (60%):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Blanco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#FFFFFF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Ocupa la mayor parte del fondo, el buscador y las franjas informativas para resaltar las imágenes de productos.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de Apoyo (30%):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Gris Oscuro / Negro (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#1D1D1D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#0B0907 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Presente en la barra de ofertas (</w:t>
      </w:r>
      <w:r w:rsidDel="00000000" w:rsidR="00000000" w:rsidRPr="00000000">
        <w:rPr>
          <w:i w:val="1"/>
          <w:iCs w:val="1"/>
          <w:rtl w:val="0"/>
        </w:rPr>
        <w:t xml:space="preserve">"lo último te llega primero"</w:t>
      </w:r>
      <w:r w:rsidDel="00000000" w:rsidR="00000000" w:rsidRPr="00000000">
        <w:rPr>
          <w:rtl w:val="0"/>
        </w:rPr>
        <w:t xml:space="preserve">), la lupa de búsqueda y la tipografía de navegación.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de Acento (10%):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Verde Manzana / Pistacho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#AAD500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Utilizado en el logotipo (</w:t>
      </w:r>
      <w:r w:rsidDel="00000000" w:rsidR="00000000" w:rsidRPr="00000000">
        <w:rPr>
          <w:i w:val="1"/>
          <w:iCs w:val="1"/>
          <w:rtl w:val="0"/>
        </w:rPr>
        <w:t xml:space="preserve">falabella.com</w:t>
      </w:r>
      <w:r w:rsidDel="00000000" w:rsidR="00000000" w:rsidRPr="00000000">
        <w:rPr>
          <w:rtl w:val="0"/>
        </w:rPr>
        <w:t xml:space="preserve">), en los bordes de la barra de navegación, en las viñetas de servicio y en el resaltador del banner (</w:t>
      </w:r>
      <w:r w:rsidDel="00000000" w:rsidR="00000000" w:rsidRPr="00000000">
        <w:rPr>
          <w:i w:val="1"/>
          <w:iCs w:val="1"/>
          <w:rtl w:val="0"/>
        </w:rPr>
        <w:t xml:space="preserve">"LAS MEJORES OFERTAS"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Esquema de Armonía: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Análoga con Acento Neutro-Frío.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 técnica del Acento:</w:t>
      </w:r>
      <w:r w:rsidDel="00000000" w:rsidR="00000000" w:rsidRPr="00000000">
        <w:rPr>
          <w:rtl w:val="0"/>
        </w:rPr>
        <w:t xml:space="preserve"> En el círculo cromático, el verde manzana es un tono medio-cálido dentro de la familia de los fríos. Al colocarlo sobre una base predominantemente blanca y negra, resalta los elementos de identidad de marca y las llamadas de atención sin generar fatiga visual en el comprador.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610225" cy="3028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250" l="997" r="1163" t="225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Figura 3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Interfaz del Sitio E-commerce Falabella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Captura de pantalla del portal web de Falabella donde se evidencia el uso de acentos verdes sobre fondos neutros.</w:t>
      </w:r>
    </w:p>
    <w:p w:rsidR="00000000" w:rsidDel="00000000" w:rsidP="00000000" w:rsidRDefault="00000000" w:rsidRPr="00000000" w14:paraId="00000027">
      <w:pPr>
        <w:pStyle w:val="Heading3"/>
        <w:rPr>
          <w:i w:val="1"/>
          <w:iCs w:val="1"/>
          <w:color w:val="000000"/>
        </w:rPr>
      </w:pPr>
      <w:bookmarkStart w:colFirst="0" w:colLast="0" w:name="_awgl2smb6juf" w:id="6"/>
      <w:bookmarkEnd w:id="6"/>
      <w:r w:rsidDel="00000000" w:rsidR="00000000" w:rsidRPr="00000000">
        <w:rPr>
          <w:color w:val="000000"/>
          <w:rtl w:val="0"/>
        </w:rPr>
        <w:t xml:space="preserve">1.2.3 Jumbo Colombia (Supermercado / Retail)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Dominante (60%):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Blanco / Lila Muy Claro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#FFFFFF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#F0EBFC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Utilizado en las tarjetas de productos y en el fondo general para estructurar la tienda sin saturar.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de Apoyo (30%):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Púrpura / Morado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#8A2BE2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Presente en el fondo promocional, ilustraciones de marca y etiquetas de categorías.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de Acento (10%):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Verde Esmeralda / Verde Brillante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#0A8920</w:t>
      </w:r>
      <w:r w:rsidDel="00000000" w:rsidR="00000000" w:rsidRPr="00000000">
        <w:rPr>
          <w:b w:val="1"/>
          <w:bCs w:val="1"/>
          <w:rtl w:val="0"/>
        </w:rPr>
        <w:t xml:space="preserve">).</w:t>
      </w:r>
      <w:r w:rsidDel="00000000" w:rsidR="00000000" w:rsidRPr="00000000">
        <w:rPr>
          <w:rtl w:val="0"/>
        </w:rPr>
        <w:t xml:space="preserve"> Aplicado en el logo, el botón principal </w:t>
      </w:r>
      <w:r w:rsidDel="00000000" w:rsidR="00000000" w:rsidRPr="00000000">
        <w:rPr>
          <w:i w:val="1"/>
          <w:iCs w:val="1"/>
          <w:rtl w:val="0"/>
        </w:rPr>
        <w:t xml:space="preserve">"Todas las categorías"</w:t>
      </w:r>
      <w:r w:rsidDel="00000000" w:rsidR="00000000" w:rsidRPr="00000000">
        <w:rPr>
          <w:rtl w:val="0"/>
        </w:rPr>
        <w:t xml:space="preserve">, la lupa de búsqueda y el botón flotante </w:t>
      </w:r>
      <w:r w:rsidDel="00000000" w:rsidR="00000000" w:rsidRPr="00000000">
        <w:rPr>
          <w:i w:val="1"/>
          <w:iCs w:val="1"/>
          <w:rtl w:val="0"/>
        </w:rPr>
        <w:t xml:space="preserve">"Compra aquí"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Esquema de Armonía: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Complementaria (Púrpura vs. Verde).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Justificación técnica del Acento:</w:t>
      </w:r>
      <w:r w:rsidDel="00000000" w:rsidR="00000000" w:rsidRPr="00000000">
        <w:rPr>
          <w:rtl w:val="0"/>
        </w:rPr>
        <w:t xml:space="preserve"> En el círculo cromático de 12 matices, el verde y el púrpura se sitúan en posiciones opuestas. Esta armonía complementaria crea un elevado contraste de matiz, logrando que los botones de compra y búsqueda (verdes) resalten instantáneamente sobre el fondo violeta de la plataforma.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205413" cy="26939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512" l="831" r="1163" t="1326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2693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Figura 4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Interfaz del Sitio E-commerce Jumbo Colombia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Captura de pantalla de la plataforma de comercio electrónico de Jumbo Colombia que demuestra el contraste de armonía complementaria.</w:t>
      </w:r>
    </w:p>
    <w:p w:rsidR="00000000" w:rsidDel="00000000" w:rsidP="00000000" w:rsidRDefault="00000000" w:rsidRPr="00000000" w14:paraId="00000030">
      <w:pPr>
        <w:pStyle w:val="Heading2"/>
        <w:spacing w:after="240" w:lineRule="auto"/>
        <w:ind w:left="720" w:firstLine="0"/>
        <w:rPr/>
      </w:pPr>
      <w:bookmarkStart w:colFirst="0" w:colLast="0" w:name="_j6u9hxadpb97" w:id="7"/>
      <w:bookmarkEnd w:id="7"/>
      <w:r w:rsidDel="00000000" w:rsidR="00000000" w:rsidRPr="00000000">
        <w:rPr>
          <w:rtl w:val="0"/>
        </w:rPr>
        <w:t xml:space="preserve">1.3 Escala Cromática de 5 Tonos (Azul - HSL y Hexadecimal)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  <w:t xml:space="preserve">Para la escala tonal se seleccionó el matiz </w:t>
      </w:r>
      <w:r w:rsidDel="00000000" w:rsidR="00000000" w:rsidRPr="00000000">
        <w:rPr>
          <w:b w:val="1"/>
          <w:bCs w:val="1"/>
          <w:rtl w:val="0"/>
        </w:rPr>
        <w:t xml:space="preserve">Azul Corporativo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Hue: 215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Saturation: 90%</w:t>
      </w:r>
      <w:r w:rsidDel="00000000" w:rsidR="00000000" w:rsidRPr="00000000">
        <w:rPr>
          <w:rtl w:val="0"/>
        </w:rPr>
        <w:t xml:space="preserve">), variando de manera progresiva únicamente el porcentaje de </w:t>
      </w:r>
      <w:r w:rsidDel="00000000" w:rsidR="00000000" w:rsidRPr="00000000">
        <w:rPr>
          <w:b w:val="1"/>
          <w:bCs w:val="1"/>
          <w:rtl w:val="0"/>
        </w:rPr>
        <w:t xml:space="preserve">Luminosidad (Lightness)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2">
      <w:pPr>
        <w:spacing w:lin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Tabla 1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Escala Cromática de 5 Tonos en Azul HSL y Hexadecimal</w:t>
      </w: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755"/>
        <w:gridCol w:w="1740"/>
        <w:gridCol w:w="1395"/>
        <w:gridCol w:w="3480"/>
        <w:tblGridChange w:id="0">
          <w:tblGrid>
            <w:gridCol w:w="1935"/>
            <w:gridCol w:w="1755"/>
            <w:gridCol w:w="1740"/>
            <w:gridCol w:w="1395"/>
            <w:gridCol w:w="3480"/>
          </w:tblGrid>
        </w:tblGridChange>
      </w:tblGrid>
      <w:tr>
        <w:trPr>
          <w:cantSplit w:val="0"/>
          <w:tblHeader w:val="0"/>
        </w:trPr>
        <w:tc>
          <w:tcPr>
            <w:shd w:fill="33466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NIVEL DE TONO</w:t>
            </w:r>
          </w:p>
        </w:tc>
        <w:tc>
          <w:tcPr>
            <w:shd w:fill="33466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CÓDIGO HSL</w:t>
            </w:r>
          </w:p>
        </w:tc>
        <w:tc>
          <w:tcPr>
            <w:shd w:fill="33466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CÓDIGO HEX</w:t>
            </w:r>
          </w:p>
        </w:tc>
        <w:tc>
          <w:tcPr>
            <w:shd w:fill="33466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MUESTRA </w:t>
            </w:r>
          </w:p>
        </w:tc>
        <w:tc>
          <w:tcPr>
            <w:shd w:fill="33466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USO RECOMENDADO EN INTERFAZ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1.Tono Muy Oscuro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hsl(215, 90%, 12%)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#031a3a </w:t>
            </w:r>
          </w:p>
        </w:tc>
        <w:tc>
          <w:tcPr>
            <w:shd w:fill="031a3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Textos principales sobre fondo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Claro y bordes de alto contraste.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Tono Oscuro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hsl(215, 90%, 25%)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#063679 </w:t>
            </w:r>
          </w:p>
        </w:tc>
        <w:tc>
          <w:tcPr>
            <w:shd w:fill="0636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hover de botones de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y encabezados de tabla.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Tono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hsl(215, 90%, 45%)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#0b62da </w:t>
            </w:r>
          </w:p>
        </w:tc>
        <w:tc>
          <w:tcPr>
            <w:shd w:fill="0b62d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Color de acento principal y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botones de llamada a la acción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(CTA).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Todo Claro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hsl(215, 90%, 70%)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#6ea7f7 </w:t>
            </w:r>
          </w:p>
        </w:tc>
        <w:tc>
          <w:tcPr>
            <w:shd w:fill="6ea7f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Fondos de tarjetas activas,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Banners informativos y badges.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Tono Muy Claro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hsl(215, 90%, 92%)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#d8e8fd </w:t>
            </w:r>
          </w:p>
        </w:tc>
        <w:tc>
          <w:tcPr>
            <w:shd w:fill="d8e8f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Fondo general de contenedores o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Bloques secundarios.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line="4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Nota.</w:t>
      </w:r>
      <w:r w:rsidDel="00000000" w:rsidR="00000000" w:rsidRPr="00000000">
        <w:rPr>
          <w:rtl w:val="0"/>
        </w:rPr>
        <w:t xml:space="preserve"> Valores de la escala tonal basados en la variación de luminosidad en el espacio de color HSL y sus usos recomendados en interfaz de usuario.</w:t>
      </w:r>
    </w:p>
    <w:p w:rsidR="00000000" w:rsidDel="00000000" w:rsidP="00000000" w:rsidRDefault="00000000" w:rsidRPr="00000000" w14:paraId="0000005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rfu0shg2f1ix" w:id="8"/>
      <w:bookmarkEnd w:id="8"/>
      <w:r w:rsidDel="00000000" w:rsidR="00000000" w:rsidRPr="00000000">
        <w:rPr>
          <w:rtl w:val="0"/>
        </w:rPr>
        <w:t xml:space="preserve">2. Bitácora Diaria</w:t>
      </w:r>
    </w:p>
    <w:p w:rsidR="00000000" w:rsidDel="00000000" w:rsidP="00000000" w:rsidRDefault="00000000" w:rsidRPr="00000000" w14:paraId="00000064">
      <w:pPr>
        <w:spacing w:after="1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Día 1 (15/09/2026)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hice hoy?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 xml:space="preserve">Inicié la fase de fundamentación visual del plan de mejoramiento. Dibujé el círculo cromático de 12 matices a mano rotulando primarios, secundarios y terciarios. Realicé el análisis cromático (60-30-10 y esquemas de armonía) de tres interfaces web reales (Bancolombia, Falabella y Jumbo). Construí una escala cromática de 5 variaciones de tono utilizando la función hsl() y sus valores equivalentes en hexadecimal. Finalmente, creé e inicialicé el repositorio de GitHub con su respectivo README.md y primer commit.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error o dificultad encontré?:</w:t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  <w:t xml:space="preserve">Confundí inicialmente la aplicación de los esquemas de armonía, describiendo el color de acento de forma subjetiva (pensando en colores «llamativos» o «bonitos» en lugar de justificarlos desde el círculo cromático). También tuve dudas sobre cómo variar correctamente la luminosidad en HSL sin alterar la pureza del matiz original.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lo resolví?:</w:t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tl w:val="0"/>
        </w:rPr>
        <w:t xml:space="preserve">Repasé los conceptos de la regla 60-30-10 y el uso de colores complementarios (opuestos a 180° en el círculo cromático) para fundamentar el contraste del color de acento. Para la escala HSL, dejé fijos los valores de </w:t>
      </w:r>
      <w:r w:rsidDel="00000000" w:rsidR="00000000" w:rsidRPr="00000000">
        <w:rPr>
          <w:i w:val="1"/>
          <w:iCs w:val="1"/>
          <w:rtl w:val="0"/>
        </w:rPr>
        <w:t xml:space="preserve">Hue</w:t>
      </w:r>
      <w:r w:rsidDel="00000000" w:rsidR="00000000" w:rsidRPr="00000000">
        <w:rPr>
          <w:rtl w:val="0"/>
        </w:rPr>
        <w:t xml:space="preserve"> (matiz) y </w:t>
      </w:r>
      <w:r w:rsidDel="00000000" w:rsidR="00000000" w:rsidRPr="00000000">
        <w:rPr>
          <w:i w:val="1"/>
          <w:iCs w:val="1"/>
          <w:rtl w:val="0"/>
        </w:rPr>
        <w:t xml:space="preserve">Saturation</w:t>
      </w:r>
      <w:r w:rsidDel="00000000" w:rsidR="00000000" w:rsidRPr="00000000">
        <w:rPr>
          <w:rtl w:val="0"/>
        </w:rPr>
        <w:t xml:space="preserve"> (saturación), modificando únicamente el porcentaje de </w:t>
      </w:r>
      <w:r w:rsidDel="00000000" w:rsidR="00000000" w:rsidRPr="00000000">
        <w:rPr>
          <w:i w:val="1"/>
          <w:iCs w:val="1"/>
          <w:rtl w:val="0"/>
        </w:rPr>
        <w:t xml:space="preserve">Lightness</w:t>
      </w:r>
      <w:r w:rsidDel="00000000" w:rsidR="00000000" w:rsidRPr="00000000">
        <w:rPr>
          <w:rtl w:val="0"/>
        </w:rPr>
        <w:t xml:space="preserve"> (luminosidad) para obtener variaciones tonales coherentes.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0" w:line="48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480" w:lineRule="auto"/>
      <w:jc w:val="lef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0" w:line="480" w:lineRule="auto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480" w:lineRule="auto"/>
      <w:ind w:left="720" w:firstLine="0"/>
      <w:jc w:val="left"/>
    </w:pPr>
    <w:rPr>
      <w:rFonts w:ascii="Times New Roman" w:cs="Times New Roman" w:eastAsia="Times New Roman" w:hAnsi="Times New Roman"/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0" w:line="480" w:lineRule="auto"/>
      <w:ind w:left="72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color w:val="666666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jc w:val="left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="48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  <w:jc w:val="left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