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PLAN DE DIRECCIONAMIENTO IP – VLSM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Proyecto: Diseño de Red de Datos, Telefonía IP y Servicios – Agroprodel Ltda.</w:t>
      </w:r>
    </w:p>
    <w:p>
      <w:pPr>
        <w:pBdr>
          <w:bottom w:val="single" w:color="1F3864" w:sz="8" w:space="6"/>
        </w:pBdr>
        <w:spacing w:after="2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Equipo: Erick Basulto · Nabidh Ulloa · Rodolfo Verdejo — Duoc UC, Ingeniería en Conectividad y Redes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Objetivo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Definir el direccionamiento IPv4 de las cuatro sedes de Agroprodel Ltda. utilizando una red privada clase C por sede y subdividiéndola mediante VLSM (Variable Length Subnet Mask), de modo que cada departamento y servicio cuente con su propia subred, dimensionada según la cantidad real de usuarios informada por la empresa y con holgura para crecimiento.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Criterio de dimensionamiento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Hosts requeridos = Usuarios + 25 % de crecimiento (redondeado hacia arriba) + 1 (gateway del router)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 el valor de hosts requeridos se selecciona el prefijo más pequeño cuya cantidad de hosts utilizables (2^(32−n) − 2) sea igual o mayor.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Las subredes se asignan de mayor a menor tamaño (y a igual tamaño, por número de VLAN), garantizando que cada red quede alineada a su límite y sin solapamientos.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El gateway de cada subred es la primera dirección utilizable y corresponde a la subinterfaz del router de la sede (router-on-a-stick).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El router de cada sede actúa como servidor DHCP de sus VLANs. Las VLAN de Servidores y Administración usan direccionamiento estático.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La VLAN 999 (NATIVA) se utiliza solo en los enlaces troncales y no lleva direccionamiento IP. La VLAN 80 (SERVIDORES) existe solo en la casa matriz, donde se centraliza la telefonía.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2.1 Supuestos para VLANs no cuantificadas en el enunciado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89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VLAN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Cantidad considerada</w:t>
            </w:r>
          </w:p>
        </w:tc>
        <w:tc>
          <w:tcPr>
            <w:tcW w:type="dxa" w:w="8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Justificación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 VOZ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 teléfonos</w:t>
            </w:r>
          </w:p>
        </w:tc>
        <w:tc>
          <w:tcPr>
            <w:tcW w:type="dxa" w:w="8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Requerimiento explícito del enunciado: 10 teléfonos IP por sitio.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60 INVITADOS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 clientes simultáneos</w:t>
            </w:r>
          </w:p>
        </w:tc>
        <w:tc>
          <w:tcPr>
            <w:tcW w:type="dxa" w:w="8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Clientes en la sala de ventas. Se recomienda lease DHCP corto (2 h) para reciclar direcciones.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70 IOT_RIEGO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 dispositivos</w:t>
            </w:r>
          </w:p>
        </w:tc>
        <w:tc>
          <w:tcPr>
            <w:tcW w:type="dxa" w:w="8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Sensores de humedad de suelo, actuadores de válvulas y gateway IoT del sistema de riego.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80 SERVIDORES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 servidores</w:t>
            </w:r>
          </w:p>
        </w:tc>
        <w:tc>
          <w:tcPr>
            <w:tcW w:type="dxa" w:w="8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Solo Temuco: servidor de telefonía (Issabel), monitoreo/SOC, Syslog/NTP y respaldo.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99 ADMINISTRACION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 equipos</w:t>
            </w:r>
          </w:p>
        </w:tc>
        <w:tc>
          <w:tcPr>
            <w:tcW w:type="dxa" w:w="8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Gestión de switches (DIST, ACC1, ACC2), access point, firewall y equipos de red adicionales.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Asignación de redes por sede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2400"/>
        <w:gridCol w:w="1500"/>
        <w:gridCol w:w="1500"/>
        <w:gridCol w:w="2300"/>
        <w:gridCol w:w="277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Sede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Red asignada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Usuarios (deptos.)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VLANs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Direcciones usadas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Reserva disponible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TEMUCO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Casa matriz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192.168.40.0/24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88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256 de 256 (100 %)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Sin reserva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TALCA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Sucursal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192.168.10.0/24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76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 de 256 (75 %)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192.168.10.192/26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CONCEPCION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Sucursal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192.168.20.0/24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176 de 256 (69 %)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192.168.20.176/28, 192.168.20.192/26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LOS ANGELES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Sucursal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192.168.30.0/24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144 de 256 (56 %)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192.168.30.144/28, 192.168.30.160/27, 192.168.30.192/26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Sede TEMUCO – 192.168.40.0/24 (Casa matriz)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50"/>
        <w:gridCol w:w="850"/>
        <w:gridCol w:w="800"/>
        <w:gridCol w:w="800"/>
        <w:gridCol w:w="1800"/>
        <w:gridCol w:w="1400"/>
        <w:gridCol w:w="1400"/>
        <w:gridCol w:w="2800"/>
        <w:gridCol w:w="1400"/>
        <w:gridCol w:w="970"/>
      </w:tblGrid>
      <w:tr>
        <w:trPr>
          <w:tblHeader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VLAN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Usuarios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Crec. 25%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Hosts req.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Prefijo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Red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Gateway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Rango DHCP / uso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Broadcast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IPs libres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COSECHA_MOLIENDA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/26  255.255.255.192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 – 192.168.40.62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192.168.40.63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ENVASADO_BODEGA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/26  255.255.255.192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192.168.40.64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192.168.40.65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192.168.40.66 – 192.168.40.126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192.168.40.127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29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SIEMBRA_RIEGO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/27  255.255.255.224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192.168.40.128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192.168.40.129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192.168.40.130 – 192.168.40.158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192.168.40.159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VENTAS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192.168.40.160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192.168.40.161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192.168.40.162 – 192.168.40.174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192.168.40.175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VOZ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192.168.40.176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192.168.40.177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192.168.40.178 – 192.168.40.190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192.168.40.191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INVITADOS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192.168.40.192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192.168.40.193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192.168.40.194 – 192.168.40.206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192.168.40.207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IOT_RIEGO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192.168.40.208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192.168.40.209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192.168.40.210 – 192.168.40.222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192.168.40.223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SERVIDORES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192.168.40.224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192.168.40.225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Estático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192.168.40.239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99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ADMINISTRACION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192.168.40.241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Estático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192.168.40.255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Resumen: </w:t>
      </w:r>
      <w:r>
        <w:rPr>
          <w:rFonts w:ascii="Calibri" w:cs="Calibri" w:eastAsia="Calibri" w:hAnsi="Calibri"/>
          <w:sz w:val="21"/>
          <w:szCs w:val="21"/>
        </w:rPr>
        <w:t xml:space="preserve">9 subredes, 129 hosts proyectados (usuarios y dispositivos), 256 de 256 direcciones asignadas. </w:t>
      </w:r>
      <w:r>
        <w:rPr>
          <w:rFonts w:ascii="Calibri" w:cs="Calibri" w:eastAsia="Calibri" w:hAnsi="Calibri"/>
          <w:sz w:val="21"/>
          <w:szCs w:val="21"/>
        </w:rPr>
        <w:t xml:space="preserve">La red clase C queda asignada en su totalidad; cada subred conserva su holgura interna de crecimiento (columna "IPs libres").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al ser la casa matriz, Temuco concentra la mayor cantidad de usuarios y además aloja la VLAN de Servidores, por lo que su red clase C se utiliza por completo. Ante un crecimiento mayor al proyectado, se recomienda incorporar un segundo segmento (por ejemplo 192.168.41.0/24) para servicios e infraestructura, sin modificar las redes de usuarios.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Sede TALCA – 192.168.10.0/24 (Sucursal)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50"/>
        <w:gridCol w:w="850"/>
        <w:gridCol w:w="800"/>
        <w:gridCol w:w="800"/>
        <w:gridCol w:w="1800"/>
        <w:gridCol w:w="1400"/>
        <w:gridCol w:w="1400"/>
        <w:gridCol w:w="2800"/>
        <w:gridCol w:w="1400"/>
        <w:gridCol w:w="970"/>
      </w:tblGrid>
      <w:tr>
        <w:trPr>
          <w:tblHeader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VLAN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Usuarios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Crec. 25%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Hosts req.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Prefijo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Red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Gateway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Rango DHCP / uso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Broadcast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IPs libres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ENVASADO_BODEGA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/26  255.255.255.192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192.168.10.2 – 192.168.10.62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192.168.10.63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COSECHA_MOLIENDA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/27  255.255.255.224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192.168.10.64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192.168.10.65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192.168.10.66 – 192.168.10.94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192.168.10.95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SIEMBRA_RIEGO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192.168.10.96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192.168.10.97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192.168.10.98 – 192.168.10.110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192.168.10.111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VENTAS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192.168.10.112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192.168.10.113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192.168.10.114 – 192.168.10.126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192.168.10.127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VOZ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192.168.10.128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192.168.10.129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192.168.10.130 – 192.168.10.142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192.168.10.143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INVITADOS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192.168.10.144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192.168.10.145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192.168.10.146 – 192.168.10.158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192.168.10.159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IOT_RIEGO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192.168.10.160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192.168.10.161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192.168.10.162 – 192.168.10.174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192.168.10.175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99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ADMINISTRACION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192.168.10.176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192.168.10.177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Estático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192.168.10.191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RESERVA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192.168.10.192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Crecimiento futuro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Resumen: </w:t>
      </w:r>
      <w:r>
        <w:rPr>
          <w:rFonts w:ascii="Calibri" w:cs="Calibri" w:eastAsia="Calibri" w:hAnsi="Calibri"/>
          <w:sz w:val="21"/>
          <w:szCs w:val="21"/>
        </w:rPr>
        <w:t xml:space="preserve">8 subredes, 112 hosts proyectados (usuarios y dispositivos), 192 de 256 direcciones asignadas. </w:t>
      </w:r>
      <w:r>
        <w:rPr>
          <w:rFonts w:ascii="Calibri" w:cs="Calibri" w:eastAsia="Calibri" w:hAnsi="Calibri"/>
          <w:sz w:val="21"/>
          <w:szCs w:val="21"/>
        </w:rPr>
        <w:t xml:space="preserve">Bloques libres para crecimiento: 192.168.10.192/26.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Sede CONCEPCION – 192.168.20.0/24 (Sucursal)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50"/>
        <w:gridCol w:w="850"/>
        <w:gridCol w:w="800"/>
        <w:gridCol w:w="800"/>
        <w:gridCol w:w="1800"/>
        <w:gridCol w:w="1400"/>
        <w:gridCol w:w="1400"/>
        <w:gridCol w:w="2800"/>
        <w:gridCol w:w="1400"/>
        <w:gridCol w:w="970"/>
      </w:tblGrid>
      <w:tr>
        <w:trPr>
          <w:tblHeader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VLAN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Usuarios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Crec. 25%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Hosts req.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Prefijo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Red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Gateway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Rango DHCP / uso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Broadcast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IPs libres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SIEMBRA_RIEGO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/27  255.255.255.224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192.168.20.2 – 192.168.20.30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192.168.20.31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COSECHA_MOLIENDA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/27  255.255.255.224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192.168.20.32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192.168.20.33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192.168.20.34 – 192.168.20.62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192.168.20.63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ENVASADO_BODEGA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/27  255.255.255.224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192.168.20.64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192.168.20.65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192.168.20.66 – 192.168.20.94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192.168.20.95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VENTAS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192.168.20.96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192.168.20.97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192.168.20.98 – 192.168.20.110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192.168.20.111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VOZ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192.168.20.112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192.168.20.113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192.168.20.114 – 192.168.20.126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192.168.20.127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INVITADOS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192.168.20.128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192.168.20.129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192.168.20.130 – 192.168.20.142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192.168.20.143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IOT_RIEGO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192.168.20.144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192.168.20.145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192.168.20.146 – 192.168.20.158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192.168.20.159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99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ADMINISTRACION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192.168.20.160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192.168.20.161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Estático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192.168.20.175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RESERVA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192.168.20.176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Crecimiento futuro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RESERVA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192.168.20.192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Crecimiento futuro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Resumen: </w:t>
      </w:r>
      <w:r>
        <w:rPr>
          <w:rFonts w:ascii="Calibri" w:cs="Calibri" w:eastAsia="Calibri" w:hAnsi="Calibri"/>
          <w:sz w:val="21"/>
          <w:szCs w:val="21"/>
        </w:rPr>
        <w:t xml:space="preserve">8 subredes, 87 hosts proyectados (usuarios y dispositivos), 176 de 256 direcciones asignadas. </w:t>
      </w:r>
      <w:r>
        <w:rPr>
          <w:rFonts w:ascii="Calibri" w:cs="Calibri" w:eastAsia="Calibri" w:hAnsi="Calibri"/>
          <w:sz w:val="21"/>
          <w:szCs w:val="21"/>
        </w:rPr>
        <w:t xml:space="preserve">Bloques libres para crecimiento: 192.168.20.176/28, 192.168.20.192/26.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7. Sede LOS ANGELES – 192.168.30.0/24 (Sucursal)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50"/>
        <w:gridCol w:w="850"/>
        <w:gridCol w:w="800"/>
        <w:gridCol w:w="800"/>
        <w:gridCol w:w="1800"/>
        <w:gridCol w:w="1400"/>
        <w:gridCol w:w="1400"/>
        <w:gridCol w:w="2800"/>
        <w:gridCol w:w="1400"/>
        <w:gridCol w:w="970"/>
      </w:tblGrid>
      <w:tr>
        <w:trPr>
          <w:tblHeader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VLAN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Usuarios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Crec. 25%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Hosts req.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Prefijo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Red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Gateway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Rango DHCP / uso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Broadcast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IPs libres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ENVASADO_BODEGA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/27  255.255.255.224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192.168.30.2 – 192.168.30.30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192.168.30.31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SIEMBRA_RIEGO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192.168.30.32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192.168.30.33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192.168.30.34 – 192.168.30.46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192.168.30.47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COSECHA_MOLIENDA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192.168.30.48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192.168.30.49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192.168.30.50 – 192.168.30.62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192.168.30.63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VENTAS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192.168.30.64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192.168.30.65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192.168.30.66 – 192.168.30.78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192.168.30.79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VOZ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192.168.30.80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192.168.30.81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192.168.30.82 – 192.168.30.94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192.168.30.95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INVITADOS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192.168.30.96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192.168.30.97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192.168.30.98 – 192.168.30.110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192.168.30.111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IOT_RIEGO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192.168.30.112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192.168.30.113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192.168.30.114 – 192.168.30.126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192.168.30.127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99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ADMINISTRACION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  255.255.255.240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192.168.30.128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192.168.30.129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Estático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192.168.30.143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RESERVA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192.168.30.144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Crecimiento futuro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RESERVA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/27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192.168.30.160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Crecimiento futuro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RESERVA</w:t>
            </w:r>
          </w:p>
        </w:tc>
        <w:tc>
          <w:tcPr>
            <w:tcW w:type="dxa" w:w="8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/26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192.168.30.192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Crecimiento futuro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Resumen: </w:t>
      </w:r>
      <w:r>
        <w:rPr>
          <w:rFonts w:ascii="Calibri" w:cs="Calibri" w:eastAsia="Calibri" w:hAnsi="Calibri"/>
          <w:sz w:val="21"/>
          <w:szCs w:val="21"/>
        </w:rPr>
        <w:t xml:space="preserve">8 subredes, 67 hosts proyectados (usuarios y dispositivos), 144 de 256 direcciones asignadas. </w:t>
      </w:r>
      <w:r>
        <w:rPr>
          <w:rFonts w:ascii="Calibri" w:cs="Calibri" w:eastAsia="Calibri" w:hAnsi="Calibri"/>
          <w:sz w:val="21"/>
          <w:szCs w:val="21"/>
        </w:rPr>
        <w:t xml:space="preserve">Bloques libres para crecimiento: 192.168.30.144/28, 192.168.30.160/27, 192.168.30.192/26.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8. Validación del direccionamiento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El plan fue verificado de forma automatizada con las siguientes comprobaciones: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subred está alineada a su límite (la dirección de red es múltiplo del tamaño del bloque).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Ninguna subred se solapa con otra dentro de la misma sede, y todas están contenidas en la red clase C de su sede.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 todas las subredes los hosts utilizables son mayores o iguales a los hosts requeridos (usuarios + 25 % + gateway).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Las cuatro redes de sede (192.168.10.0/24, 192.168.20.0/24, 192.168.30.0/24 y 192.168.40.0/24) son distintas entre sí, lo que permite su enrutamiento a través de los túneles GRE sin conflictos.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8.1 Columna “IPs libres”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Corresponde a las direcciones utilizables que quedan después de descontar el gateway y los usuarios actuales. Incluye el 25 % de crecimiento proyectado, por lo que ninguna subred queda dimensionada de forma justa respecto de la dotación actual.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</w:rPr>
        <w:t xml:space="preserve">8.2 Resumen de prefijos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2600"/>
        <w:gridCol w:w="30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Prefijo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Máscara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Hosts utilizables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Uso en el proyecto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/26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255.255.255.192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62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Departamentos de mayor dotación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/27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255.255.255.224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5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Departamentos medianos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/28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255.255.255.240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Departamentos pequeños y servicios</w:t>
            </w:r>
          </w:p>
        </w:tc>
      </w:tr>
    </w:tbl>
    <w:sectPr>
      <w:footerReference w:type="default" r:id="rId7"/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Agroprodel Ltda. – Plan de Direccionamiento VLSM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2026-10-28T04:45:49.183Z</dcterms:created>
  <dcterms:modified xsi:type="dcterms:W3CDTF">2026-10-28T04:45:49.183Z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