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4"/>
          <w:szCs w:val="34"/>
        </w:rPr>
        <w:t xml:space="preserve">BITÁCORA DE EVOLUCIÓN DE LA RED</w:t>
      </w:r>
    </w:p>
    <w:p>
      <w:pPr>
        <w:spacing w:after="60"/>
        <w:jc w:val="center"/>
      </w:pPr>
      <w:r>
        <w:rPr>
          <w:rFonts w:ascii="Calibri" w:cs="Calibri" w:eastAsia="Calibri" w:hAnsi="Calibri"/>
          <w:sz w:val="22"/>
          <w:szCs w:val="22"/>
        </w:rPr>
        <w:t xml:space="preserve">Proyecto APT: Diseño de Red de Datos, Telefonía IP y Servicios – Agroprodel Ltda.</w:t>
      </w:r>
    </w:p>
    <w:p>
      <w:pPr>
        <w:pBdr>
          <w:bottom w:val="single" w:color="1F3864" w:sz="8" w:space="6"/>
        </w:pBdr>
        <w:spacing w:after="240"/>
        <w:jc w:val="center"/>
      </w:pPr>
      <w:r>
        <w:rPr>
          <w:rFonts w:ascii="Calibri" w:cs="Calibri" w:eastAsia="Calibri" w:hAnsi="Calibri"/>
          <w:color w:val="595959"/>
          <w:sz w:val="19"/>
          <w:szCs w:val="19"/>
        </w:rPr>
        <w:t xml:space="preserve">Equipo: Erick Basulto · Nabidh Ulloa · Rodolfo Verdejo — Duoc UC</w:t>
      </w:r>
    </w:p>
    <w:p>
      <w:pPr>
        <w:pStyle w:val="Heading1"/>
      </w:pPr>
      <w:r>
        <w:rPr>
          <w:rFonts w:ascii="Calibri" w:cs="Calibri" w:eastAsia="Calibri" w:hAnsi="Calibri"/>
        </w:rPr>
        <w:t xml:space="preserve">1. Problema de red de la empresa</w:t>
      </w:r>
    </w:p>
    <w:p>
      <w:pPr>
        <w:spacing w:after="120"/>
        <w:jc w:val="both"/>
      </w:pPr>
      <w:r>
        <w:rPr>
          <w:rFonts w:ascii="Calibri" w:cs="Calibri" w:eastAsia="Calibri" w:hAnsi="Calibri"/>
          <w:sz w:val="21"/>
          <w:szCs w:val="21"/>
        </w:rPr>
        <w:t xml:space="preserve">Agroprodel Ltda. se dedica a la siembra de trigo y la producción de harina, con casa matriz en Temuco y sucursales en Talca, Concepción y Los Ángeles. Cada sede tiene Internet propio, pero la empresa no cuenta con una red robusta: sus sedes no están integradas, no tiene alta disponibilidad, sus costos en telefonía son altos y no utiliza equipamiento Cisco. Además, busca automatizar el riego con IoT, ofrecer conectividad a los clientes en las salas de ventas y virtualizar sus servicios esenciales en la nube.</w:t>
      </w:r>
    </w:p>
    <w:p>
      <w:pPr>
        <w:pStyle w:val="Heading1"/>
      </w:pPr>
      <w:r>
        <w:rPr>
          <w:rFonts w:ascii="Calibri" w:cs="Calibri" w:eastAsia="Calibri" w:hAnsi="Calibri"/>
        </w:rPr>
        <w:t xml:space="preserve">2. Mejoras aplicadas a la red</w:t>
      </w:r>
    </w:p>
    <w:p>
      <w:pPr>
        <w:keepNext/>
        <w:spacing w:after="40" w:before="160"/>
      </w:pPr>
      <w:r>
        <w:rPr>
          <w:rFonts w:ascii="Calibri" w:cs="Calibri" w:eastAsia="Calibri" w:hAnsi="Calibri"/>
          <w:b/>
          <w:bCs/>
          <w:color w:val="1F3864"/>
          <w:sz w:val="23"/>
          <w:szCs w:val="23"/>
        </w:rPr>
        <w:t xml:space="preserve">1. Estandarización en equipos Cisco</w:t>
      </w:r>
    </w:p>
    <w:p>
      <w:pPr>
        <w:spacing w:after="80"/>
        <w:jc w:val="both"/>
      </w:pPr>
      <w:r>
        <w:rPr>
          <w:rFonts w:ascii="Calibri" w:cs="Calibri" w:eastAsia="Calibri" w:hAnsi="Calibri"/>
          <w:sz w:val="21"/>
          <w:szCs w:val="21"/>
        </w:rPr>
        <w:t xml:space="preserve">Se diseñó toda la infraestructura de routers y switches con equipos Cisco, siguiendo el plan de modernización de la empresa. Esto unifica la administración bajo un mismo sistema operativo (IOS) y permite usar protocolos propios del fabricante, como Rapid-PVST+. En el laboratorio se simuló con imágenes IOL en EVE-NG.</w:t>
      </w:r>
    </w:p>
    <w:p>
      <w:pPr>
        <w:keepNext/>
        <w:spacing w:after="40" w:before="160"/>
      </w:pPr>
      <w:r>
        <w:rPr>
          <w:rFonts w:ascii="Calibri" w:cs="Calibri" w:eastAsia="Calibri" w:hAnsi="Calibri"/>
          <w:b/>
          <w:bCs/>
          <w:color w:val="1F3864"/>
          <w:sz w:val="23"/>
          <w:szCs w:val="23"/>
        </w:rPr>
        <w:t xml:space="preserve">2. Segmentación por VLAN</w:t>
      </w:r>
    </w:p>
    <w:p>
      <w:pPr>
        <w:spacing w:after="80"/>
        <w:jc w:val="both"/>
      </w:pPr>
      <w:r>
        <w:rPr>
          <w:rFonts w:ascii="Calibri" w:cs="Calibri" w:eastAsia="Calibri" w:hAnsi="Calibri"/>
          <w:sz w:val="21"/>
          <w:szCs w:val="21"/>
        </w:rPr>
        <w:t xml:space="preserve">Se creó una VLAN por departamento (Siembra, Cosecha, Envasado, Ventas) y VLAN dedicadas para Voz, Invitados, IoT, Servidores, Administración y una nativa sin uso (999). Separar los dominios de broadcast mejora el rendimiento y permite aplicar políticas distintas por tipo de tráfico. La VLAN nativa sin uso evita ataques de VLAN hopping.</w:t>
      </w:r>
    </w:p>
    <w:p>
      <w:pPr>
        <w:keepNext/>
        <w:spacing w:after="40" w:before="160"/>
      </w:pPr>
      <w:r>
        <w:rPr>
          <w:rFonts w:ascii="Calibri" w:cs="Calibri" w:eastAsia="Calibri" w:hAnsi="Calibri"/>
          <w:b/>
          <w:bCs/>
          <w:color w:val="1F3864"/>
          <w:sz w:val="23"/>
          <w:szCs w:val="23"/>
        </w:rPr>
        <w:t xml:space="preserve">3. Direccionamiento por sede con VLSM</w:t>
      </w:r>
    </w:p>
    <w:p>
      <w:pPr>
        <w:spacing w:after="80"/>
        <w:jc w:val="both"/>
      </w:pPr>
      <w:r>
        <w:rPr>
          <w:rFonts w:ascii="Calibri" w:cs="Calibri" w:eastAsia="Calibri" w:hAnsi="Calibri"/>
          <w:sz w:val="21"/>
          <w:szCs w:val="21"/>
        </w:rPr>
        <w:t xml:space="preserve">Cada sede tiene su propia red privada clase C y se subdividió con VLSM según la cantidad de usuarios de cada departamento. Así se asigna a cada área solo las direcciones que necesita y se evita el desperdicio de un esquema de máscara fija. Las redes de sede son distintas entre sí, lo que permite enrutarlas sin conflictos.</w:t>
      </w:r>
    </w:p>
    <w:p>
      <w:pPr>
        <w:keepNext/>
        <w:spacing w:after="40" w:before="160"/>
      </w:pPr>
      <w:r>
        <w:rPr>
          <w:rFonts w:ascii="Calibri" w:cs="Calibri" w:eastAsia="Calibri" w:hAnsi="Calibri"/>
          <w:b/>
          <w:bCs/>
          <w:color w:val="1F3864"/>
          <w:sz w:val="23"/>
          <w:szCs w:val="23"/>
        </w:rPr>
        <w:t xml:space="preserve">4. VTP transparente y troncales controladas</w:t>
      </w:r>
    </w:p>
    <w:p>
      <w:pPr>
        <w:spacing w:after="80"/>
        <w:jc w:val="both"/>
      </w:pPr>
      <w:r>
        <w:rPr>
          <w:rFonts w:ascii="Calibri" w:cs="Calibri" w:eastAsia="Calibri" w:hAnsi="Calibri"/>
          <w:sz w:val="21"/>
          <w:szCs w:val="21"/>
        </w:rPr>
        <w:t xml:space="preserve">Los switches trabajan en VTP transparente y los enlaces troncales solo permiten las VLAN necesarias. Con esto, ningún switch puede sobrescribir o borrar las VLAN de otro por error. Limitar las VLAN permitidas reduce el broadcast innecesario y la superficie de ataque.</w:t>
      </w:r>
    </w:p>
    <w:p>
      <w:pPr>
        <w:keepNext/>
        <w:spacing w:after="40" w:before="160"/>
      </w:pPr>
      <w:r>
        <w:rPr>
          <w:rFonts w:ascii="Calibri" w:cs="Calibri" w:eastAsia="Calibri" w:hAnsi="Calibri"/>
          <w:b/>
          <w:bCs/>
          <w:color w:val="1F3864"/>
          <w:sz w:val="23"/>
          <w:szCs w:val="23"/>
        </w:rPr>
        <w:t xml:space="preserve">5. Alta disponibilidad en capa 2 con Rapid-PVST+</w:t>
      </w:r>
    </w:p>
    <w:p>
      <w:pPr>
        <w:spacing w:after="80"/>
        <w:jc w:val="both"/>
      </w:pPr>
      <w:r>
        <w:rPr>
          <w:rFonts w:ascii="Calibri" w:cs="Calibri" w:eastAsia="Calibri" w:hAnsi="Calibri"/>
          <w:sz w:val="21"/>
          <w:szCs w:val="21"/>
        </w:rPr>
        <w:t xml:space="preserve">Se implementaron enlaces redundantes entre distribución y acceso, controlados con Rapid-PVST+, la versión Cisco del estándar 802.1w que pide el enunciado. Ante la caída de un enlace, la red converge en 1 a 2 segundos, frente a 30 a 50 segundos del STP clásico. El switch de distribución se fijó como root para asegurar caminos óptimos.</w:t>
      </w:r>
    </w:p>
    <w:p>
      <w:pPr>
        <w:keepNext/>
        <w:spacing w:after="40" w:before="160"/>
      </w:pPr>
      <w:r>
        <w:rPr>
          <w:rFonts w:ascii="Calibri" w:cs="Calibri" w:eastAsia="Calibri" w:hAnsi="Calibri"/>
          <w:b/>
          <w:bCs/>
          <w:color w:val="1F3864"/>
          <w:sz w:val="23"/>
          <w:szCs w:val="23"/>
        </w:rPr>
        <w:t xml:space="preserve">6. Agregación de enlaces con EtherChannel (LACP)</w:t>
      </w:r>
    </w:p>
    <w:p>
      <w:pPr>
        <w:spacing w:after="80"/>
        <w:jc w:val="both"/>
      </w:pPr>
      <w:r>
        <w:rPr>
          <w:rFonts w:ascii="Calibri" w:cs="Calibri" w:eastAsia="Calibri" w:hAnsi="Calibri"/>
          <w:sz w:val="21"/>
          <w:szCs w:val="21"/>
        </w:rPr>
        <w:t xml:space="preserve">Los enlaces entre switches se agruparon en canales EtherChannel (Po1, Po2 y Po3) negociados con LACP. Esto suma el ancho de banda de varios cables y STP los trata como un solo enlace, sin bloquear ninguno. LACP es estándar (802.3ad) y detecta errores de cableado antes de levantar el canal.</w:t>
      </w:r>
    </w:p>
    <w:p>
      <w:pPr>
        <w:keepNext/>
        <w:spacing w:after="40" w:before="160"/>
      </w:pPr>
      <w:r>
        <w:rPr>
          <w:rFonts w:ascii="Calibri" w:cs="Calibri" w:eastAsia="Calibri" w:hAnsi="Calibri"/>
          <w:b/>
          <w:bCs/>
          <w:color w:val="1F3864"/>
          <w:sz w:val="23"/>
          <w:szCs w:val="23"/>
        </w:rPr>
        <w:t xml:space="preserve">7. Enrutamiento entre VLAN y DHCP en el router</w:t>
      </w:r>
    </w:p>
    <w:p>
      <w:pPr>
        <w:spacing w:after="80"/>
        <w:jc w:val="both"/>
      </w:pPr>
      <w:r>
        <w:rPr>
          <w:rFonts w:ascii="Calibri" w:cs="Calibri" w:eastAsia="Calibri" w:hAnsi="Calibri"/>
          <w:sz w:val="21"/>
          <w:szCs w:val="21"/>
        </w:rPr>
        <w:t xml:space="preserve">Cada router enruta entre VLAN con subinterfaces (router-on-a-stick) y actúa como servidor DHCP de todas las redes de su sede, como pide el enunciado. Centralizar el DHCP en el router evita configurar los equipos a mano y reduce errores de direccionamiento. Cada VLAN tiene su propio pool con gateway y DNS.</w:t>
      </w:r>
    </w:p>
    <w:p>
      <w:pPr>
        <w:keepNext/>
        <w:spacing w:after="40" w:before="160"/>
      </w:pPr>
      <w:r>
        <w:rPr>
          <w:rFonts w:ascii="Calibri" w:cs="Calibri" w:eastAsia="Calibri" w:hAnsi="Calibri"/>
          <w:b/>
          <w:bCs/>
          <w:color w:val="1F3864"/>
          <w:sz w:val="23"/>
          <w:szCs w:val="23"/>
        </w:rPr>
        <w:t xml:space="preserve">8. Salida a Internet con PAT</w:t>
      </w:r>
    </w:p>
    <w:p>
      <w:pPr>
        <w:spacing w:after="80"/>
        <w:jc w:val="both"/>
      </w:pPr>
      <w:r>
        <w:rPr>
          <w:rFonts w:ascii="Calibri" w:cs="Calibri" w:eastAsia="Calibri" w:hAnsi="Calibri"/>
          <w:sz w:val="21"/>
          <w:szCs w:val="21"/>
        </w:rPr>
        <w:t xml:space="preserve">En cada router se configuró PAT (NAT con sobrecarga) sobre la IP pública que entrega el ISP. Así, todos los equipos internos con direcciones privadas comparten una sola IP pública para navegar. Es la forma estándar de conectar una LAN privada a Internet sin necesitar una IP pública por equipo.</w:t>
      </w:r>
    </w:p>
    <w:p>
      <w:pPr>
        <w:keepNext/>
        <w:spacing w:after="40" w:before="160"/>
      </w:pPr>
      <w:r>
        <w:rPr>
          <w:rFonts w:ascii="Calibri" w:cs="Calibri" w:eastAsia="Calibri" w:hAnsi="Calibri"/>
          <w:b/>
          <w:bCs/>
          <w:color w:val="1F3864"/>
          <w:sz w:val="23"/>
          <w:szCs w:val="23"/>
        </w:rPr>
        <w:t xml:space="preserve">9. Túneles GRE de cada sucursal a la matriz</w:t>
      </w:r>
    </w:p>
    <w:p>
      <w:pPr>
        <w:spacing w:after="80"/>
        <w:jc w:val="both"/>
      </w:pPr>
      <w:r>
        <w:rPr>
          <w:rFonts w:ascii="Calibri" w:cs="Calibri" w:eastAsia="Calibri" w:hAnsi="Calibri"/>
          <w:sz w:val="21"/>
          <w:szCs w:val="21"/>
        </w:rPr>
        <w:t xml:space="preserve">Se crearon tres túneles GRE punto a punto desde Talca, Concepción y Los Ángeles hacia Temuco. GRE encapsula el tráfico entre sedes sobre Internet y, a diferencia de una VPN IPsec simple, permite transportar multicast, necesario para el protocolo de enrutamiento. Con esto las cuatro sedes funcionan como una sola red corporativa.</w:t>
      </w:r>
    </w:p>
    <w:p>
      <w:pPr>
        <w:keepNext/>
        <w:spacing w:after="40" w:before="160"/>
      </w:pPr>
      <w:r>
        <w:rPr>
          <w:rFonts w:ascii="Calibri" w:cs="Calibri" w:eastAsia="Calibri" w:hAnsi="Calibri"/>
          <w:b/>
          <w:bCs/>
          <w:color w:val="1F3864"/>
          <w:sz w:val="23"/>
          <w:szCs w:val="23"/>
        </w:rPr>
        <w:t xml:space="preserve">10. Cifrado de los túneles con IPsec</w:t>
      </w:r>
      <w:r>
        <w:rPr>
          <w:rFonts w:ascii="Calibri" w:cs="Calibri" w:eastAsia="Calibri" w:hAnsi="Calibri"/>
          <w:i/>
          <w:iCs/>
          <w:color w:val="595959"/>
          <w:sz w:val="19"/>
          <w:szCs w:val="19"/>
        </w:rPr>
        <w:t xml:space="preserve">   Valor agregado</w:t>
      </w:r>
    </w:p>
    <w:p>
      <w:pPr>
        <w:spacing w:after="80"/>
        <w:jc w:val="both"/>
      </w:pPr>
      <w:r>
        <w:rPr>
          <w:rFonts w:ascii="Calibri" w:cs="Calibri" w:eastAsia="Calibri" w:hAnsi="Calibri"/>
          <w:sz w:val="21"/>
          <w:szCs w:val="21"/>
        </w:rPr>
        <w:t xml:space="preserve">Como GRE no cifra, se protegió cada túnel con IPsec usando AES-256, SHA-256 y Diffie-Hellman grupo 14. Esto aporta confidencialidad e integridad al tráfico que viaja por Internet, incluida la voz. Es una mejora sobre lo pedido, ya que el enunciado solo exige GRE.</w:t>
      </w:r>
    </w:p>
    <w:p>
      <w:pPr>
        <w:keepNext/>
        <w:spacing w:after="40" w:before="160"/>
      </w:pPr>
      <w:r>
        <w:rPr>
          <w:rFonts w:ascii="Calibri" w:cs="Calibri" w:eastAsia="Calibri" w:hAnsi="Calibri"/>
          <w:b/>
          <w:bCs/>
          <w:color w:val="1F3864"/>
          <w:sz w:val="23"/>
          <w:szCs w:val="23"/>
        </w:rPr>
        <w:t xml:space="preserve">11. Enrutamiento dinámico con OSPF</w:t>
      </w:r>
    </w:p>
    <w:p>
      <w:pPr>
        <w:spacing w:after="80"/>
        <w:jc w:val="both"/>
      </w:pPr>
      <w:r>
        <w:rPr>
          <w:rFonts w:ascii="Calibri" w:cs="Calibri" w:eastAsia="Calibri" w:hAnsi="Calibri"/>
          <w:sz w:val="21"/>
          <w:szCs w:val="21"/>
        </w:rPr>
        <w:t xml:space="preserve">Sobre los túneles se configuró OSPF en área 0, para que cada sede aprenda automáticamente las redes de las demás. Si un túnel cae, OSPF recalcula las rutas sin intervención manual. Evita mantener rutas estáticas una por una, lo que facilita agregar redes o sedes en el futuro.</w:t>
      </w:r>
    </w:p>
    <w:p>
      <w:pPr>
        <w:keepNext/>
        <w:spacing w:after="40" w:before="160"/>
      </w:pPr>
      <w:r>
        <w:rPr>
          <w:rFonts w:ascii="Calibri" w:cs="Calibri" w:eastAsia="Calibri" w:hAnsi="Calibri"/>
          <w:b/>
          <w:bCs/>
          <w:color w:val="1F3864"/>
          <w:sz w:val="23"/>
          <w:szCs w:val="23"/>
        </w:rPr>
        <w:t xml:space="preserve">12. Red de invitados aislada</w:t>
      </w:r>
    </w:p>
    <w:p>
      <w:pPr>
        <w:spacing w:after="80"/>
        <w:jc w:val="both"/>
      </w:pPr>
      <w:r>
        <w:rPr>
          <w:rFonts w:ascii="Calibri" w:cs="Calibri" w:eastAsia="Calibri" w:hAnsi="Calibri"/>
          <w:sz w:val="21"/>
          <w:szCs w:val="21"/>
        </w:rPr>
        <w:t xml:space="preserve">La VLAN 60 de invitados tiene una ACL que bloquea el acceso a todas las redes privadas y permite solo la salida a Internet. Esto cumple el requerimiento de que los clientes de la sala de ventas naveguen sin llegar a los equipos de la empresa. La regla se aplica en el router, por lo que no depende del punto de acceso.</w:t>
      </w:r>
    </w:p>
    <w:p>
      <w:pPr>
        <w:keepNext/>
        <w:spacing w:after="40" w:before="160"/>
      </w:pPr>
      <w:r>
        <w:rPr>
          <w:rFonts w:ascii="Calibri" w:cs="Calibri" w:eastAsia="Calibri" w:hAnsi="Calibri"/>
          <w:b/>
          <w:bCs/>
          <w:color w:val="1F3864"/>
          <w:sz w:val="23"/>
          <w:szCs w:val="23"/>
        </w:rPr>
        <w:t xml:space="preserve">13. Firewall perimetral OPNsense en la matriz</w:t>
      </w:r>
      <w:r>
        <w:rPr>
          <w:rFonts w:ascii="Calibri" w:cs="Calibri" w:eastAsia="Calibri" w:hAnsi="Calibri"/>
          <w:i/>
          <w:iCs/>
          <w:color w:val="595959"/>
          <w:sz w:val="19"/>
          <w:szCs w:val="19"/>
        </w:rPr>
        <w:t xml:space="preserve">   Valor agregado</w:t>
      </w:r>
    </w:p>
    <w:p>
      <w:pPr>
        <w:spacing w:after="80"/>
        <w:jc w:val="both"/>
      </w:pPr>
      <w:r>
        <w:rPr>
          <w:rFonts w:ascii="Calibri" w:cs="Calibri" w:eastAsia="Calibri" w:hAnsi="Calibri"/>
          <w:sz w:val="21"/>
          <w:szCs w:val="21"/>
        </w:rPr>
        <w:t xml:space="preserve">Se instaló un firewall OPNsense entre el ISP y el router de Temuco, donde están los servidores centrales. Solo permite el tráfico IPsec proveniente de las sucursales y entrega visibilidad de lo que entra y sale de la red. Al ser open source no tiene costo de licencias, lo que favorece la factibilidad económica.</w:t>
      </w:r>
    </w:p>
    <w:p>
      <w:pPr>
        <w:keepNext/>
        <w:spacing w:after="40" w:before="160"/>
      </w:pPr>
      <w:r>
        <w:rPr>
          <w:rFonts w:ascii="Calibri" w:cs="Calibri" w:eastAsia="Calibri" w:hAnsi="Calibri"/>
          <w:b/>
          <w:bCs/>
          <w:color w:val="1F3864"/>
          <w:sz w:val="23"/>
          <w:szCs w:val="23"/>
        </w:rPr>
        <w:t xml:space="preserve">14. Integración con equipos físicos</w:t>
      </w:r>
      <w:r>
        <w:rPr>
          <w:rFonts w:ascii="Calibri" w:cs="Calibri" w:eastAsia="Calibri" w:hAnsi="Calibri"/>
          <w:i/>
          <w:iCs/>
          <w:color w:val="595959"/>
          <w:sz w:val="19"/>
          <w:szCs w:val="19"/>
        </w:rPr>
        <w:t xml:space="preserve">   Valor agregado</w:t>
      </w:r>
    </w:p>
    <w:p>
      <w:pPr>
        <w:spacing w:after="80"/>
        <w:jc w:val="both"/>
      </w:pPr>
      <w:r>
        <w:rPr>
          <w:rFonts w:ascii="Calibri" w:cs="Calibri" w:eastAsia="Calibri" w:hAnsi="Calibri"/>
          <w:sz w:val="21"/>
          <w:szCs w:val="21"/>
        </w:rPr>
        <w:t xml:space="preserve">Se conectó un switch Cisco 2960 real al laboratorio virtual mediante un switch puente (SW-PUENTE). Con esto se comprobó que un PC y un teléfono IP físicos reciben dirección de la red simulada y acceden a Internet. Demuestra que el diseño funciona fuera del simulador.</w:t>
      </w:r>
    </w:p>
    <w:p>
      <w:pPr>
        <w:keepNext/>
        <w:spacing w:after="40" w:before="160"/>
      </w:pPr>
      <w:r>
        <w:rPr>
          <w:rFonts w:ascii="Calibri" w:cs="Calibri" w:eastAsia="Calibri" w:hAnsi="Calibri"/>
          <w:b/>
          <w:bCs/>
          <w:color w:val="1F3864"/>
          <w:sz w:val="23"/>
          <w:szCs w:val="23"/>
        </w:rPr>
        <w:t xml:space="preserve">15. Ajustes de estabilidad</w:t>
      </w:r>
    </w:p>
    <w:p>
      <w:pPr>
        <w:spacing w:after="80"/>
        <w:jc w:val="both"/>
      </w:pPr>
      <w:r>
        <w:rPr>
          <w:rFonts w:ascii="Calibri" w:cs="Calibri" w:eastAsia="Calibri" w:hAnsi="Calibri"/>
          <w:sz w:val="21"/>
          <w:szCs w:val="21"/>
        </w:rPr>
        <w:t xml:space="preserve">Se forzó duplex full en los enlaces entre switches, porque el desajuste de duplex descartaba tramas, incluido el DHCP. Se estableció guardar la configuración (write memory) tras cada cambio para no perderla al reiniciar. Además, se quitó la opción 66 del DHCP de voz, que hacía que el teléfono buscara una configuración Cisco en lugar de registrarse por SIP.</w:t>
      </w:r>
    </w:p>
    <w:p>
      <w:pPr>
        <w:pStyle w:val="Heading1"/>
      </w:pPr>
      <w:r>
        <w:rPr>
          <w:rFonts w:ascii="Calibri" w:cs="Calibri" w:eastAsia="Calibri" w:hAnsi="Calibri"/>
        </w:rPr>
        <w:t xml:space="preserve">3. Alternativas evaluadas</w:t>
      </w:r>
    </w:p>
    <w:p>
      <w:pPr>
        <w:keepNext/>
        <w:spacing w:after="40" w:before="160"/>
      </w:pPr>
      <w:r>
        <w:rPr>
          <w:rFonts w:ascii="Calibri" w:cs="Calibri" w:eastAsia="Calibri" w:hAnsi="Calibri"/>
          <w:b/>
          <w:bCs/>
          <w:color w:val="1F3864"/>
          <w:sz w:val="23"/>
          <w:szCs w:val="23"/>
        </w:rPr>
        <w:t xml:space="preserve">16. HSRP con IP SLA</w:t>
      </w:r>
      <w:r>
        <w:rPr>
          <w:rFonts w:ascii="Calibri" w:cs="Calibri" w:eastAsia="Calibri" w:hAnsi="Calibri"/>
          <w:i/>
          <w:iCs/>
          <w:color w:val="595959"/>
          <w:sz w:val="19"/>
          <w:szCs w:val="19"/>
        </w:rPr>
        <w:t xml:space="preserve">   Considerado, no implementado</w:t>
      </w:r>
    </w:p>
    <w:p>
      <w:pPr>
        <w:spacing w:after="80"/>
        <w:jc w:val="both"/>
      </w:pPr>
      <w:r>
        <w:rPr>
          <w:rFonts w:ascii="Calibri" w:cs="Calibri" w:eastAsia="Calibri" w:hAnsi="Calibri"/>
          <w:sz w:val="21"/>
          <w:szCs w:val="21"/>
        </w:rPr>
        <w:t xml:space="preserve">Se evaluó agregar redundancia de gateway con HSRP y monitoreo del enlace a Internet con IP SLA. Se descartó en esta etapa porque requiere un segundo router y un segundo proveedor de Internet por sede, y el enunciado solo exige alta disponibilidad en capa 2, que ya se cumple. Queda como mejora futura.</w:t>
      </w:r>
    </w:p>
    <w:p>
      <w:pPr>
        <w:keepNext/>
        <w:spacing w:after="40" w:before="160"/>
      </w:pPr>
      <w:r>
        <w:rPr>
          <w:rFonts w:ascii="Calibri" w:cs="Calibri" w:eastAsia="Calibri" w:hAnsi="Calibri"/>
          <w:b/>
          <w:bCs/>
          <w:color w:val="1F3864"/>
          <w:sz w:val="23"/>
          <w:szCs w:val="23"/>
        </w:rPr>
        <w:t xml:space="preserve">17. GRE multipunto (DMVPN)</w:t>
      </w:r>
      <w:r>
        <w:rPr>
          <w:rFonts w:ascii="Calibri" w:cs="Calibri" w:eastAsia="Calibri" w:hAnsi="Calibri"/>
          <w:i/>
          <w:iCs/>
          <w:color w:val="595959"/>
          <w:sz w:val="19"/>
          <w:szCs w:val="19"/>
        </w:rPr>
        <w:t xml:space="preserve">   Considerado, no implementado</w:t>
      </w:r>
    </w:p>
    <w:p>
      <w:pPr>
        <w:spacing w:after="80"/>
        <w:jc w:val="both"/>
      </w:pPr>
      <w:r>
        <w:rPr>
          <w:rFonts w:ascii="Calibri" w:cs="Calibri" w:eastAsia="Calibri" w:hAnsi="Calibri"/>
          <w:sz w:val="21"/>
          <w:szCs w:val="21"/>
        </w:rPr>
        <w:t xml:space="preserve">Se analizó reemplazar los túneles punto a punto por DMVPN, que usa una sola interfaz de túnel y permite comunicación directa entre sucursales. Para tres sucursales, los túneles separados son más simples de configurar y diagnosticar, y calzan literalmente con el enunciado. DMVPN se propone si la empresa crece en número de sedes.</w:t>
      </w:r>
    </w:p>
    <w:p>
      <w:pPr>
        <w:pStyle w:val="Heading1"/>
      </w:pPr>
      <w:r>
        <w:rPr>
          <w:rFonts w:ascii="Calibri" w:cs="Calibri" w:eastAsia="Calibri" w:hAnsi="Calibri"/>
        </w:rPr>
        <w:t xml:space="preserve">4. Cambios recientes</w:t>
      </w:r>
    </w:p>
    <w:p>
      <w:pPr>
        <w:keepNext/>
        <w:spacing w:after="40" w:before="160"/>
      </w:pPr>
      <w:r>
        <w:rPr>
          <w:rFonts w:ascii="Calibri" w:cs="Calibri" w:eastAsia="Calibri" w:hAnsi="Calibri"/>
          <w:b/>
          <w:bCs/>
          <w:color w:val="1F3864"/>
          <w:sz w:val="23"/>
          <w:szCs w:val="23"/>
        </w:rPr>
        <w:t xml:space="preserve">18. Rediseño del VLSM con margen de crecimiento</w:t>
      </w:r>
      <w:r>
        <w:rPr>
          <w:rFonts w:ascii="Calibri" w:cs="Calibri" w:eastAsia="Calibri" w:hAnsi="Calibri"/>
          <w:i/>
          <w:iCs/>
          <w:color w:val="595959"/>
          <w:sz w:val="19"/>
          <w:szCs w:val="19"/>
        </w:rPr>
        <w:t xml:space="preserve">   Aplicado al diseño</w:t>
      </w:r>
    </w:p>
    <w:p>
      <w:pPr>
        <w:spacing w:after="80"/>
        <w:jc w:val="both"/>
      </w:pPr>
      <w:r>
        <w:rPr>
          <w:rFonts w:ascii="Calibri" w:cs="Calibri" w:eastAsia="Calibri" w:hAnsi="Calibri"/>
          <w:sz w:val="21"/>
          <w:szCs w:val="21"/>
        </w:rPr>
        <w:t xml:space="preserve">Se recalculó el direccionamiento con el criterio: usuarios + 25 % de crecimiento + 1 gateway, asignando las subredes de mayor a menor. Con esto ninguna subred queda justa respecto de la dotación actual, no hay solapamientos y cada sede mantiene una sola red clase C. El detalle está en el documento "Direccionamiento_VLSM_Agroprodel".</w:t>
      </w:r>
    </w:p>
    <w:p>
      <w:pPr>
        <w:keepNext/>
        <w:spacing w:after="40" w:before="160"/>
      </w:pPr>
      <w:r>
        <w:rPr>
          <w:rFonts w:ascii="Calibri" w:cs="Calibri" w:eastAsia="Calibri" w:hAnsi="Calibri"/>
          <w:b/>
          <w:bCs/>
          <w:color w:val="1F3864"/>
          <w:sz w:val="23"/>
          <w:szCs w:val="23"/>
        </w:rPr>
        <w:t xml:space="preserve">19. Wi-Fi: de UniFi a Cisco Business Wireless</w:t>
      </w:r>
      <w:r>
        <w:rPr>
          <w:rFonts w:ascii="Calibri" w:cs="Calibri" w:eastAsia="Calibri" w:hAnsi="Calibri"/>
          <w:i/>
          <w:iCs/>
          <w:color w:val="595959"/>
          <w:sz w:val="19"/>
          <w:szCs w:val="19"/>
        </w:rPr>
        <w:t xml:space="preserve">   Considerado y reemplazado</w:t>
      </w:r>
    </w:p>
    <w:p>
      <w:pPr>
        <w:spacing w:after="80"/>
        <w:jc w:val="both"/>
      </w:pPr>
      <w:r>
        <w:rPr>
          <w:rFonts w:ascii="Calibri" w:cs="Calibri" w:eastAsia="Calibri" w:hAnsi="Calibri"/>
          <w:sz w:val="21"/>
          <w:szCs w:val="21"/>
        </w:rPr>
        <w:t xml:space="preserve">En el diseño inicial se consideró UniFi para las salas de ventas, por su bajo costo y facilidad de uso. Se reemplazó por Cisco CBW150AX para alinear la solución con el requerimiento de equipamiento Cisco: no necesita controlador ni licencias, asocia el SSID de invitados a la VLAN 60 y tiene un costo similar. UniFi se mantiene como alternativa en la comparativa de presupuesto.</w:t>
      </w:r>
    </w:p>
    <w:sectPr>
      <w:footerReference w:type="default" r:id="rId7"/>
      <w:pgSz w:w="11906" w:h="16838" w:orient="portrait"/>
      <w:pgMar w:top="1134" w:right="1300" w:bottom="1134"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Agroprodel Ltda. – Bitácora de evolución de la red · Página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1F3864"/>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2026-10-28T04:55:22.534Z</dcterms:created>
  <dcterms:modified xsi:type="dcterms:W3CDTF">2026-10-28T04:55:22.536Z</dcterms:modified>
</cp:coreProperties>
</file>

<file path=docProps/custom.xml><?xml version="1.0" encoding="utf-8"?>
<Properties xmlns="http://schemas.openxmlformats.org/officeDocument/2006/custom-properties" xmlns:vt="http://schemas.openxmlformats.org/officeDocument/2006/docPropsVTypes"/>
</file>