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Matriz de Rastreabilidade — EntregaJá</w:t>
      </w:r>
    </w:p>
    <w:p>
      <w:pPr>
        <w:spacing w:after="400"/>
      </w:pPr>
      <w:r>
        <w:rPr>
          <w:i/>
          <w:iCs/>
          <w:color w:val="444444"/>
          <w:sz w:val="18"/>
          <w:szCs w:val="18"/>
        </w:rPr>
        <w:t xml:space="preserve">Os identificadores seguem o Guia Detalhado do Estudo de Caso (RF01–RF12, RN01–RN07, RNF01–RNF07). As ADRs referenciadas estão em docs/adr/.</w:t>
      </w:r>
    </w:p>
    <w:p>
      <w:pPr>
        <w:pStyle w:val="Heading2"/>
        <w:spacing w:after="160" w:before="400"/>
      </w:pPr>
      <w:r>
        <w:t xml:space="preserve">1. Requisitos Funcionais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800"/>
        <w:gridCol w:w="3800"/>
        <w:gridCol w:w="5600"/>
      </w:tblGrid>
      <w:tr>
        <w:trPr>
          <w:tblHeader/>
        </w:trPr>
        <w:tc>
          <w:tcPr>
            <w:tcW w:type="dxa" w:w="1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ADR relacionada</w:t>
            </w:r>
          </w:p>
        </w:tc>
        <w:tc>
          <w:tcPr>
            <w:tcW w:type="dxa" w:w="3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 / Tática</w:t>
            </w:r>
          </w:p>
        </w:tc>
        <w:tc>
          <w:tcPr>
            <w:tcW w:type="dxa" w:w="56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verificar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Manter catálogo de produtos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ADR-003, ADR-005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CatalogoService, cache seletivo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CRUD de produtos; medir latência de listagem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Buscar e filtrar produtos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ADR-003, ADR-005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CatalogoService, paginação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Pesquisa por nome/categoria; latência &lt; 1,5 s no p95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Gerenciar categorias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ADR-003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CatalogoService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CRUD de categorias; retorno correto por ID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Montar e editar carrinho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ADR-003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CarrinhoService, ItemDoCarrinho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Adicionar/remover itens; persistência entre sessões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RF05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Finalizar compra (checkout)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ADR-001, ADR-004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CheckoutService, EstoqueService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Checkout com reserva de estoque; teste de concorrência na última unidade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RF06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Processar pagamento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ADR-004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PagamentoService, PagamentoAdapter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Simular aprovação e recusa do gateway simulado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RF07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Garantir idempotência de pagamento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ADR-004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PagamentoService, chave de idempotência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Reenviar mesma chave; verificar cobrança única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RF08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Atualizar e consultar status do pedido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ADR-002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PedidoService, eventos de domínio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Alterar status; consultar histórico de estados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RF09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Acompanhar entrega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ADR-002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EntregaService, eventos de domínio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Atribuir entregador; atualizar e consultar status de entrega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RF10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Gerenciar estoque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ADR-001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EstoqueService, bloqueio otimista (@Version)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Compra simultânea da última unidade → estoque nunca negativo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RF11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Controle de acesso por perfil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ADR-006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Spring Security, RBAC (ROLE_LOJISTA, ROLE_ADMIN)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Testar acesso permitido e negado por perfil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RF12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Avaliar pedido entregue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ADR-002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AvaliacaoService, evento PEDIDO_ENTREGUE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Avaliação só disponível após status ENTREGUE (RN05)</w:t>
            </w:r>
          </w:p>
        </w:tc>
      </w:tr>
    </w:tbl>
    <w:p>
      <w:pPr>
        <w:spacing w:before="480"/>
      </w:pPr>
    </w:p>
    <w:p>
      <w:pPr>
        <w:pStyle w:val="Heading2"/>
        <w:spacing w:after="160" w:before="400"/>
      </w:pPr>
      <w:r>
        <w:t xml:space="preserve">2. Regras de Negócio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800"/>
        <w:gridCol w:w="3800"/>
        <w:gridCol w:w="5600"/>
      </w:tblGrid>
      <w:tr>
        <w:trPr>
          <w:tblHeader/>
        </w:trPr>
        <w:tc>
          <w:tcPr>
            <w:tcW w:type="dxa" w:w="1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ADR relacionada</w:t>
            </w:r>
          </w:p>
        </w:tc>
        <w:tc>
          <w:tcPr>
            <w:tcW w:type="dxa" w:w="3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 / Tática</w:t>
            </w:r>
          </w:p>
        </w:tc>
        <w:tc>
          <w:tcPr>
            <w:tcW w:type="dxa" w:w="56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verificar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RN01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Validar estoque antes de confirmar pedido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ADR-001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EstoqueService, transação atômica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Dois usuários compram última unidade; apenas um confirmado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RN02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Iniciar preparo somente após pagamento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Máquina de estados de Pedido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Forçar EM_PREPARO sem pagamento → rejeição esperada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RN03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Preço registrado no momento da compra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ADR-003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ItemDoPedido.precoUnitario (imutável)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Alterar preço do produto; pedido existente mantém valor original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RN04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Idempotência no pagamento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ADR-004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PagamentoService, chave de idempotência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Reprocessar evento de pagamento; estado deve permanecer o mesmo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RN05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Avaliação somente após entrega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ADR-002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Máquina de estados, AvaliacaoService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Tentar avaliar pedido EM_ROTA → erro esperado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RN06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Status do pedido não retrocede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Máquina de estados de Pedido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Tentar regredir PAGO → CRIADO → rejeição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RN07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Cancelamento segue regras explícitas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Máquina de estados, transições de cancelamento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Cancelar nas fases permitidas; verificar bloqueio fora delas</w:t>
            </w:r>
          </w:p>
        </w:tc>
      </w:tr>
    </w:tbl>
    <w:p>
      <w:pPr>
        <w:spacing w:before="480"/>
      </w:pPr>
    </w:p>
    <w:p>
      <w:pPr>
        <w:pStyle w:val="Heading2"/>
        <w:spacing w:after="160" w:before="400"/>
      </w:pPr>
      <w:r>
        <w:t xml:space="preserve">3. Requisitos Não Funcionais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800"/>
        <w:gridCol w:w="3800"/>
        <w:gridCol w:w="5600"/>
      </w:tblGrid>
      <w:tr>
        <w:trPr>
          <w:tblHeader/>
        </w:trPr>
        <w:tc>
          <w:tcPr>
            <w:tcW w:type="dxa" w:w="1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ADR relacionada</w:t>
            </w:r>
          </w:p>
        </w:tc>
        <w:tc>
          <w:tcPr>
            <w:tcW w:type="dxa" w:w="3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 / Tática</w:t>
            </w:r>
          </w:p>
        </w:tc>
        <w:tc>
          <w:tcPr>
            <w:tcW w:type="dxa" w:w="56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verificar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RNF01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Escalabilidade do catálogo (pico 10×)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ADR-005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CatalogoService, cache Caffeine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Teste de carga; latência &lt; 2 s no p95 sob pico simulado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RNF02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Desempenho na busca de produtos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ADR-005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CatalogoService, índice no banco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Consulta com filtro; latência &lt; 1,5 s no p95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RNF03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Consistência de estoque sob concorrência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ADR-001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EstoqueService, bloqueio otimista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Estoque nunca negativo após compras simultâneas automatizadas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RNF04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Disponibilidade parcial (gateway indisponível)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ADR-004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PagamentoAdapter, isolamento de falha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Simular gateway fora; catálogo e carrinho continuam operando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RNF05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Resiliência a timeout de pagamento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ADR-004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PagamentoAdapter, timeout configurado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Simular timeout; pedido deve ir para PENDENTE_PAGAMENTO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RNF06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Segurança de dados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ADR-006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Spring Security, JWT, cartão não armazenado (delegado ao gateway — ADR-004)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Revisão de código; teste de acesso não autorizado; ausência de dados sensíveis em logs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RNF07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Integrabilidade — troca de gateway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ADR-004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Interface GatewayPagamento, PagamentoAdapter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Trocar implementação do adaptador sem alterar PedidoService</w:t>
            </w:r>
          </w:p>
        </w:tc>
      </w:tr>
    </w:tbl>
    <w:p>
      <w:pPr>
        <w:spacing w:before="480"/>
      </w:pPr>
    </w:p>
    <w:p>
      <w:pPr>
        <w:pStyle w:val="Heading2"/>
        <w:spacing w:after="160" w:before="400"/>
      </w:pPr>
      <w:r>
        <w:t xml:space="preserve">Notas</w:t>
      </w:r>
    </w:p>
    <w:p>
      <w:pPr>
        <w:spacing w:after="100" w:before="200"/>
      </w:pPr>
      <w:r>
        <w:rPr>
          <w:i/>
          <w:iCs/>
          <w:color w:val="444444"/>
          <w:sz w:val="16"/>
          <w:szCs w:val="16"/>
        </w:rPr>
        <w:t xml:space="preserve">Antes de entregar: substituir os nomes de componentes pelos caminhos reais no repositório (ex.: CatalogoService → src/main/java/.../catalogo/CatalogoService.java) e confirmar que as ADRs referenciadas estão com status Aceito.</w:t>
      </w:r>
    </w:p>
    <w:sectPr>
      <w:pgSz w:w="16838" w:h="11906" w:orient="landscape"/>
      <w:pgMar w:top="720" w:right="719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2026-10-29T01:57:04.234Z</dcterms:created>
  <dcterms:modified xsi:type="dcterms:W3CDTF">2026-10-29T01:57:04.239Z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