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UWC Costa Rica AI Policy Alignment</w:t>
      </w:r>
    </w:p>
    <w:p>
      <w:pPr>
        <w:pStyle w:val="Author"/>
      </w:pPr>
      <w:r>
        <w:t xml:space="preserve">Erick Loría Soto</w:t>
      </w:r>
    </w:p>
    <w:p>
      <w:pPr>
        <w:pStyle w:val="Date"/>
      </w:pPr>
      <w:r>
        <w:t xml:space="preserve">2025-04-22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amework-selected"/>
    <w:p>
      <w:pPr>
        <w:pStyle w:val="Heading2"/>
      </w:pPr>
      <w:r>
        <w:t xml:space="preserve">1 Framework Selected</w:t>
      </w:r>
    </w:p>
    <w:p>
      <w:pPr>
        <w:pStyle w:val="FirstParagraph"/>
      </w:pPr>
      <w:r>
        <w:rPr>
          <w:b/>
          <w:bCs/>
        </w:rPr>
        <w:t xml:space="preserve">UWC Costa Rica Strategic Plan (2022–2027)</w:t>
      </w:r>
      <w:r>
        <w:t xml:space="preserve"> </w:t>
      </w:r>
      <w:r>
        <w:t xml:space="preserve">emphasizing sustainability, innovation, personalized and experiential learning, and community engagement</w:t>
      </w:r>
      <w:r>
        <w:t xml:space="preserve"> </w:t>
      </w:r>
      <w:r>
        <w:t xml:space="preserve">(UWC Costa Rica 2022)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key-priorities-uwc2022"/>
    <w:p>
      <w:pPr>
        <w:pStyle w:val="Heading2"/>
      </w:pPr>
      <w:r>
        <w:t xml:space="preserve">2 Key Priorities</w:t>
      </w:r>
      <w:r>
        <w:t xml:space="preserve"> </w:t>
      </w:r>
      <w:r>
        <w:t xml:space="preserve">(UWC Costa Rica 2022)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Sustainability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Personalized and Experiential Learning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Academic Excellence and Future-Readiness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Belonging and Community Well-being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Global Citizenship</w:t>
      </w:r>
    </w:p>
    <w:p>
      <w:r>
        <w:pict>
          <v:rect style="width:0;height:1.5pt" o:hralign="center" o:hrstd="t" o:hr="t"/>
        </w:pict>
      </w:r>
    </w:p>
    <w:bookmarkEnd w:id="21"/>
    <w:bookmarkStart w:id="25" w:name="ai-integration-3g-ai-framework"/>
    <w:p>
      <w:pPr>
        <w:pStyle w:val="Heading2"/>
      </w:pPr>
      <w:r>
        <w:t xml:space="preserve">3 AI Integration (3G AI Framework)</w:t>
      </w:r>
    </w:p>
    <w:bookmarkStart w:id="22" w:name="governance"/>
    <w:p>
      <w:pPr>
        <w:pStyle w:val="Heading3"/>
      </w:pPr>
      <w:r>
        <w:t xml:space="preserve">3.1 Governance</w:t>
      </w:r>
    </w:p>
    <w:p>
      <w:pPr>
        <w:pStyle w:val="FirstParagraph"/>
      </w:pPr>
      <w:r>
        <w:t xml:space="preserve">AI governance at UWC Costa Rica is structured as a comprehensive, school-wide initiative. Governance includes an interdisciplinary AI Committee comprising representatives from:</w:t>
      </w:r>
    </w:p>
    <w:p>
      <w:pPr>
        <w:pStyle w:val="Compact"/>
        <w:numPr>
          <w:ilvl w:val="0"/>
          <w:numId w:val="1002"/>
        </w:numPr>
      </w:pPr>
      <w:r>
        <w:t xml:space="preserve">Academic Leadership Team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Human Resources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Co-curricular Department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Administration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Student and Community Voices</w:t>
      </w:r>
    </w:p>
    <w:p>
      <w:pPr>
        <w:pStyle w:val="FirstParagraph"/>
      </w:pPr>
      <w:r>
        <w:t xml:space="preserve">This committee oversees implementation, compliance, and ethical integration of AI across academic and operational domains</w:t>
      </w:r>
      <w:r>
        <w:t xml:space="preserve"> </w:t>
      </w:r>
      <w:r>
        <w:t xml:space="preserve">(UWC Costa Rica 2022)</w:t>
      </w:r>
      <w:r>
        <w:t xml:space="preserve">.</w:t>
      </w:r>
    </w:p>
    <w:bookmarkEnd w:id="22"/>
    <w:bookmarkStart w:id="23" w:name="guidance"/>
    <w:p>
      <w:pPr>
        <w:pStyle w:val="Heading3"/>
      </w:pPr>
      <w:r>
        <w:t xml:space="preserve">3.2 Guidance</w:t>
      </w:r>
    </w:p>
    <w:p>
      <w:pPr>
        <w:pStyle w:val="FirstParagraph"/>
      </w:pPr>
      <w:r>
        <w:t xml:space="preserve">Guidance will ensure thorough professional development in AI literacy aligned explicitly with UWC Costa Rica’s strategic goals</w:t>
      </w:r>
      <w:r>
        <w:t xml:space="preserve"> </w:t>
      </w:r>
      <w:r>
        <w:t xml:space="preserve">(UWC Costa Rica 2022)</w:t>
      </w:r>
      <w:r>
        <w:t xml:space="preserve">. The interdisciplinary AI Committee members will first undergo extensive training in ethical and effective AI use. Subsequently, this committee will:</w:t>
      </w:r>
    </w:p>
    <w:p>
      <w:pPr>
        <w:pStyle w:val="Compact"/>
        <w:numPr>
          <w:ilvl w:val="0"/>
          <w:numId w:val="1003"/>
        </w:numPr>
      </w:pPr>
      <w:r>
        <w:t xml:space="preserve">Facilitate broader staff training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Create clear onboarding procedures for new hires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Conduct ongoing peer observation and co-teaching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Foster school-wide understanding of AI’s ethical implications</w:t>
      </w:r>
      <w:r>
        <w:t xml:space="preserve"> </w:t>
      </w:r>
      <w:r>
        <w:t xml:space="preserve">(Furze 2024)</w:t>
      </w:r>
    </w:p>
    <w:bookmarkEnd w:id="23"/>
    <w:bookmarkStart w:id="24" w:name="guardrails"/>
    <w:p>
      <w:pPr>
        <w:pStyle w:val="Heading3"/>
      </w:pPr>
      <w:r>
        <w:t xml:space="preserve">3.3 Guardrails</w:t>
      </w:r>
    </w:p>
    <w:p>
      <w:pPr>
        <w:pStyle w:val="FirstParagraph"/>
      </w:pPr>
      <w:r>
        <w:t xml:space="preserve">Guardrails will be articulated as Standard Operating Procedures (SOPs), ensuring ethical AI integration aligns with institutional commitments to sustainability, diversity, inclusion, academic integrity, and transparency</w:t>
      </w:r>
      <w:r>
        <w:t xml:space="preserve"> </w:t>
      </w:r>
      <w:r>
        <w:t xml:space="preserve">(UWC Costa Rica 2022)</w:t>
      </w:r>
      <w:r>
        <w:t xml:space="preserve">. These SOPs will explicitly outline acceptable AI uses, proper citation practices, and protocols addressing equity, bias mitigation, and privacy.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potential-impacts-of-ai"/>
    <w:p>
      <w:pPr>
        <w:pStyle w:val="Heading2"/>
      </w:pPr>
      <w:r>
        <w:t xml:space="preserve">4 Potential Impacts of AI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7"/>
        <w:gridCol w:w="3583"/>
        <w:gridCol w:w="26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AI Support &amp; Amplification</w:t>
            </w:r>
          </w:p>
        </w:tc>
        <w:tc>
          <w:tcPr/>
          <w:p>
            <w:pPr>
              <w:pStyle w:val="Compact"/>
            </w:pPr>
            <w:r>
              <w:t xml:space="preserve">AI Challenges &amp; Tensions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Sustainability</w:t>
            </w:r>
          </w:p>
        </w:tc>
        <w:tc>
          <w:tcPr/>
          <w:p>
            <w:pPr>
              <w:pStyle w:val="Compact"/>
            </w:pPr>
            <w:r>
              <w:t xml:space="preserve">Enhanced resource optimization; simulations for sustainability education</w:t>
            </w:r>
            <w:r>
              <w:t xml:space="preserve"> </w:t>
            </w:r>
            <w:r>
              <w:t xml:space="preserve">(UWC Costa Rica 2022)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Increased energy/e-waste; unsustainable practices.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Personalized Learning</w:t>
            </w:r>
          </w:p>
        </w:tc>
        <w:tc>
          <w:tcPr/>
          <w:p>
            <w:pPr>
              <w:pStyle w:val="Compact"/>
            </w:pPr>
            <w:r>
              <w:t xml:space="preserve">Customized learning pathways; personalized feedback</w:t>
            </w:r>
            <w:r>
              <w:t xml:space="preserve"> </w:t>
            </w:r>
            <w:r>
              <w:t xml:space="preserve">(United World Colleges (UWC) 2024)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Reduced human interaction; inequity in access.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Academic Excellence</w:t>
            </w:r>
          </w:p>
        </w:tc>
        <w:tc>
          <w:tcPr/>
          <w:p>
            <w:pPr>
              <w:pStyle w:val="Compact"/>
            </w:pPr>
            <w:r>
              <w:t xml:space="preserve">Enhanced analytical capabilities; skill development</w:t>
            </w:r>
            <w:r>
              <w:t xml:space="preserve"> </w:t>
            </w:r>
            <w:r>
              <w:t xml:space="preserve">(Ministerio de Ciencia, Innovación, Tecnología y Telecomunicaciones (MICITT) 2024; United World Colleges (UWC) 2024)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Overreliance; academic dishonesty; biases.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Belonging &amp; Well-being</w:t>
            </w:r>
          </w:p>
        </w:tc>
        <w:tc>
          <w:tcPr/>
          <w:p>
            <w:pPr>
              <w:pStyle w:val="Compact"/>
            </w:pPr>
            <w:r>
              <w:t xml:space="preserve">Well-being monitoring; inclusivity and support</w:t>
            </w:r>
            <w:r>
              <w:t xml:space="preserve"> </w:t>
            </w:r>
            <w:r>
              <w:t xml:space="preserve">(United World Colleges (UWC) 2024)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Privacy risks; surveillance; AI biases.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Global Citizenship</w:t>
            </w:r>
          </w:p>
        </w:tc>
        <w:tc>
          <w:tcPr/>
          <w:p>
            <w:pPr>
              <w:pStyle w:val="Compact"/>
            </w:pPr>
            <w:r>
              <w:t xml:space="preserve">Facilitating global collaboration; intercultural understanding</w:t>
            </w:r>
            <w:r>
              <w:t xml:space="preserve"> </w:t>
            </w:r>
            <w:r>
              <w:t xml:space="preserve">(United World Colleges (UWC) 2024)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Ethical data handling; cultural misrepresentation; inequity.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36" w:name="references"/>
    <w:p>
      <w:pPr>
        <w:pStyle w:val="Heading2"/>
      </w:pPr>
      <w:r>
        <w:t xml:space="preserve">5 References</w:t>
      </w:r>
    </w:p>
    <w:p>
      <w:pPr>
        <w:pStyle w:val="Compact"/>
        <w:numPr>
          <w:ilvl w:val="0"/>
          <w:numId w:val="1004"/>
        </w:numPr>
      </w:pPr>
      <w:r>
        <w:t xml:space="preserve">(Ministerio de Ciencia, Innovación, Tecnología y Telecomunicaciones (MICITT) 2024)</w:t>
      </w:r>
      <w:r>
        <w:t xml:space="preserve"> </w:t>
      </w:r>
      <w:r>
        <w:t xml:space="preserve">Ministerio de Ciencia, Innovación, Tecnología y Telecomunicaciones (MICITT). (2024).</w:t>
      </w:r>
      <w:r>
        <w:t xml:space="preserve"> </w:t>
      </w:r>
      <w:r>
        <w:rPr>
          <w:i/>
          <w:iCs/>
        </w:rPr>
        <w:t xml:space="preserve">National Artificial Intelligence Strategy of Costa Rica 2024–2027</w:t>
      </w:r>
      <w:r>
        <w:t xml:space="preserve">. San José, Costa Rica.</w:t>
      </w:r>
    </w:p>
    <w:p>
      <w:pPr>
        <w:pStyle w:val="Compact"/>
        <w:numPr>
          <w:ilvl w:val="0"/>
          <w:numId w:val="1004"/>
        </w:numPr>
      </w:pPr>
      <w:r>
        <w:t xml:space="preserve">(United World Colleges (UWC) 2024)</w:t>
      </w:r>
      <w:r>
        <w:t xml:space="preserve"> </w:t>
      </w:r>
      <w:r>
        <w:t xml:space="preserve">United World Colleges (UWC). (2024).</w:t>
      </w:r>
      <w:r>
        <w:t xml:space="preserve"> </w:t>
      </w:r>
      <w:r>
        <w:rPr>
          <w:i/>
          <w:iCs/>
        </w:rPr>
        <w:t xml:space="preserve">Policy on the Use of Artificial Intelligence</w:t>
      </w:r>
      <w:r>
        <w:t xml:space="preserve">. UWC International.</w:t>
      </w:r>
    </w:p>
    <w:p>
      <w:pPr>
        <w:pStyle w:val="Compact"/>
        <w:numPr>
          <w:ilvl w:val="0"/>
          <w:numId w:val="1004"/>
        </w:numPr>
      </w:pPr>
      <w:r>
        <w:t xml:space="preserve">(UWC Costa Rica 2022)</w:t>
      </w:r>
      <w:r>
        <w:t xml:space="preserve"> </w:t>
      </w:r>
      <w:r>
        <w:t xml:space="preserve">UWC Costa Rica. (2022).</w:t>
      </w:r>
      <w:r>
        <w:t xml:space="preserve"> </w:t>
      </w:r>
      <w:r>
        <w:rPr>
          <w:i/>
          <w:iCs/>
        </w:rPr>
        <w:t xml:space="preserve">2022-2027 Strategic Plan</w:t>
      </w:r>
      <w:r>
        <w:t xml:space="preserve">. Santa Ana, Costa Rica.</w:t>
      </w:r>
    </w:p>
    <w:p>
      <w:pPr>
        <w:pStyle w:val="Compact"/>
        <w:numPr>
          <w:ilvl w:val="0"/>
          <w:numId w:val="1004"/>
        </w:numPr>
      </w:pPr>
      <w:r>
        <w:t xml:space="preserve">(Furze 2024)</w:t>
      </w:r>
      <w:r>
        <w:t xml:space="preserve"> </w:t>
      </w:r>
      <w:r>
        <w:t xml:space="preserve">Furze, L. (2024).</w:t>
      </w:r>
      <w:r>
        <w:t xml:space="preserve"> </w:t>
      </w:r>
      <w:r>
        <w:rPr>
          <w:i/>
          <w:iCs/>
        </w:rPr>
        <w:t xml:space="preserve">Updating the AI Assessment Scale</w:t>
      </w:r>
      <w:r>
        <w:t xml:space="preserve">. Retrieved from</w:t>
      </w:r>
      <w:r>
        <w:t xml:space="preserve"> </w:t>
      </w:r>
      <w:hyperlink r:id="rId27">
        <w:r>
          <w:rPr>
            <w:rStyle w:val="Hyperlink"/>
          </w:rPr>
          <w:t xml:space="preserve">https://leonfurze.com/2024/08/28/updating-the-ai-assessment-scale/</w:t>
        </w:r>
      </w:hyperlink>
    </w:p>
    <w:bookmarkStart w:id="35" w:name="refs"/>
    <w:bookmarkStart w:id="28" w:name="ref-furze2024"/>
    <w:p>
      <w:pPr>
        <w:pStyle w:val="Bibliography"/>
      </w:pPr>
      <w:r>
        <w:t xml:space="preserve">Furze, Leon. 2024.</w:t>
      </w:r>
      <w:r>
        <w:t xml:space="preserve"> </w:t>
      </w:r>
      <w:r>
        <w:t xml:space="preserve">“Updating the AI Assessment Scale.”</w:t>
      </w:r>
      <w:r>
        <w:t xml:space="preserve"> </w:t>
      </w:r>
      <w:r>
        <w:t xml:space="preserve">2024.</w:t>
      </w:r>
      <w:r>
        <w:t xml:space="preserve"> </w:t>
      </w:r>
      <w:hyperlink r:id="rId27">
        <w:r>
          <w:rPr>
            <w:rStyle w:val="Hyperlink"/>
          </w:rPr>
          <w:t xml:space="preserve">https://leonfurze.com/2024/08/28/updating-the-ai-assessment-scale/</w:t>
        </w:r>
      </w:hyperlink>
      <w:r>
        <w:t xml:space="preserve">.</w:t>
      </w:r>
    </w:p>
    <w:bookmarkEnd w:id="28"/>
    <w:bookmarkStart w:id="30" w:name="ref-micitt2024"/>
    <w:p>
      <w:pPr>
        <w:pStyle w:val="Bibliography"/>
      </w:pPr>
      <w:r>
        <w:t xml:space="preserve">Ministerio de Ciencia, Innovación, Tecnología y Telecomunicaciones (MICITT). 2024.</w:t>
      </w:r>
      <w:r>
        <w:t xml:space="preserve"> </w:t>
      </w:r>
      <w:r>
        <w:t xml:space="preserve">“National Artificial Intelligence Strategy of Costa Rica 2024–2027.”</w:t>
      </w:r>
      <w:r>
        <w:t xml:space="preserve"> </w:t>
      </w:r>
      <w:hyperlink r:id="rId29">
        <w:r>
          <w:rPr>
            <w:rStyle w:val="Hyperlink"/>
          </w:rPr>
          <w:t xml:space="preserve">https://micitt.go.cr</w:t>
        </w:r>
      </w:hyperlink>
      <w:r>
        <w:t xml:space="preserve">.</w:t>
      </w:r>
    </w:p>
    <w:bookmarkEnd w:id="30"/>
    <w:bookmarkStart w:id="32" w:name="ref-uwc2024"/>
    <w:p>
      <w:pPr>
        <w:pStyle w:val="Bibliography"/>
      </w:pPr>
      <w:r>
        <w:t xml:space="preserve">United World Colleges (UWC). 2024.</w:t>
      </w:r>
      <w:r>
        <w:t xml:space="preserve"> </w:t>
      </w:r>
      <w:r>
        <w:t xml:space="preserve">“Policy on the Use of Artificial Intelligence.”</w:t>
      </w:r>
      <w:r>
        <w:t xml:space="preserve"> </w:t>
      </w:r>
      <w:hyperlink r:id="rId31">
        <w:r>
          <w:rPr>
            <w:rStyle w:val="Hyperlink"/>
          </w:rPr>
          <w:t xml:space="preserve">https://uwc.org</w:t>
        </w:r>
      </w:hyperlink>
      <w:r>
        <w:t xml:space="preserve">.</w:t>
      </w:r>
    </w:p>
    <w:bookmarkEnd w:id="32"/>
    <w:bookmarkStart w:id="34" w:name="ref-uwc2022"/>
    <w:p>
      <w:pPr>
        <w:pStyle w:val="Bibliography"/>
      </w:pPr>
      <w:r>
        <w:t xml:space="preserve">UWC Costa Rica. 2022.</w:t>
      </w:r>
      <w:r>
        <w:t xml:space="preserve"> </w:t>
      </w:r>
      <w:r>
        <w:t xml:space="preserve">“2022–2027 Strategic Plan.”</w:t>
      </w:r>
      <w:r>
        <w:t xml:space="preserve"> </w:t>
      </w:r>
      <w:hyperlink r:id="rId33">
        <w:r>
          <w:rPr>
            <w:rStyle w:val="Hyperlink"/>
          </w:rPr>
          <w:t xml:space="preserve">https://uwccostarica.org</w:t>
        </w:r>
      </w:hyperlink>
      <w:r>
        <w:t xml:space="preserve">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leonfurze.com/2024/08/28/updating-the-ai-assessment-scale/" TargetMode="External" /><Relationship Type="http://schemas.openxmlformats.org/officeDocument/2006/relationships/hyperlink" Id="rId29" Target="https://micitt.go.cr" TargetMode="External" /><Relationship Type="http://schemas.openxmlformats.org/officeDocument/2006/relationships/hyperlink" Id="rId31" Target="https://uwc.org" TargetMode="External" /><Relationship Type="http://schemas.openxmlformats.org/officeDocument/2006/relationships/hyperlink" Id="rId33" Target="https://uwccostaric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eonfurze.com/2024/08/28/updating-the-ai-assessment-scale/" TargetMode="External" /><Relationship Type="http://schemas.openxmlformats.org/officeDocument/2006/relationships/hyperlink" Id="rId29" Target="https://micitt.go.cr" TargetMode="External" /><Relationship Type="http://schemas.openxmlformats.org/officeDocument/2006/relationships/hyperlink" Id="rId31" Target="https://uwc.org" TargetMode="External" /><Relationship Type="http://schemas.openxmlformats.org/officeDocument/2006/relationships/hyperlink" Id="rId33" Target="https://uwccostaric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UWC Costa Rica AI Policy Alignment</dc:title>
  <dc:creator>Erick Loría Soto</dc:creator>
  <cp:keywords/>
  <dcterms:created xsi:type="dcterms:W3CDTF">2025-04-22T17:30:41Z</dcterms:created>
  <dcterms:modified xsi:type="dcterms:W3CDTF">2025-04-22T17:30:41Z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2025-04-22</vt:lpwstr>
  </property>
  <property fmtid="{D5CDD505-2E9C-101B-9397-08002B2CF9AE}" pid="7" name="docx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