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</w:t>
      </w:r>
      <w:proofErr w:type="spellStart"/>
      <w:r>
        <w:t>Stupendo</w:t>
      </w:r>
      <w:proofErr w:type="spellEnd"/>
      <w:r>
        <w:t xml:space="preserve">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remision</w:t>
      </w:r>
      <w:proofErr w:type="spellEnd"/>
      <w:r>
        <w:t xml:space="preserve">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 xml:space="preserve">En el esquema </w:t>
      </w:r>
      <w:proofErr w:type="spellStart"/>
      <w:r>
        <w:t>Onine</w:t>
      </w:r>
      <w:proofErr w:type="spellEnd"/>
      <w:r>
        <w:t>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 xml:space="preserve">Las notas de crédito </w:t>
      </w:r>
      <w:proofErr w:type="gramStart"/>
      <w:r>
        <w:t>tienen :</w:t>
      </w:r>
      <w:proofErr w:type="gramEnd"/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A0474E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4054BFC0" w14:textId="3621C109" w:rsidR="002A4888" w:rsidRPr="00A0474E" w:rsidRDefault="002A4888" w:rsidP="00A0474E">
      <w:pPr>
        <w:pStyle w:val="Prrafodelista"/>
        <w:ind w:left="1440"/>
        <w:jc w:val="both"/>
      </w:pPr>
      <w:r w:rsidRPr="00A0474E">
        <w:rPr>
          <w:b/>
        </w:rPr>
        <w:t>Factor</w:t>
      </w:r>
      <w:r w:rsidRPr="00A0474E">
        <w:t xml:space="preserve">y </w:t>
      </w:r>
      <w:proofErr w:type="spellStart"/>
      <w:r w:rsidRPr="00A0474E">
        <w:t>Method</w:t>
      </w:r>
      <w:proofErr w:type="spellEnd"/>
      <w:r w:rsidRPr="00A0474E">
        <w:t>: Debido a que estamos tratando con objetos (Factura, Guía de remisión, Nota de crédito) que pertenecen a una sola familia “Comprobantes electrónicos”.</w:t>
      </w:r>
    </w:p>
    <w:p w14:paraId="37C1F3FE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34C7A434" w14:textId="4F974C01" w:rsidR="002164F8" w:rsidRPr="00447B4E" w:rsidRDefault="002164F8" w:rsidP="00A0474E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Entre los requerimientos se indica “</w:t>
      </w:r>
      <w:r>
        <w:t xml:space="preserve">Todos estos comprobantes electrónicos (…) deben poder personalizarse con el logo de su negocio y un lema al final” de modo que usaremos el patrón estructural </w:t>
      </w:r>
      <w:r w:rsidRPr="00A0474E">
        <w:rPr>
          <w:b/>
        </w:rPr>
        <w:t>DECORATOR</w:t>
      </w:r>
      <w:r>
        <w:t xml:space="preserve"> que nos permitirá agregar las características antes mencionadas en objetos específicos.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4C201B2" w14:textId="2D035E6E" w:rsidR="00B34F69" w:rsidRDefault="00B34F69" w:rsidP="00A0474E">
      <w:pPr>
        <w:pStyle w:val="Prrafodelista"/>
        <w:ind w:left="1440"/>
        <w:jc w:val="both"/>
        <w:rPr>
          <w:sz w:val="24"/>
        </w:rPr>
      </w:pPr>
      <w:r>
        <w:t>Ya que al momento de pedir la autorización del comprobante al SRI, se puede escoger cualquiera de los dos esquemas de facturación electrónica (offline y onlin</w:t>
      </w:r>
      <w:r w:rsidR="00A0474E">
        <w:t xml:space="preserve">e), ambos esquemas tendrán distintos métodos  o algoritmos es por eso que hacemos uso del patrón de comportamiento </w:t>
      </w:r>
      <w:proofErr w:type="spellStart"/>
      <w:r w:rsidR="00A0474E" w:rsidRPr="00A0474E">
        <w:rPr>
          <w:b/>
        </w:rPr>
        <w:t>Strategy</w:t>
      </w:r>
      <w:proofErr w:type="spellEnd"/>
      <w:r w:rsidR="00A0474E">
        <w:t>, el cual nos permite encapsularlos en una interfaz  haciéndolos intercambiables.</w:t>
      </w:r>
      <w:r w:rsidR="00C413A3">
        <w:t xml:space="preserve"> </w:t>
      </w:r>
      <w:bookmarkStart w:id="0" w:name="_GoBack"/>
      <w:bookmarkEnd w:id="0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90"/>
    <w:rsid w:val="00164590"/>
    <w:rsid w:val="001F6AAF"/>
    <w:rsid w:val="002164F8"/>
    <w:rsid w:val="002A4888"/>
    <w:rsid w:val="0073784D"/>
    <w:rsid w:val="008D0E63"/>
    <w:rsid w:val="00902FB0"/>
    <w:rsid w:val="00A0474E"/>
    <w:rsid w:val="00B34F69"/>
    <w:rsid w:val="00C413A3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casa</cp:lastModifiedBy>
  <cp:revision>7</cp:revision>
  <dcterms:created xsi:type="dcterms:W3CDTF">2018-12-17T18:23:00Z</dcterms:created>
  <dcterms:modified xsi:type="dcterms:W3CDTF">2018-12-17T23:56:00Z</dcterms:modified>
</cp:coreProperties>
</file>