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Layout w:type="fixed"/>
        <w:tblLook w:val="0000"/>
      </w:tblPr>
      <w:tblGrid>
        <w:gridCol w:w="2760"/>
        <w:gridCol w:w="4552"/>
        <w:gridCol w:w="2480"/>
        <w:tblGridChange w:id="0">
          <w:tblGrid>
            <w:gridCol w:w="2760"/>
            <w:gridCol w:w="4552"/>
            <w:gridCol w:w="2480"/>
          </w:tblGrid>
        </w:tblGridChange>
      </w:tblGrid>
      <w:tr>
        <w:trPr>
          <w:cantSplit w:val="0"/>
          <w:trHeight w:val="115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LOGO DE LA FIRMA O ENTIDAD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5867400</wp:posOffset>
                      </wp:positionH>
                      <wp:positionV relativeFrom="paragraph">
                        <wp:posOffset>0</wp:posOffset>
                      </wp:positionV>
                      <wp:extent cx="956945" cy="48577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81815" y="3551400"/>
                                <a:ext cx="928370" cy="4572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5867400</wp:posOffset>
                      </wp:positionH>
                      <wp:positionV relativeFrom="paragraph">
                        <wp:posOffset>0</wp:posOffset>
                      </wp:positionV>
                      <wp:extent cx="956945" cy="485775"/>
                      <wp:effectExtent b="0" l="0" r="0" t="0"/>
                      <wp:wrapNone/>
                      <wp:docPr id="1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6945" cy="485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0</wp:posOffset>
                      </wp:positionV>
                      <wp:extent cx="956945" cy="48577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81815" y="3551400"/>
                                <a:ext cx="928370" cy="4572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0</wp:posOffset>
                      </wp:positionV>
                      <wp:extent cx="956945" cy="485775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6945" cy="485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HH/__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37.999999999999986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80"/>
        <w:tblGridChange w:id="0">
          <w:tblGrid>
            <w:gridCol w:w="89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Alguna institución pública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Bookman Old Style" w:cs="Bookman Old Style" w:eastAsia="Bookman Old Style" w:hAnsi="Bookman Old Style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i w:val="1"/>
                <w:sz w:val="14"/>
                <w:szCs w:val="14"/>
                <w:rtl w:val="0"/>
              </w:rPr>
              <w:t xml:space="preserve">NOMBRE DE LA ENTIDAD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Departamento de TIC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ÁREA O UNIDAD EXAMINADA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2"/>
                <w:szCs w:val="22"/>
                <w:rtl w:val="0"/>
              </w:rPr>
              <w:t xml:space="preserve"> 30 Días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Bookman Old Style" w:cs="Bookman Old Style" w:eastAsia="Bookman Old Style" w:hAnsi="Bookman Old Style"/>
                <w:sz w:val="22"/>
                <w:szCs w:val="22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PERÍODO DE OPERACIONES EXAMINADO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Caveat" w:cs="Caveat" w:eastAsia="Caveat" w:hAnsi="Cave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HOJA DE HALLAZGOS DE AUDITORÍA</w:t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843"/>
        <w:gridCol w:w="9025"/>
        <w:tblGridChange w:id="0">
          <w:tblGrid>
            <w:gridCol w:w="843"/>
            <w:gridCol w:w="90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REF.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P/T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No se cuentan con planes de pruebas para realizar respaldos.  </w:t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No se contemplan planes de pruebas para los respaldos de la información del IDA.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CONDICIÓN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La Normativa “Administración de los datos” presente en el documento “Normas Técnicas para la Gestión y el Control de las Tecnologías de Información (N-2-2007-CO-DFOE)” de la Contraloría General de la República.</w:t>
            </w:r>
          </w:p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Bookman Old Style" w:cs="Bookman Old Style" w:eastAsia="Bookman Old Style" w:hAnsi="Bookman Old Styl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No se cumplió con la Normativa de Administración de los datos. 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Esto puede conllevar a una pérdida de datos al no contar con respaldo. </w:t>
            </w:r>
          </w:p>
          <w:p w:rsidR="00000000" w:rsidDel="00000000" w:rsidP="00000000" w:rsidRDefault="00000000" w:rsidRPr="00000000" w14:paraId="00000026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Reiteración de las pruebas, ya que no se cuenta con la documentación de estas. </w:t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Bookman Old Style" w:cs="Bookman Old Style" w:eastAsia="Bookman Old Style" w:hAnsi="Bookman Old Styl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Definición del procedimiento para ejecutar las pruebas a los respaldos.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Bookman Old Style" w:cs="Bookman Old Style" w:eastAsia="Bookman Old Style" w:hAnsi="Bookman Old Styl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Política formal que especifique la periodicidad para realizar las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Bookman Old Style" w:cs="Bookman Old Style" w:eastAsia="Bookman Old Style" w:hAnsi="Bookman Old Styl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Definición de políticas y procedimientos relacionados con la vida útil de los medios utilizados para almacenar los respaldos.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RECOMENDACIÓN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rHeight w:val="157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REACCIÓN DE LA ADMINISTRACIÓN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2" w:w="12242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Bookman Old Style"/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68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II Semestre, 202</w:t>
    </w:r>
    <w:r w:rsidDel="00000000" w:rsidR="00000000" w:rsidRPr="00000000">
      <w:rPr>
        <w:b w:val="1"/>
        <w:sz w:val="20"/>
        <w:szCs w:val="20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5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07670" cy="488950"/>
          <wp:effectExtent b="0" l="0" r="0" t="0"/>
          <wp:docPr descr="escudoucr" id="12" name="image1.jpg"/>
          <a:graphic>
            <a:graphicData uri="http://schemas.openxmlformats.org/drawingml/2006/picture">
              <pic:pic>
                <pic:nvPicPr>
                  <pic:cNvPr descr="escudouc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7670" cy="488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5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DE COSTA RICA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5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Sede Guanacaste</w:t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5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Bachillerato en Informática Empresarial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68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Auditoría Informática IF-8200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17CC"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 w:val="1"/>
    <w:rsid w:val="009917CC"/>
    <w:pPr>
      <w:keepNext w:val="1"/>
      <w:jc w:val="center"/>
      <w:outlineLvl w:val="0"/>
    </w:pPr>
    <w:rPr>
      <w:b w:val="1"/>
      <w:bCs w:val="1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4F11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F11A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5D3B8D"/>
    <w:rPr>
      <w:sz w:val="24"/>
      <w:szCs w:val="24"/>
      <w:lang w:eastAsia="es-ES" w:val="es-ES"/>
    </w:rPr>
  </w:style>
  <w:style w:type="paragraph" w:styleId="Normal1" w:customStyle="1">
    <w:name w:val="Normal1"/>
    <w:basedOn w:val="Normal"/>
    <w:rsid w:val="005D3B8D"/>
    <w:pPr>
      <w:spacing w:line="360" w:lineRule="auto"/>
      <w:jc w:val="both"/>
    </w:pPr>
    <w:rPr>
      <w:rFonts w:ascii="Arial" w:hAnsi="Arial"/>
      <w:szCs w:val="20"/>
      <w:lang w:val="es-ES_tradnl"/>
    </w:rPr>
  </w:style>
  <w:style w:type="paragraph" w:styleId="Textodeglobo">
    <w:name w:val="Balloon Text"/>
    <w:basedOn w:val="Normal"/>
    <w:link w:val="TextodegloboCar"/>
    <w:rsid w:val="006D08CC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D08CC"/>
    <w:rPr>
      <w:rFonts w:ascii="Tahoma" w:cs="Tahoma" w:hAnsi="Tahoma"/>
      <w:sz w:val="16"/>
      <w:szCs w:val="16"/>
      <w:lang w:val="es-ES"/>
    </w:rPr>
  </w:style>
  <w:style w:type="table" w:styleId="Tablaconcuadrcula">
    <w:name w:val="Table Grid"/>
    <w:basedOn w:val="Tablanormal"/>
    <w:rsid w:val="00C2261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Relationship Id="rId7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ArNSeKMJ4jFCMJ7Cue+KakAQg==">AMUW2mXHKRwB6KaoRyagULMUENtZkXJC+XS9dXtdus321noS7cwKKyGSEOPYhD0kjKsHYmrR5S2CTkFkwo6cQZfMDzhvr9qDs/y9JMCBXmQEpKPvY8NfC/A=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2015-03-28T19:09:00Z</dcterms:created>
  <dc:creator>Rafael Antonio Palomo Asch</dc:creator>
</cp:coreProperties>
</file>