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0543C" w:val="clear"/>
        <w:spacing w:after="0" w:before="0"/>
        <w:ind w:left="0" w:right="0"/>
        <w:jc w:val="center"/>
      </w:pPr>
      <w:r>
        <w:rPr>
          <w:rFonts w:ascii="Arial" w:cs="Arial" w:eastAsia="Arial" w:hAnsi="Arial"/>
          <w:b/>
          <w:bCs/>
          <w:color w:val="FDBB30"/>
          <w:spacing w:val="120"/>
          <w:sz w:val="18"/>
          <w:szCs w:val="18"/>
        </w:rPr>
        <w:t xml:space="preserve">COURSE DESIGN DOCUMENT</w:t>
      </w:r>
    </w:p>
    <w:p>
      <w:pPr>
        <w:shd w:fill="00543C" w:val="clear"/>
        <w:spacing w:after="0" w:before="0"/>
        <w:jc w:val="center"/>
      </w:pPr>
      <w:r>
        <w:rPr>
          <w:rFonts w:ascii="Arial" w:cs="Arial" w:eastAsia="Arial" w:hAnsi="Arial"/>
          <w:b/>
          <w:bCs/>
          <w:color w:val="FFFFFF"/>
          <w:sz w:val="40"/>
          <w:szCs w:val="40"/>
        </w:rPr>
        <w:t xml:space="preserve">Data Storytelling for Business</w:t>
      </w:r>
    </w:p>
    <w:p>
      <w:pPr>
        <w:pBdr>
          <w:bottom w:val="single" w:color="FDBB30" w:sz="8"/>
        </w:pBdr>
        <w:shd w:fill="00543C" w:val="clear"/>
        <w:spacing w:after="80" w:before="0"/>
        <w:jc w:val="center"/>
      </w:pPr>
      <w:r>
        <w:rPr>
          <w:rFonts w:ascii="Arial" w:cs="Arial" w:eastAsia="Arial" w:hAnsi="Arial"/>
          <w:i/>
          <w:iCs/>
          <w:color w:val="AACFBE"/>
          <w:sz w:val="20"/>
          <w:szCs w:val="20"/>
        </w:rPr>
        <w:t xml:space="preserve">BUS 3410  ·  7-Week Accelerated  ·  3 Credits  ·  Undergraduate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00543C" w:val="clear"/>
            <w:tcMar>
              <w:top w:type="dxa" w:w="80"/>
              <w:left w:type="dxa" w:w="120"/>
              <w:bottom w:type="dxa" w:w="80"/>
              <w:right w:type="dxa" w:w="120"/>
            </w:tcMar>
          </w:tcPr>
          <w:p>
            <w:r>
              <w:rPr>
                <w:rFonts w:ascii="Arial" w:cs="Arial" w:eastAsia="Arial" w:hAnsi="Arial"/>
                <w:b/>
                <w:bCs/>
                <w:color w:val="FFFFFF"/>
                <w:sz w:val="18"/>
                <w:szCs w:val="18"/>
              </w:rPr>
              <w:t xml:space="preserve">Instructor</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Eric Lacy</w:t>
            </w:r>
          </w:p>
        </w:tc>
      </w:tr>
      <w:tr>
        <w:tc>
          <w:tcPr>
            <w:tcBorders>
              <w:top w:val="single" w:color="DDDDDD" w:sz="1"/>
              <w:left w:val="single" w:color="DDDDDD" w:sz="1"/>
              <w:bottom w:val="single" w:color="DDDDDD" w:sz="1"/>
              <w:right w:val="single" w:color="DDDDDD" w:sz="1"/>
            </w:tcBorders>
            <w:shd w:fill="00543C"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Term Professor</w:t>
            </w:r>
          </w:p>
        </w:tc>
      </w:tr>
      <w:tr>
        <w:tc>
          <w:tcPr>
            <w:tcBorders>
              <w:top w:val="single" w:color="DDDDDD" w:sz="1"/>
              <w:left w:val="single" w:color="DDDDDD" w:sz="1"/>
              <w:bottom w:val="single" w:color="DDDDDD" w:sz="1"/>
              <w:right w:val="single" w:color="DDDDDD" w:sz="1"/>
            </w:tcBorders>
            <w:shd w:fill="00543C" w:val="clear"/>
            <w:tcMar>
              <w:top w:type="dxa" w:w="80"/>
              <w:left w:type="dxa" w:w="120"/>
              <w:bottom w:type="dxa" w:w="80"/>
              <w:right w:type="dxa" w:w="120"/>
            </w:tcMar>
          </w:tcPr>
          <w:p>
            <w:r>
              <w:rPr>
                <w:rFonts w:ascii="Arial" w:cs="Arial" w:eastAsia="Arial" w:hAnsi="Arial"/>
                <w:b/>
                <w:bCs/>
                <w:color w:val="FFFFFF"/>
                <w:sz w:val="18"/>
                <w:szCs w:val="18"/>
              </w:rPr>
              <w:t xml:space="preserve">Department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School of Management, Business Analytics &amp; Information Systems</w:t>
            </w:r>
          </w:p>
        </w:tc>
      </w:tr>
      <w:tr>
        <w:tc>
          <w:tcPr>
            <w:tcBorders>
              <w:top w:val="single" w:color="DDDDDD" w:sz="1"/>
              <w:left w:val="single" w:color="DDDDDD" w:sz="1"/>
              <w:bottom w:val="single" w:color="DDDDDD" w:sz="1"/>
              <w:right w:val="single" w:color="DDDDDD" w:sz="1"/>
            </w:tcBorders>
            <w:shd w:fill="00543C" w:val="clear"/>
            <w:tcMar>
              <w:top w:type="dxa" w:w="80"/>
              <w:left w:type="dxa" w:w="120"/>
              <w:bottom w:type="dxa" w:w="80"/>
              <w:right w:type="dxa" w:w="120"/>
            </w:tcMar>
          </w:tcPr>
          <w:p>
            <w:r>
              <w:rPr>
                <w:rFonts w:ascii="Arial" w:cs="Arial" w:eastAsia="Arial" w:hAnsi="Arial"/>
                <w:b/>
                <w:bCs/>
                <w:color w:val="FFFFFF"/>
                <w:sz w:val="18"/>
                <w:szCs w:val="18"/>
              </w:rPr>
              <w:t xml:space="preserve">Delivery</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Online / Asynchronous</w:t>
            </w:r>
          </w:p>
        </w:tc>
      </w:tr>
      <w:tr>
        <w:tc>
          <w:tcPr>
            <w:tcBorders>
              <w:top w:val="single" w:color="DDDDDD" w:sz="1"/>
              <w:left w:val="single" w:color="DDDDDD" w:sz="1"/>
              <w:bottom w:val="single" w:color="DDDDDD" w:sz="1"/>
              <w:right w:val="single" w:color="DDDDDD" w:sz="1"/>
            </w:tcBorders>
            <w:shd w:fill="00543C" w:val="clear"/>
            <w:tcMar>
              <w:top w:type="dxa" w:w="80"/>
              <w:left w:type="dxa" w:w="120"/>
              <w:bottom w:type="dxa" w:w="80"/>
              <w:right w:type="dxa" w:w="120"/>
            </w:tcMar>
          </w:tcPr>
          <w:p>
            <w:r>
              <w:rPr>
                <w:rFonts w:ascii="Arial" w:cs="Arial" w:eastAsia="Arial" w:hAnsi="Arial"/>
                <w:b/>
                <w:bCs/>
                <w:color w:val="FFFFFF"/>
                <w:sz w:val="18"/>
                <w:szCs w:val="18"/>
              </w:rPr>
              <w:t xml:space="preserve">Duration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7 Weeks  ·  3 Modules</w:t>
            </w:r>
          </w:p>
        </w:tc>
      </w:tr>
      <w:tr>
        <w:tc>
          <w:tcPr>
            <w:tcBorders>
              <w:top w:val="single" w:color="DDDDDD" w:sz="1"/>
              <w:left w:val="single" w:color="DDDDDD" w:sz="1"/>
              <w:bottom w:val="single" w:color="DDDDDD" w:sz="1"/>
              <w:right w:val="single" w:color="DDDDDD" w:sz="1"/>
            </w:tcBorders>
            <w:shd w:fill="00543C" w:val="clear"/>
            <w:tcMar>
              <w:top w:type="dxa" w:w="80"/>
              <w:left w:type="dxa" w:w="120"/>
              <w:bottom w:type="dxa" w:w="80"/>
              <w:right w:type="dxa" w:w="120"/>
            </w:tcMar>
          </w:tcPr>
          <w:p>
            <w:r>
              <w:rPr>
                <w:rFonts w:ascii="Arial" w:cs="Arial" w:eastAsia="Arial" w:hAnsi="Arial"/>
                <w:b/>
                <w:bCs/>
                <w:color w:val="FFFFFF"/>
                <w:sz w:val="18"/>
                <w:szCs w:val="18"/>
              </w:rPr>
              <w:t xml:space="preserve">Total Points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500 points</w:t>
            </w:r>
          </w:p>
        </w:tc>
      </w:tr>
      <w:tr>
        <w:tc>
          <w:tcPr>
            <w:tcBorders>
              <w:top w:val="single" w:color="DDDDDD" w:sz="1"/>
              <w:left w:val="single" w:color="DDDDDD" w:sz="1"/>
              <w:bottom w:val="single" w:color="DDDDDD" w:sz="1"/>
              <w:right w:val="single" w:color="DDDDDD" w:sz="1"/>
            </w:tcBorders>
            <w:shd w:fill="00543C" w:val="clear"/>
            <w:tcMar>
              <w:top w:type="dxa" w:w="80"/>
              <w:left w:type="dxa" w:w="120"/>
              <w:bottom w:type="dxa" w:w="80"/>
              <w:right w:type="dxa" w:w="120"/>
            </w:tcMar>
          </w:tcPr>
          <w:p>
            <w:r>
              <w:rPr>
                <w:rFonts w:ascii="Arial" w:cs="Arial" w:eastAsia="Arial" w:hAnsi="Arial"/>
                <w:b/>
                <w:bCs/>
                <w:color w:val="FFFFFF"/>
                <w:sz w:val="18"/>
                <w:szCs w:val="18"/>
              </w:rPr>
              <w:t xml:space="preserve">Designed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April 7, 2026</w:t>
            </w:r>
          </w:p>
        </w:tc>
      </w:tr>
    </w:tbl>
    <w:p>
      <w:pPr>
        <w:spacing w:after="200"/>
      </w:pPr>
      <w:r>
        <w:t xml:space="preserve"/>
      </w:r>
    </w:p>
    <w:p>
      <w:pPr>
        <w:pBdr>
          <w:bottom w:val="single" w:color="FDBB30" w:sz="8"/>
        </w:pBdr>
        <w:shd w:fill="00543C" w:val="clear"/>
        <w:spacing w:after="0" w:before="400"/>
        <w:ind w:left="160" w:right="160"/>
      </w:pPr>
      <w:r>
        <w:rPr>
          <w:rFonts w:ascii="Arial" w:cs="Arial" w:eastAsia="Arial" w:hAnsi="Arial"/>
          <w:b/>
          <w:bCs/>
          <w:color w:val="FDBB30"/>
          <w:sz w:val="20"/>
          <w:szCs w:val="20"/>
        </w:rPr>
        <w:t xml:space="preserve">STAGE 1  </w:t>
      </w:r>
      <w:r>
        <w:rPr>
          <w:rFonts w:ascii="Arial" w:cs="Arial" w:eastAsia="Arial" w:hAnsi="Arial"/>
          <w:b/>
          <w:bCs/>
          <w:color w:val="FFFFFF"/>
          <w:sz w:val="20"/>
          <w:szCs w:val="20"/>
        </w:rPr>
        <w:t xml:space="preserve">DESIRED RESULTS — WHAT STUDENTS WILL KNOW AND DO</w:t>
      </w:r>
    </w:p>
    <w:p>
      <w:pPr>
        <w:spacing w:after="80"/>
      </w:pPr>
      <w:r>
        <w:t xml:space="preserve"/>
      </w:r>
    </w:p>
    <w:p>
      <w:pPr>
        <w:pBdr>
          <w:left w:val="single" w:color="FDBB30" w:sz="8"/>
        </w:pBdr>
        <w:spacing w:after="80" w:before="200"/>
        <w:ind w:left="120"/>
      </w:pPr>
      <w:r>
        <w:rPr>
          <w:rFonts w:ascii="Arial" w:cs="Arial" w:eastAsia="Arial" w:hAnsi="Arial"/>
          <w:b/>
          <w:bCs/>
          <w:color w:val="00543C"/>
          <w:sz w:val="20"/>
          <w:szCs w:val="20"/>
        </w:rPr>
        <w:t xml:space="preserve">Course Description</w:t>
      </w:r>
    </w:p>
    <w:p>
      <w:pPr>
        <w:spacing w:after="80"/>
      </w:pPr>
      <w:r>
        <w:rPr>
          <w:rFonts w:ascii="Arial" w:cs="Arial" w:eastAsia="Arial" w:hAnsi="Arial"/>
          <w:color w:val="555555"/>
          <w:sz w:val="20"/>
          <w:szCs w:val="20"/>
        </w:rPr>
        <w:t xml:space="preserve">Students learn to transform raw data into compelling business arguments — from selecting the right chart to building an executive presentation. The course uses a progressive three-module arc: See It, Say It, Show It. Each module produces a professional deliverable.</w:t>
      </w:r>
    </w:p>
    <w:p>
      <w:pPr>
        <w:spacing w:after="60"/>
      </w:pPr>
      <w:r>
        <w:t xml:space="preserve"/>
      </w:r>
    </w:p>
    <w:p>
      <w:pPr>
        <w:pBdr>
          <w:left w:val="single" w:color="FDBB30" w:sz="8"/>
        </w:pBdr>
        <w:spacing w:after="80" w:before="200"/>
        <w:ind w:left="120"/>
      </w:pPr>
      <w:r>
        <w:rPr>
          <w:rFonts w:ascii="Arial" w:cs="Arial" w:eastAsia="Arial" w:hAnsi="Arial"/>
          <w:b/>
          <w:bCs/>
          <w:color w:val="00543C"/>
          <w:sz w:val="20"/>
          <w:szCs w:val="20"/>
        </w:rPr>
        <w:t xml:space="preserve">Course-Level Learning Outcomes</w:t>
      </w:r>
    </w:p>
    <w:p>
      <w:pPr>
        <w:spacing w:after="80"/>
      </w:pPr>
      <w:r>
        <w:rPr>
          <w:rFonts w:ascii="Arial" w:cs="Arial" w:eastAsia="Arial" w:hAnsi="Arial"/>
          <w:color w:val="555555"/>
          <w:sz w:val="20"/>
          <w:szCs w:val="20"/>
        </w:rPr>
        <w:t xml:space="preserve">By the end of this course, students will be able to:</w:t>
      </w:r>
    </w:p>
    <w:p>
      <w:pPr>
        <w:pStyle w:val="ListParagraph"/>
        <w:numPr>
          <w:ilvl w:val="0"/>
          <w:numId w:val="2"/>
        </w:numPr>
        <w:spacing w:after="60"/>
      </w:pPr>
      <w:r>
        <w:rPr>
          <w:rFonts w:ascii="Arial" w:cs="Arial" w:eastAsia="Arial" w:hAnsi="Arial"/>
          <w:b/>
          <w:bCs/>
          <w:color w:val="1A1A1A"/>
          <w:sz w:val="19"/>
          <w:szCs w:val="19"/>
        </w:rPr>
        <w:t xml:space="preserve">1. </w:t>
      </w:r>
      <w:r>
        <w:rPr>
          <w:rFonts w:ascii="Arial" w:cs="Arial" w:eastAsia="Arial" w:hAnsi="Arial"/>
          <w:color w:val="555555"/>
          <w:sz w:val="19"/>
          <w:szCs w:val="19"/>
        </w:rPr>
        <w:t xml:space="preserve"> Select the appropriate chart type for a given data set and business question</w:t>
      </w:r>
    </w:p>
    <w:p>
      <w:pPr>
        <w:pStyle w:val="ListParagraph"/>
        <w:numPr>
          <w:ilvl w:val="0"/>
          <w:numId w:val="2"/>
        </w:numPr>
        <w:spacing w:after="60"/>
      </w:pPr>
      <w:r>
        <w:rPr>
          <w:rFonts w:ascii="Arial" w:cs="Arial" w:eastAsia="Arial" w:hAnsi="Arial"/>
          <w:b/>
          <w:bCs/>
          <w:color w:val="1A1A1A"/>
          <w:sz w:val="19"/>
          <w:szCs w:val="19"/>
        </w:rPr>
        <w:t xml:space="preserve">2. </w:t>
      </w:r>
      <w:r>
        <w:rPr>
          <w:rFonts w:ascii="Arial" w:cs="Arial" w:eastAsia="Arial" w:hAnsi="Arial"/>
          <w:color w:val="555555"/>
          <w:sz w:val="19"/>
          <w:szCs w:val="19"/>
        </w:rPr>
        <w:t xml:space="preserve"> Construct a data narrative that drives a clear, audience-specific recommendation</w:t>
      </w:r>
    </w:p>
    <w:p>
      <w:pPr>
        <w:pStyle w:val="ListParagraph"/>
        <w:numPr>
          <w:ilvl w:val="0"/>
          <w:numId w:val="2"/>
        </w:numPr>
        <w:spacing w:after="60"/>
      </w:pPr>
      <w:r>
        <w:rPr>
          <w:rFonts w:ascii="Arial" w:cs="Arial" w:eastAsia="Arial" w:hAnsi="Arial"/>
          <w:b/>
          <w:bCs/>
          <w:color w:val="1A1A1A"/>
          <w:sz w:val="19"/>
          <w:szCs w:val="19"/>
        </w:rPr>
        <w:t xml:space="preserve">3. </w:t>
      </w:r>
      <w:r>
        <w:rPr>
          <w:rFonts w:ascii="Arial" w:cs="Arial" w:eastAsia="Arial" w:hAnsi="Arial"/>
          <w:color w:val="555555"/>
          <w:sz w:val="19"/>
          <w:szCs w:val="19"/>
        </w:rPr>
        <w:t xml:space="preserve"> Design accessible, WCAG-compliant data visualizations using industry tools</w:t>
      </w:r>
    </w:p>
    <w:p>
      <w:pPr>
        <w:pStyle w:val="ListParagraph"/>
        <w:numPr>
          <w:ilvl w:val="0"/>
          <w:numId w:val="2"/>
        </w:numPr>
        <w:spacing w:after="60"/>
      </w:pPr>
      <w:r>
        <w:rPr>
          <w:rFonts w:ascii="Arial" w:cs="Arial" w:eastAsia="Arial" w:hAnsi="Arial"/>
          <w:b/>
          <w:bCs/>
          <w:color w:val="1A1A1A"/>
          <w:sz w:val="19"/>
          <w:szCs w:val="19"/>
        </w:rPr>
        <w:t xml:space="preserve">4. </w:t>
      </w:r>
      <w:r>
        <w:rPr>
          <w:rFonts w:ascii="Arial" w:cs="Arial" w:eastAsia="Arial" w:hAnsi="Arial"/>
          <w:color w:val="555555"/>
          <w:sz w:val="19"/>
          <w:szCs w:val="19"/>
        </w:rPr>
        <w:t xml:space="preserve"> Evaluate data stories for accuracy, bias, and persuasive integrity</w:t>
      </w:r>
    </w:p>
    <w:p>
      <w:pPr>
        <w:pStyle w:val="ListParagraph"/>
        <w:numPr>
          <w:ilvl w:val="0"/>
          <w:numId w:val="2"/>
        </w:numPr>
        <w:spacing w:after="60"/>
      </w:pPr>
      <w:r>
        <w:rPr>
          <w:rFonts w:ascii="Arial" w:cs="Arial" w:eastAsia="Arial" w:hAnsi="Arial"/>
          <w:b/>
          <w:bCs/>
          <w:color w:val="1A1A1A"/>
          <w:sz w:val="19"/>
          <w:szCs w:val="19"/>
        </w:rPr>
        <w:t xml:space="preserve">5. </w:t>
      </w:r>
      <w:r>
        <w:rPr>
          <w:rFonts w:ascii="Arial" w:cs="Arial" w:eastAsia="Arial" w:hAnsi="Arial"/>
          <w:color w:val="555555"/>
          <w:sz w:val="19"/>
          <w:szCs w:val="19"/>
        </w:rPr>
        <w:t xml:space="preserve"> Present data findings to a non-technical executive audience with confidence</w:t>
      </w:r>
    </w:p>
    <w:p>
      <w:pPr>
        <w:spacing w:after="80"/>
      </w:pPr>
      <w:r>
        <w:t xml:space="preserve"/>
      </w:r>
    </w:p>
    <w:p>
      <w:pPr>
        <w:pBdr>
          <w:left w:val="single" w:color="FDBB30" w:sz="8"/>
        </w:pBdr>
        <w:spacing w:after="80" w:before="200"/>
        <w:ind w:left="120"/>
      </w:pPr>
      <w:r>
        <w:rPr>
          <w:rFonts w:ascii="Arial" w:cs="Arial" w:eastAsia="Arial" w:hAnsi="Arial"/>
          <w:b/>
          <w:bCs/>
          <w:color w:val="00543C"/>
          <w:sz w:val="20"/>
          <w:szCs w:val="20"/>
        </w:rPr>
        <w:t xml:space="preserve">Transferable Skills</w:t>
      </w:r>
    </w:p>
    <w:p>
      <w:pPr>
        <w:pStyle w:val="ListParagraph"/>
        <w:numPr>
          <w:ilvl w:val="0"/>
          <w:numId w:val="2"/>
        </w:numPr>
        <w:spacing w:after="60"/>
      </w:pPr>
      <w:r>
        <w:rPr>
          <w:rFonts w:ascii="Arial" w:cs="Arial" w:eastAsia="Arial" w:hAnsi="Arial"/>
          <w:color w:val="555555"/>
          <w:sz w:val="19"/>
          <w:szCs w:val="19"/>
        </w:rPr>
        <w:t xml:space="preserve"> Data-driven argumentation for business decision-making</w:t>
      </w:r>
    </w:p>
    <w:p>
      <w:pPr>
        <w:pStyle w:val="ListParagraph"/>
        <w:numPr>
          <w:ilvl w:val="0"/>
          <w:numId w:val="2"/>
        </w:numPr>
        <w:spacing w:after="60"/>
      </w:pPr>
      <w:r>
        <w:rPr>
          <w:rFonts w:ascii="Arial" w:cs="Arial" w:eastAsia="Arial" w:hAnsi="Arial"/>
          <w:color w:val="555555"/>
          <w:sz w:val="19"/>
          <w:szCs w:val="19"/>
        </w:rPr>
        <w:t xml:space="preserve"> Audience analysis and communication strategy</w:t>
      </w:r>
    </w:p>
    <w:p>
      <w:pPr>
        <w:pStyle w:val="ListParagraph"/>
        <w:numPr>
          <w:ilvl w:val="0"/>
          <w:numId w:val="2"/>
        </w:numPr>
        <w:spacing w:after="60"/>
      </w:pPr>
      <w:r>
        <w:rPr>
          <w:rFonts w:ascii="Arial" w:cs="Arial" w:eastAsia="Arial" w:hAnsi="Arial"/>
          <w:color w:val="555555"/>
          <w:sz w:val="19"/>
          <w:szCs w:val="19"/>
        </w:rPr>
        <w:t xml:space="preserve"> Visual design principles for professional contexts</w:t>
      </w:r>
    </w:p>
    <w:p>
      <w:pPr>
        <w:pStyle w:val="ListParagraph"/>
        <w:numPr>
          <w:ilvl w:val="0"/>
          <w:numId w:val="2"/>
        </w:numPr>
        <w:spacing w:after="60"/>
      </w:pPr>
      <w:r>
        <w:rPr>
          <w:rFonts w:ascii="Arial" w:cs="Arial" w:eastAsia="Arial" w:hAnsi="Arial"/>
          <w:color w:val="555555"/>
          <w:sz w:val="19"/>
          <w:szCs w:val="19"/>
        </w:rPr>
        <w:t xml:space="preserve"> Executive presentation and real-time Q&amp;A handling</w:t>
      </w:r>
    </w:p>
    <w:p>
      <w:pPr>
        <w:spacing w:after="60"/>
      </w:pPr>
      <w:r>
        <w:t xml:space="preserve"/>
      </w:r>
    </w:p>
    <w:p>
      <w:pPr>
        <w:pBdr>
          <w:left w:val="single" w:color="FDBB30" w:sz="8"/>
        </w:pBdr>
        <w:spacing w:after="80" w:before="200"/>
        <w:ind w:left="120"/>
      </w:pPr>
      <w:r>
        <w:rPr>
          <w:rFonts w:ascii="Arial" w:cs="Arial" w:eastAsia="Arial" w:hAnsi="Arial"/>
          <w:b/>
          <w:bCs/>
          <w:color w:val="00543C"/>
          <w:sz w:val="20"/>
          <w:szCs w:val="20"/>
        </w:rPr>
        <w:t xml:space="preserve">Prerequisites and Assumed Knowledge</w:t>
      </w:r>
    </w:p>
    <w:p>
      <w:pPr>
        <w:pStyle w:val="ListParagraph"/>
        <w:numPr>
          <w:ilvl w:val="0"/>
          <w:numId w:val="2"/>
        </w:numPr>
        <w:spacing w:after="60"/>
      </w:pPr>
      <w:r>
        <w:rPr>
          <w:rFonts w:ascii="Arial" w:cs="Arial" w:eastAsia="Arial" w:hAnsi="Arial"/>
          <w:color w:val="555555"/>
          <w:sz w:val="19"/>
          <w:szCs w:val="19"/>
        </w:rPr>
        <w:t xml:space="preserve"> Basic spreadsheet proficiency (Excel or Google Sheets)</w:t>
      </w:r>
    </w:p>
    <w:p>
      <w:pPr>
        <w:pStyle w:val="ListParagraph"/>
        <w:numPr>
          <w:ilvl w:val="0"/>
          <w:numId w:val="2"/>
        </w:numPr>
        <w:spacing w:after="60"/>
      </w:pPr>
      <w:r>
        <w:rPr>
          <w:rFonts w:ascii="Arial" w:cs="Arial" w:eastAsia="Arial" w:hAnsi="Arial"/>
          <w:color w:val="555555"/>
          <w:sz w:val="19"/>
          <w:szCs w:val="19"/>
        </w:rPr>
        <w:t xml:space="preserve"> Introductory statistics (descriptive stats, distributions)</w:t>
      </w:r>
    </w:p>
    <w:p>
      <w:pPr>
        <w:pStyle w:val="ListParagraph"/>
        <w:numPr>
          <w:ilvl w:val="0"/>
          <w:numId w:val="2"/>
        </w:numPr>
        <w:spacing w:after="60"/>
      </w:pPr>
      <w:r>
        <w:rPr>
          <w:rFonts w:ascii="Arial" w:cs="Arial" w:eastAsia="Arial" w:hAnsi="Arial"/>
          <w:color w:val="555555"/>
          <w:sz w:val="19"/>
          <w:szCs w:val="19"/>
        </w:rPr>
        <w:t xml:space="preserve"> No prior experience with Tableau or visualization tools required</w:t>
      </w:r>
    </w:p>
    <w:p>
      <w:pPr>
        <w:spacing w:after="120"/>
      </w:pPr>
      <w:r>
        <w:t xml:space="preserve"/>
      </w:r>
    </w:p>
    <w:p>
      <w:pPr>
        <w:pBdr>
          <w:bottom w:val="single" w:color="FDBB30" w:sz="8"/>
        </w:pBdr>
        <w:shd w:fill="00543C" w:val="clear"/>
        <w:spacing w:after="0" w:before="400"/>
        <w:ind w:left="160" w:right="160"/>
      </w:pPr>
      <w:r>
        <w:rPr>
          <w:rFonts w:ascii="Arial" w:cs="Arial" w:eastAsia="Arial" w:hAnsi="Arial"/>
          <w:b/>
          <w:bCs/>
          <w:color w:val="FDBB30"/>
          <w:sz w:val="20"/>
          <w:szCs w:val="20"/>
        </w:rPr>
        <w:t xml:space="preserve">STAGE 2  </w:t>
      </w:r>
      <w:r>
        <w:rPr>
          <w:rFonts w:ascii="Arial" w:cs="Arial" w:eastAsia="Arial" w:hAnsi="Arial"/>
          <w:b/>
          <w:bCs/>
          <w:color w:val="FFFFFF"/>
          <w:sz w:val="20"/>
          <w:szCs w:val="20"/>
        </w:rPr>
        <w:t xml:space="preserve">ACCEPTABLE EVIDENCE — HOW LEARNING IS ASSESSED</w:t>
      </w:r>
    </w:p>
    <w:p>
      <w:pPr>
        <w:spacing w:after="80"/>
      </w:pPr>
      <w:r>
        <w:t xml:space="preserve"/>
      </w:r>
    </w:p>
    <w:p>
      <w:pPr>
        <w:pBdr>
          <w:left w:val="single" w:color="FDBB30" w:sz="8"/>
        </w:pBdr>
        <w:spacing w:after="80" w:before="200"/>
        <w:ind w:left="120"/>
      </w:pPr>
      <w:r>
        <w:rPr>
          <w:rFonts w:ascii="Arial" w:cs="Arial" w:eastAsia="Arial" w:hAnsi="Arial"/>
          <w:b/>
          <w:bCs/>
          <w:color w:val="00543C"/>
          <w:sz w:val="20"/>
          <w:szCs w:val="20"/>
        </w:rPr>
        <w:t xml:space="preserve">Assessment Philosophy</w:t>
      </w:r>
    </w:p>
    <w:p>
      <w:pPr>
        <w:spacing w:after="80"/>
      </w:pPr>
      <w:r>
        <w:rPr>
          <w:rFonts w:ascii="Arial" w:cs="Arial" w:eastAsia="Arial" w:hAnsi="Arial"/>
          <w:color w:val="555555"/>
          <w:sz w:val="20"/>
          <w:szCs w:val="20"/>
        </w:rPr>
        <w:t xml:space="preserve">Every assessment produces a professional artifact. Students are not tested on recall — they demonstrate competency by doing the work. Each deliverable maps directly to one or more course outcomes and builds toward the Module 3 capstone.</w:t>
      </w:r>
    </w:p>
    <w:p>
      <w:pPr>
        <w:spacing w:after="80"/>
      </w:pPr>
      <w:r>
        <w:t xml:space="preserve"/>
      </w:r>
    </w:p>
    <w:p>
      <w:pPr>
        <w:pBdr>
          <w:left w:val="single" w:color="FDBB30" w:sz="8"/>
        </w:pBdr>
        <w:spacing w:after="80" w:before="200"/>
        <w:ind w:left="120"/>
      </w:pPr>
      <w:r>
        <w:rPr>
          <w:rFonts w:ascii="Arial" w:cs="Arial" w:eastAsia="Arial" w:hAnsi="Arial"/>
          <w:b/>
          <w:bCs/>
          <w:color w:val="00543C"/>
          <w:sz w:val="20"/>
          <w:szCs w:val="20"/>
        </w:rPr>
        <w:t xml:space="preserve">Summative Assessment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560"/>
        <w:gridCol w:w="3000"/>
      </w:tblGrid>
      <w:tr>
        <w:tc>
          <w:tcPr>
            <w:tcBorders>
              <w:top w:val="single" w:color="DDDDDD" w:sz="1"/>
              <w:left w:val="single" w:color="DDDDDD" w:sz="1"/>
              <w:bottom w:val="single" w:color="DDDDDD" w:sz="1"/>
              <w:right w:val="single" w:color="DDDDDD" w:sz="1"/>
            </w:tcBorders>
            <w:shd w:fill="00543C" w:val="clear"/>
            <w:tcMar>
              <w:top w:type="dxa" w:w="80"/>
              <w:left w:type="dxa" w:w="120"/>
              <w:bottom w:type="dxa" w:w="80"/>
              <w:right w:type="dxa" w:w="120"/>
            </w:tcMar>
          </w:tcPr>
          <w:p>
            <w:r>
              <w:rPr>
                <w:rFonts w:ascii="Arial" w:cs="Arial" w:eastAsia="Arial" w:hAnsi="Arial"/>
                <w:b/>
                <w:bCs/>
                <w:color w:val="FFFFFF"/>
                <w:sz w:val="18"/>
                <w:szCs w:val="18"/>
              </w:rPr>
              <w:t xml:space="preserve">Assessment</w:t>
            </w:r>
          </w:p>
        </w:tc>
        <w:tc>
          <w:tcPr>
            <w:tcBorders>
              <w:top w:val="single" w:color="DDDDDD" w:sz="1"/>
              <w:left w:val="single" w:color="DDDDDD" w:sz="1"/>
              <w:bottom w:val="single" w:color="DDDDDD" w:sz="1"/>
              <w:right w:val="single" w:color="DDDDDD" w:sz="1"/>
            </w:tcBorders>
            <w:shd w:fill="00543C"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Borders>
              <w:top w:val="single" w:color="DDDDDD" w:sz="1"/>
              <w:left w:val="single" w:color="DDDDDD" w:sz="1"/>
              <w:bottom w:val="single" w:color="DDDDDD" w:sz="1"/>
              <w:right w:val="single" w:color="DDDDDD" w:sz="1"/>
            </w:tcBorders>
            <w:shd w:fill="00543C" w:val="clear"/>
            <w:tcMar>
              <w:top w:type="dxa" w:w="80"/>
              <w:left w:type="dxa" w:w="120"/>
              <w:bottom w:type="dxa" w:w="80"/>
              <w:right w:type="dxa" w:w="120"/>
            </w:tcMar>
          </w:tcPr>
          <w:p>
            <w:r>
              <w:rPr>
                <w:rFonts w:ascii="Arial" w:cs="Arial" w:eastAsia="Arial" w:hAnsi="Arial"/>
                <w:b/>
                <w:bCs/>
                <w:color w:val="FFFFFF"/>
                <w:sz w:val="18"/>
                <w:szCs w:val="18"/>
              </w:rPr>
              <w:t xml:space="preserve">Points</w:t>
            </w:r>
          </w:p>
        </w:tc>
        <w:tc>
          <w:tcPr>
            <w:tcBorders>
              <w:top w:val="single" w:color="DDDDDD" w:sz="1"/>
              <w:left w:val="single" w:color="DDDDDD" w:sz="1"/>
              <w:bottom w:val="single" w:color="DDDDDD" w:sz="1"/>
              <w:right w:val="single" w:color="DDDDDD" w:sz="1"/>
            </w:tcBorders>
            <w:shd w:fill="00543C" w:val="clear"/>
            <w:tcMar>
              <w:top w:type="dxa" w:w="80"/>
              <w:left w:type="dxa" w:w="120"/>
              <w:bottom w:type="dxa" w:w="80"/>
              <w:right w:type="dxa" w:w="120"/>
            </w:tcMar>
          </w:tcPr>
          <w:p>
            <w:r>
              <w:rPr>
                <w:rFonts w:ascii="Arial" w:cs="Arial" w:eastAsia="Arial" w:hAnsi="Arial"/>
                <w:b/>
                <w:bCs/>
                <w:color w:val="FFFFFF"/>
                <w:sz w:val="18"/>
                <w:szCs w:val="18"/>
              </w:rPr>
              <w:t xml:space="preserve">Outcomes Addressed</w:t>
            </w:r>
          </w:p>
        </w:tc>
      </w:tr>
      <w:tr>
        <w:tc>
          <w:tcPr>
            <w:tcBorders>
              <w:top w:val="single" w:color="DDDDDD" w:sz="1"/>
              <w:left w:val="single" w:color="DDDDDD" w:sz="1"/>
              <w:bottom w:val="single" w:color="DDDDDD" w:sz="1"/>
              <w:right w:val="single" w:color="DDDDDD" w:sz="1"/>
            </w:tcBorders>
            <w:shd w:fill="E8F2EE" w:val="clear"/>
            <w:tcMar>
              <w:top w:type="dxa" w:w="80"/>
              <w:left w:type="dxa" w:w="120"/>
              <w:bottom w:type="dxa" w:w="80"/>
              <w:right w:type="dxa" w:w="120"/>
            </w:tcMar>
          </w:tcPr>
          <w:p>
            <w:pPr>
              <w:jc w:val="left"/>
            </w:pPr>
            <w:r>
              <w:rPr>
                <w:rFonts w:ascii="Arial" w:cs="Arial" w:eastAsia="Arial" w:hAnsi="Arial"/>
                <w:b/>
                <w:bCs/>
                <w:color w:val="00543C"/>
                <w:sz w:val="18"/>
                <w:szCs w:val="18"/>
              </w:rPr>
              <w:t xml:space="preserve">Visualization Critique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 · Week 2</w:t>
            </w:r>
          </w:p>
        </w:tc>
        <w:tc>
          <w:tcPr>
            <w:tcBorders>
              <w:top w:val="single" w:color="DDDDDD" w:sz="1"/>
              <w:left w:val="single" w:color="DDDDDD" w:sz="1"/>
              <w:bottom w:val="single" w:color="DDDDDD" w:sz="1"/>
              <w:right w:val="single" w:color="DDDDDD" w:sz="1"/>
            </w:tcBorders>
            <w:shd w:fill="E8F2EE" w:val="clear"/>
            <w:tcMar>
              <w:top w:type="dxa" w:w="80"/>
              <w:left w:type="dxa" w:w="120"/>
              <w:bottom w:type="dxa" w:w="80"/>
              <w:right w:type="dxa" w:w="120"/>
            </w:tcMar>
          </w:tcPr>
          <w:p>
            <w:pPr>
              <w:jc w:val="left"/>
            </w:pPr>
            <w:r>
              <w:rPr>
                <w:rFonts w:ascii="Arial" w:cs="Arial" w:eastAsia="Arial" w:hAnsi="Arial"/>
                <w:b/>
                <w:bCs/>
                <w:color w:val="00543C"/>
                <w:sz w:val="18"/>
                <w:szCs w:val="18"/>
              </w:rPr>
              <w:t xml:space="preserve">100 pts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Outcomes 1, 2, 4</w:t>
            </w:r>
          </w:p>
        </w:tc>
      </w:tr>
      <w:tr>
        <w:tc>
          <w:tcPr>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pPr>
              <w:jc w:val="left"/>
            </w:pPr>
            <w:r>
              <w:rPr>
                <w:rFonts w:ascii="Arial" w:cs="Arial" w:eastAsia="Arial" w:hAnsi="Arial"/>
                <w:b/>
                <w:bCs/>
                <w:color w:val="7A5200"/>
                <w:sz w:val="18"/>
                <w:szCs w:val="18"/>
              </w:rPr>
              <w:t xml:space="preserve">Narrative Memo</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 · Week 5</w:t>
            </w:r>
          </w:p>
        </w:tc>
        <w:tc>
          <w:tcPr>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pPr>
              <w:jc w:val="left"/>
            </w:pPr>
            <w:r>
              <w:rPr>
                <w:rFonts w:ascii="Arial" w:cs="Arial" w:eastAsia="Arial" w:hAnsi="Arial"/>
                <w:b/>
                <w:bCs/>
                <w:color w:val="7A5200"/>
                <w:sz w:val="18"/>
                <w:szCs w:val="18"/>
              </w:rPr>
              <w:t xml:space="preserve">150 pts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Outcomes 2, 3, 4</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bCs/>
                <w:color w:val="555555"/>
                <w:sz w:val="18"/>
                <w:szCs w:val="18"/>
              </w:rPr>
              <w:t xml:space="preserve">Executive Presentation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3 · Week 7</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bCs/>
                <w:color w:val="555555"/>
                <w:sz w:val="18"/>
                <w:szCs w:val="18"/>
              </w:rPr>
              <w:t xml:space="preserve">200 pts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Outcomes 1, 2, 3, 4, 5</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Discussions &amp; Participation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All Modules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50 pts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All outcomes — formative</w:t>
            </w:r>
          </w:p>
        </w:tc>
      </w:tr>
      <w:tr>
        <w:tc>
          <w:tcPr>
            <w:tcBorders>
              <w:top w:val="single" w:color="DDDDDD" w:sz="1"/>
              <w:left w:val="single" w:color="DDDDDD" w:sz="1"/>
              <w:bottom w:val="single" w:color="DDDDDD" w:sz="1"/>
              <w:right w:val="single" w:color="DDDDDD" w:sz="1"/>
            </w:tcBorders>
            <w:shd w:fill="00543C" w:val="clear"/>
            <w:tcMar>
              <w:top w:type="dxa" w:w="80"/>
              <w:left w:type="dxa" w:w="120"/>
              <w:bottom w:type="dxa" w:w="80"/>
              <w:right w:type="dxa" w:w="120"/>
            </w:tcMar>
          </w:tcPr>
          <w:p>
            <w:r>
              <w:rPr>
                <w:rFonts w:ascii="Arial" w:cs="Arial" w:eastAsia="Arial" w:hAnsi="Arial"/>
                <w:b/>
                <w:bCs/>
                <w:color w:val="FDBB30"/>
                <w:sz w:val="18"/>
                <w:szCs w:val="18"/>
              </w:rPr>
              <w:t xml:space="preserve">TOTAL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c>
          <w:tcPr>
            <w:tcBorders>
              <w:top w:val="single" w:color="DDDDDD" w:sz="1"/>
              <w:left w:val="single" w:color="DDDDDD" w:sz="1"/>
              <w:bottom w:val="single" w:color="DDDDDD" w:sz="1"/>
              <w:right w:val="single" w:color="DDDDDD" w:sz="1"/>
            </w:tcBorders>
            <w:shd w:fill="00543C" w:val="clear"/>
            <w:tcMar>
              <w:top w:type="dxa" w:w="80"/>
              <w:left w:type="dxa" w:w="120"/>
              <w:bottom w:type="dxa" w:w="80"/>
              <w:right w:type="dxa" w:w="120"/>
            </w:tcMar>
          </w:tcPr>
          <w:p>
            <w:r>
              <w:rPr>
                <w:rFonts w:ascii="Arial" w:cs="Arial" w:eastAsia="Arial" w:hAnsi="Arial"/>
                <w:b/>
                <w:bCs/>
                <w:color w:val="FDBB30"/>
                <w:sz w:val="18"/>
                <w:szCs w:val="18"/>
              </w:rPr>
              <w:t xml:space="preserve">500 pts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w:r>
          </w:p>
        </w:tc>
      </w:tr>
    </w:tbl>
    <w:p>
      <w:pPr>
        <w:spacing w:after="80"/>
      </w:pPr>
      <w:r>
        <w:t xml:space="preserve"/>
      </w:r>
    </w:p>
    <w:p>
      <w:pPr>
        <w:pBdr>
          <w:left w:val="single" w:color="FDBB30" w:sz="8"/>
        </w:pBdr>
        <w:spacing w:after="80" w:before="200"/>
        <w:ind w:left="120"/>
      </w:pPr>
      <w:r>
        <w:rPr>
          <w:rFonts w:ascii="Arial" w:cs="Arial" w:eastAsia="Arial" w:hAnsi="Arial"/>
          <w:b/>
          <w:bCs/>
          <w:color w:val="00543C"/>
          <w:sz w:val="20"/>
          <w:szCs w:val="20"/>
        </w:rPr>
        <w:t xml:space="preserve">Grading Scale</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250"/>
        <w:gridCol w:w="1250"/>
        <w:gridCol w:w="1250"/>
        <w:gridCol w:w="1250"/>
      </w:tblGrid>
      <w:tr>
        <w:tc>
          <w:tcPr>
            <w:tcBorders>
              <w:top w:val="single" w:color="DDDDDD" w:sz="1"/>
              <w:left w:val="single" w:color="DDDDDD" w:sz="1"/>
              <w:bottom w:val="single" w:color="DDDDDD" w:sz="1"/>
              <w:right w:val="single" w:color="DDDDDD" w:sz="1"/>
            </w:tcBorders>
            <w:shd w:fill="00543C" w:val="clear"/>
            <w:tcMar>
              <w:top w:type="dxa" w:w="80"/>
              <w:left w:type="dxa" w:w="120"/>
              <w:bottom w:type="dxa" w:w="80"/>
              <w:right w:type="dxa" w:w="120"/>
            </w:tcMar>
          </w:tcPr>
          <w:p>
            <w:r>
              <w:rPr>
                <w:rFonts w:ascii="Arial" w:cs="Arial" w:eastAsia="Arial" w:hAnsi="Arial"/>
                <w:b/>
                <w:bCs/>
                <w:color w:val="FDBB30"/>
                <w:sz w:val="18"/>
                <w:szCs w:val="18"/>
              </w:rPr>
              <w:t xml:space="preserve">A</w:t>
            </w:r>
          </w:p>
        </w:tc>
        <w:tc>
          <w:tcPr>
            <w:tcBorders>
              <w:top w:val="single" w:color="DDDDDD" w:sz="1"/>
              <w:left w:val="single" w:color="DDDDDD" w:sz="1"/>
              <w:bottom w:val="single" w:color="DDDDDD" w:sz="1"/>
              <w:right w:val="single" w:color="DDDDDD" w:sz="1"/>
            </w:tcBorders>
            <w:shd w:fill="919194" w:val="clear"/>
            <w:tcMar>
              <w:top w:type="dxa" w:w="80"/>
              <w:left w:type="dxa" w:w="120"/>
              <w:bottom w:type="dxa" w:w="80"/>
              <w:right w:type="dxa" w:w="120"/>
            </w:tcMar>
          </w:tcPr>
          <w:p>
            <w:r>
              <w:rPr>
                <w:rFonts w:ascii="Arial" w:cs="Arial" w:eastAsia="Arial" w:hAnsi="Arial"/>
                <w:b/>
                <w:bCs/>
                <w:color w:val="FFFFFF"/>
                <w:sz w:val="18"/>
                <w:szCs w:val="18"/>
              </w:rPr>
              <w:t xml:space="preserve">B</w:t>
            </w:r>
          </w:p>
        </w:tc>
        <w:tc>
          <w:tcPr>
            <w:tcBorders>
              <w:top w:val="single" w:color="DDDDDD" w:sz="1"/>
              <w:left w:val="single" w:color="DDDDDD" w:sz="1"/>
              <w:bottom w:val="single" w:color="DDDDDD" w:sz="1"/>
              <w:right w:val="single" w:color="DDDDDD" w:sz="1"/>
            </w:tcBorders>
            <w:shd w:fill="919194" w:val="clear"/>
            <w:tcMar>
              <w:top w:type="dxa" w:w="80"/>
              <w:left w:type="dxa" w:w="120"/>
              <w:bottom w:type="dxa" w:w="80"/>
              <w:right w:type="dxa" w:w="120"/>
            </w:tcMar>
          </w:tcPr>
          <w:p>
            <w:r>
              <w:rPr>
                <w:rFonts w:ascii="Arial" w:cs="Arial" w:eastAsia="Arial" w:hAnsi="Arial"/>
                <w:b/>
                <w:bCs/>
                <w:color w:val="FFFFFF"/>
                <w:sz w:val="18"/>
                <w:szCs w:val="18"/>
              </w:rPr>
              <w:t xml:space="preserve">C</w:t>
            </w:r>
          </w:p>
        </w:tc>
        <w:tc>
          <w:tcPr>
            <w:tcBorders>
              <w:top w:val="single" w:color="DDDDDD" w:sz="1"/>
              <w:left w:val="single" w:color="DDDDDD" w:sz="1"/>
              <w:bottom w:val="single" w:color="DDDDDD" w:sz="1"/>
              <w:right w:val="single" w:color="DDDDDD" w:sz="1"/>
            </w:tcBorders>
            <w:shd w:fill="444444" w:val="clear"/>
            <w:tcMar>
              <w:top w:type="dxa" w:w="80"/>
              <w:left w:type="dxa" w:w="120"/>
              <w:bottom w:type="dxa" w:w="80"/>
              <w:right w:type="dxa" w:w="120"/>
            </w:tcMar>
          </w:tcPr>
          <w:p>
            <w:r>
              <w:rPr>
                <w:rFonts w:ascii="Arial" w:cs="Arial" w:eastAsia="Arial" w:hAnsi="Arial"/>
                <w:b/>
                <w:bCs/>
                <w:color w:val="FFFFFF"/>
                <w:sz w:val="18"/>
                <w:szCs w:val="18"/>
              </w:rPr>
              <w:t xml:space="preserve">D / F</w:t>
            </w:r>
          </w:p>
        </w:tc>
      </w:tr>
      <w:tr>
        <w:tc>
          <w:tcPr>
            <w:tcBorders>
              <w:top w:val="single" w:color="DDDDDD" w:sz="1"/>
              <w:left w:val="single" w:color="DDDDDD" w:sz="1"/>
              <w:bottom w:val="single" w:color="DDDDDD" w:sz="1"/>
              <w:right w:val="single" w:color="DDDDDD" w:sz="1"/>
            </w:tcBorders>
            <w:shd w:fill="E8F2EE" w:val="clear"/>
            <w:tcMar>
              <w:top w:type="dxa" w:w="80"/>
              <w:left w:type="dxa" w:w="120"/>
              <w:bottom w:type="dxa" w:w="80"/>
              <w:right w:type="dxa" w:w="120"/>
            </w:tcMar>
          </w:tcPr>
          <w:p>
            <w:pPr>
              <w:jc w:val="center"/>
            </w:pPr>
            <w:r>
              <w:rPr>
                <w:rFonts w:ascii="Arial" w:cs="Arial" w:eastAsia="Arial" w:hAnsi="Arial"/>
                <w:b/>
                <w:bCs/>
                <w:color w:val="00543C"/>
                <w:sz w:val="18"/>
                <w:szCs w:val="18"/>
              </w:rPr>
              <w:t xml:space="preserve">90–100%</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80–89%</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70–79%</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555555"/>
                <w:sz w:val="18"/>
                <w:szCs w:val="18"/>
              </w:rPr>
              <w:t xml:space="preserve">Below 70%</w:t>
            </w:r>
          </w:p>
        </w:tc>
      </w:tr>
    </w:tbl>
    <w:p>
      <w:pPr>
        <w:spacing w:after="120"/>
      </w:pPr>
      <w:r>
        <w:t xml:space="preserve"/>
      </w:r>
    </w:p>
    <w:p>
      <w:r>
        <w:br w:type="page"/>
      </w:r>
    </w:p>
    <w:p>
      <w:pPr>
        <w:pBdr>
          <w:bottom w:val="single" w:color="FDBB30" w:sz="8"/>
        </w:pBdr>
        <w:shd w:fill="00543C" w:val="clear"/>
        <w:spacing w:after="0" w:before="400"/>
        <w:ind w:left="160" w:right="160"/>
      </w:pPr>
      <w:r>
        <w:rPr>
          <w:rFonts w:ascii="Arial" w:cs="Arial" w:eastAsia="Arial" w:hAnsi="Arial"/>
          <w:b/>
          <w:bCs/>
          <w:color w:val="FDBB30"/>
          <w:sz w:val="20"/>
          <w:szCs w:val="20"/>
        </w:rPr>
        <w:t xml:space="preserve">STAGE 3  </w:t>
      </w:r>
      <w:r>
        <w:rPr>
          <w:rFonts w:ascii="Arial" w:cs="Arial" w:eastAsia="Arial" w:hAnsi="Arial"/>
          <w:b/>
          <w:bCs/>
          <w:color w:val="FFFFFF"/>
          <w:sz w:val="20"/>
          <w:szCs w:val="20"/>
        </w:rPr>
        <w:t xml:space="preserve">LEARNING EXPERIENCE — MODULE SEQUENCE &amp; DESIGN</w:t>
      </w:r>
    </w:p>
    <w:p>
      <w:pPr>
        <w:spacing w:after="80"/>
      </w:pPr>
      <w:r>
        <w:t xml:space="preserve"/>
      </w:r>
    </w:p>
    <w:p>
      <w:pPr>
        <w:spacing w:after="160" w:before="0"/>
      </w:pPr>
      <w:r>
        <w:rPr>
          <w:rFonts w:ascii="Arial" w:cs="Arial" w:eastAsia="Arial" w:hAnsi="Arial"/>
          <w:b/>
          <w:bCs/>
          <w:color w:val="00543C"/>
          <w:sz w:val="19"/>
          <w:szCs w:val="19"/>
        </w:rPr>
        <w:t xml:space="preserve">Design Principle: </w:t>
      </w:r>
      <w:r>
        <w:rPr>
          <w:rFonts w:ascii="Arial" w:cs="Arial" w:eastAsia="Arial" w:hAnsi="Arial"/>
          <w:color w:val="555555"/>
          <w:sz w:val="19"/>
          <w:szCs w:val="19"/>
        </w:rPr>
        <w:t xml:space="preserve">Each module introduces a new competency, applies it through practice, and assesses it through a professional deliverable. Modules unlock sequentially — completion of Module 1 is required before Module 2 opens.</w:t>
      </w:r>
    </w:p>
    <w:p>
      <w:pPr>
        <w:pBdr>
          <w:left w:val="single" w:color="00543C" w:sz="12"/>
        </w:pBdr>
        <w:spacing w:after="0" w:before="280"/>
        <w:ind w:left="160"/>
      </w:pPr>
      <w:r>
        <w:rPr>
          <w:rFonts w:ascii="Arial" w:cs="Arial" w:eastAsia="Arial" w:hAnsi="Arial"/>
          <w:b/>
          <w:bCs/>
          <w:color w:val="00543C"/>
          <w:spacing w:val="60"/>
          <w:sz w:val="17"/>
          <w:szCs w:val="17"/>
        </w:rPr>
        <w:t xml:space="preserve">MODULE 1  ·  WEEKS 1–2</w:t>
      </w:r>
    </w:p>
    <w:p>
      <w:pPr>
        <w:pBdr>
          <w:left w:val="single" w:color="00543C" w:sz="12"/>
        </w:pBdr>
        <w:spacing w:after="80" w:before="40"/>
        <w:ind w:left="160"/>
      </w:pPr>
      <w:r>
        <w:rPr>
          <w:rFonts w:ascii="Arial" w:cs="Arial" w:eastAsia="Arial" w:hAnsi="Arial"/>
          <w:b/>
          <w:bCs/>
          <w:color w:val="1A1A1A"/>
          <w:sz w:val="24"/>
          <w:szCs w:val="24"/>
        </w:rPr>
        <w:t xml:space="preserve">See It: Foundations of Data Visualization</w:t>
      </w:r>
    </w:p>
    <w:p>
      <w:pPr>
        <w:spacing w:after="120" w:before="0"/>
        <w:ind w:left="160"/>
      </w:pPr>
      <w:r>
        <w:rPr>
          <w:rFonts w:ascii="Arial" w:cs="Arial" w:eastAsia="Arial" w:hAnsi="Arial"/>
          <w:i/>
          <w:iCs/>
          <w:color w:val="555555"/>
          <w:sz w:val="19"/>
          <w:szCs w:val="19"/>
        </w:rPr>
        <w:t xml:space="preserve">Students develop the perceptual and analytical vocabulary to evaluate and select data visualizations. Emphasis on matching data type to chart family and applying Gestalt principles to assess clarity.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Borders>
              <w:top w:val="single" w:color="DDDDDD" w:sz="1"/>
              <w:left w:val="single" w:color="DDDDDD" w:sz="1"/>
              <w:bottom w:val="single" w:color="DDDDDD" w:sz="1"/>
              <w:right w:val="single" w:color="DDDDDD" w:sz="1"/>
            </w:tcBorders>
            <w:shd w:fill="00543C" w:val="clear"/>
            <w:tcMar>
              <w:top w:type="dxa" w:w="80"/>
              <w:left w:type="dxa" w:w="120"/>
              <w:bottom w:type="dxa" w:w="80"/>
              <w:right w:type="dxa" w:w="120"/>
            </w:tcMar>
          </w:tcPr>
          <w:p>
            <w:r>
              <w:rPr>
                <w:rFonts w:ascii="Arial" w:cs="Arial" w:eastAsia="Arial" w:hAnsi="Arial"/>
                <w:b/>
                <w:bCs/>
                <w:color w:val="FFFFFF"/>
                <w:sz w:val="18"/>
                <w:szCs w:val="18"/>
              </w:rPr>
              <w:t xml:space="preserve">Module Objectives</w:t>
            </w:r>
          </w:p>
        </w:tc>
        <w:tc>
          <w:tcPr>
            <w:tcBorders>
              <w:top w:val="single" w:color="DDDDDD" w:sz="1"/>
              <w:left w:val="single" w:color="DDDDDD" w:sz="1"/>
              <w:bottom w:val="single" w:color="DDDDDD" w:sz="1"/>
              <w:right w:val="single" w:color="DDDDDD" w:sz="1"/>
            </w:tcBorders>
            <w:shd w:fill="00543C" w:val="clear"/>
            <w:tcMar>
              <w:top w:type="dxa" w:w="80"/>
              <w:left w:type="dxa" w:w="120"/>
              <w:bottom w:type="dxa" w:w="80"/>
              <w:right w:type="dxa" w:w="120"/>
            </w:tcMar>
          </w:tcPr>
          <w:p>
            <w:r>
              <w:rPr>
                <w:rFonts w:ascii="Arial" w:cs="Arial" w:eastAsia="Arial" w:hAnsi="Arial"/>
                <w:b/>
                <w:bCs/>
                <w:color w:val="FFFFFF"/>
                <w:sz w:val="18"/>
                <w:szCs w:val="18"/>
              </w:rPr>
              <w:t xml:space="preserve">Weekly Activity Sequence</w:t>
            </w:r>
          </w:p>
        </w:tc>
      </w:tr>
      <w:tr>
        <w:tc>
          <w:tcPr>
            <w:tcW w:type="dxa" w:w="4500"/>
            <w:tcBorders>
              <w:top w:val="single" w:color="DDDDDD" w:sz="1"/>
              <w:left w:val="single" w:color="DDDDDD" w:sz="1"/>
              <w:bottom w:val="single" w:color="DDDDDD" w:sz="1"/>
              <w:right w:val="single" w:color="DDDDDD" w:sz="1"/>
            </w:tcBorders>
            <w:tcMar>
              <w:top w:type="dxa" w:w="100"/>
              <w:left w:type="dxa" w:w="140"/>
              <w:bottom w:type="dxa" w:w="100"/>
              <w:right w:type="dxa" w:w="120"/>
            </w:tcMar>
          </w:tcPr>
          <w:p>
            <w:pPr>
              <w:pStyle w:val="ListParagraph"/>
              <w:numPr>
                <w:ilvl w:val="0"/>
                <w:numId w:val="2"/>
              </w:numPr>
              <w:spacing w:after="60"/>
            </w:pPr>
            <w:r>
              <w:rPr>
                <w:rFonts w:ascii="Arial" w:cs="Arial" w:eastAsia="Arial" w:hAnsi="Arial"/>
                <w:color w:val="555555"/>
                <w:sz w:val="18"/>
                <w:szCs w:val="18"/>
              </w:rPr>
              <w:t xml:space="preserve">Classify data types and select appropriate chart families</w:t>
            </w:r>
          </w:p>
          <w:p>
            <w:pPr>
              <w:pStyle w:val="ListParagraph"/>
              <w:numPr>
                <w:ilvl w:val="0"/>
                <w:numId w:val="2"/>
              </w:numPr>
              <w:spacing w:after="60"/>
            </w:pPr>
            <w:r>
              <w:rPr>
                <w:rFonts w:ascii="Arial" w:cs="Arial" w:eastAsia="Arial" w:hAnsi="Arial"/>
                <w:color w:val="555555"/>
                <w:sz w:val="18"/>
                <w:szCs w:val="18"/>
              </w:rPr>
              <w:t xml:space="preserve">Apply Gestalt principles to evaluate visual clarity</w:t>
            </w:r>
          </w:p>
          <w:p>
            <w:pPr>
              <w:pStyle w:val="ListParagraph"/>
              <w:numPr>
                <w:ilvl w:val="0"/>
                <w:numId w:val="2"/>
              </w:numPr>
              <w:spacing w:after="60"/>
            </w:pPr>
            <w:r>
              <w:rPr>
                <w:rFonts w:ascii="Arial" w:cs="Arial" w:eastAsia="Arial" w:hAnsi="Arial"/>
                <w:color w:val="555555"/>
                <w:sz w:val="18"/>
                <w:szCs w:val="18"/>
              </w:rPr>
              <w:t xml:space="preserve">Critique a published visualization using a structured rubric</w:t>
            </w:r>
          </w:p>
        </w:tc>
        <w:tc>
          <w:tcPr>
            <w:tcW w:type="dxa" w:w="4860"/>
            <w:tcBorders>
              <w:top w:val="single" w:color="DDDDDD" w:sz="1"/>
              <w:left w:val="single" w:color="DDDDDD" w:sz="1"/>
              <w:bottom w:val="single" w:color="DDDDDD" w:sz="1"/>
              <w:right w:val="single" w:color="DDDDDD" w:sz="1"/>
            </w:tcBorders>
            <w:tcMar>
              <w:top w:type="dxa" w:w="100"/>
              <w:left w:type="dxa" w:w="140"/>
              <w:bottom w:type="dxa" w:w="100"/>
              <w:right w:type="dxa" w:w="120"/>
            </w:tcMar>
          </w:tcPr>
          <w:p>
            <w:pPr>
              <w:pStyle w:val="ListParagraph"/>
              <w:numPr>
                <w:ilvl w:val="0"/>
                <w:numId w:val="2"/>
              </w:numPr>
              <w:spacing w:after="60"/>
            </w:pPr>
            <w:r>
              <w:rPr>
                <w:rFonts w:ascii="Arial" w:cs="Arial" w:eastAsia="Arial" w:hAnsi="Arial"/>
                <w:color w:val="555555"/>
                <w:sz w:val="18"/>
                <w:szCs w:val="18"/>
              </w:rPr>
              <w:t xml:space="preserve">Week 1: Read Chart Chooser Framework (Ch. 1–2) — est. 90 min</w:t>
            </w:r>
          </w:p>
          <w:p>
            <w:pPr>
              <w:pStyle w:val="ListParagraph"/>
              <w:numPr>
                <w:ilvl w:val="0"/>
                <w:numId w:val="2"/>
              </w:numPr>
              <w:spacing w:after="60"/>
            </w:pPr>
            <w:r>
              <w:rPr>
                <w:rFonts w:ascii="Arial" w:cs="Arial" w:eastAsia="Arial" w:hAnsi="Arial"/>
                <w:color w:val="555555"/>
                <w:sz w:val="18"/>
                <w:szCs w:val="18"/>
              </w:rPr>
              <w:t xml:space="preserve">Week 1: Ungraded Chart Matching Quiz — est. 30 min</w:t>
            </w:r>
          </w:p>
          <w:p>
            <w:pPr>
              <w:pStyle w:val="ListParagraph"/>
              <w:numPr>
                <w:ilvl w:val="0"/>
                <w:numId w:val="2"/>
              </w:numPr>
              <w:spacing w:after="60"/>
            </w:pPr>
            <w:r>
              <w:rPr>
                <w:rFonts w:ascii="Arial" w:cs="Arial" w:eastAsia="Arial" w:hAnsi="Arial"/>
                <w:color w:val="555555"/>
                <w:sz w:val="18"/>
                <w:szCs w:val="18"/>
              </w:rPr>
              <w:t xml:space="preserve">Week 1: Discussion — Post a data visualization you found in the wild and evaluate it using the CLEAR rubric</w:t>
            </w:r>
          </w:p>
          <w:p>
            <w:pPr>
              <w:pStyle w:val="ListParagraph"/>
              <w:numPr>
                <w:ilvl w:val="0"/>
                <w:numId w:val="2"/>
              </w:numPr>
              <w:spacing w:after="60"/>
            </w:pPr>
            <w:r>
              <w:rPr>
                <w:rFonts w:ascii="Arial" w:cs="Arial" w:eastAsia="Arial" w:hAnsi="Arial"/>
                <w:color w:val="555555"/>
                <w:sz w:val="18"/>
                <w:szCs w:val="18"/>
              </w:rPr>
              <w:t xml:space="preserve">Week 2: Complete Visualization Critique assignment — est. 3 hrs</w:t>
            </w:r>
          </w:p>
        </w:tc>
      </w:tr>
      <w:tr>
        <w:tc>
          <w:tcPr>
            <w:tcBorders>
              <w:top w:val="single" w:color="DDDDDD" w:sz="1"/>
              <w:left w:val="single" w:color="DDDDDD" w:sz="1"/>
              <w:bottom w:val="single" w:color="DDDDDD" w:sz="1"/>
              <w:right w:val="single" w:color="DDDDDD" w:sz="1"/>
            </w:tcBorders>
            <w:shd w:fill="919194" w:val="clear"/>
            <w:tcMar>
              <w:top w:type="dxa" w:w="80"/>
              <w:left w:type="dxa" w:w="120"/>
              <w:bottom w:type="dxa" w:w="80"/>
              <w:right w:type="dxa" w:w="120"/>
            </w:tcMar>
          </w:tcPr>
          <w:p>
            <w:r>
              <w:rPr>
                <w:rFonts w:ascii="Arial" w:cs="Arial" w:eastAsia="Arial" w:hAnsi="Arial"/>
                <w:b/>
                <w:bCs/>
                <w:color w:val="FFFFFF"/>
                <w:sz w:val="18"/>
                <w:szCs w:val="18"/>
              </w:rPr>
              <w:t xml:space="preserve">Summative Assessment</w:t>
            </w:r>
          </w:p>
        </w:tc>
        <w:tc>
          <w:tcPr>
            <w:tcBorders>
              <w:top w:val="single" w:color="DDDDDD" w:sz="1"/>
              <w:left w:val="single" w:color="DDDDDD" w:sz="1"/>
              <w:bottom w:val="single" w:color="DDDDDD" w:sz="1"/>
              <w:right w:val="single" w:color="DDDDDD" w:sz="1"/>
            </w:tcBorders>
            <w:shd w:fill="919194" w:val="clear"/>
            <w:tcMar>
              <w:top w:type="dxa" w:w="80"/>
              <w:left w:type="dxa" w:w="120"/>
              <w:bottom w:type="dxa" w:w="80"/>
              <w:right w:type="dxa" w:w="120"/>
            </w:tcMar>
          </w:tcPr>
          <w:p>
            <w:r>
              <w:rPr>
                <w:rFonts w:ascii="Arial" w:cs="Arial" w:eastAsia="Arial" w:hAnsi="Arial"/>
                <w:b/>
                <w:bCs/>
                <w:color w:val="FFFFFF"/>
                <w:sz w:val="18"/>
                <w:szCs w:val="18"/>
              </w:rPr>
              <w:t xml:space="preserve">Point Value</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bCs/>
                <w:color w:val="1A1A1A"/>
                <w:sz w:val="18"/>
                <w:szCs w:val="18"/>
              </w:rPr>
              <w:t xml:space="preserve">Visualization Critique — Analyze a real published chart: identify the data type, evaluate design decisions against Gestalt principles, and recommend one specific improvement with rationale.</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bCs/>
                <w:color w:val="00543C"/>
                <w:sz w:val="18"/>
                <w:szCs w:val="18"/>
              </w:rPr>
              <w:t xml:space="preserve">100 points</w:t>
            </w:r>
          </w:p>
        </w:tc>
      </w:tr>
      <w:tr>
        <w:tc>
          <w:tcPr>
            <w:gridSpan w:val="2"/>
            <w:tcBorders>
              <w:top w:val="single" w:color="DDDDDD" w:sz="1"/>
              <w:left w:val="single" w:color="DDDDDD" w:sz="1"/>
              <w:bottom w:val="single" w:color="DDDDDD" w:sz="1"/>
              <w:right w:val="single" w:color="DDDDDD" w:sz="1"/>
            </w:tcBorders>
            <w:shd w:fill="F0F7F4" w:val="clear"/>
            <w:tcMar>
              <w:top w:type="dxa" w:w="80"/>
              <w:left w:type="dxa" w:w="120"/>
              <w:bottom w:type="dxa" w:w="80"/>
              <w:right w:type="dxa" w:w="120"/>
            </w:tcMar>
          </w:tcPr>
          <w:p>
            <w:r>
              <w:rPr>
                <w:rFonts w:ascii="Arial" w:cs="Arial" w:eastAsia="Arial" w:hAnsi="Arial"/>
                <w:b/>
                <w:bCs/>
                <w:color w:val="00543C"/>
                <w:sz w:val="18"/>
                <w:szCs w:val="18"/>
              </w:rPr>
              <w:t xml:space="preserve">Maps to CLOs:  </w:t>
            </w:r>
            <w:r>
              <w:rPr>
                <w:rFonts w:ascii="Arial" w:cs="Arial" w:eastAsia="Arial" w:hAnsi="Arial"/>
                <w:color w:val="555555"/>
                <w:sz w:val="18"/>
                <w:szCs w:val="18"/>
              </w:rPr>
              <w:t xml:space="preserve">CLO 1 (Select) · CLO 4 (Evaluate) — Students select chart types and evaluate visual decisions against established design principles.</w:t>
            </w:r>
          </w:p>
        </w:tc>
      </w:tr>
    </w:tbl>
    <w:p>
      <w:pPr>
        <w:spacing w:after="40"/>
      </w:pPr>
      <w:r>
        <w:t xml:space="preserve"/>
      </w:r>
    </w:p>
    <w:p>
      <w:pPr>
        <w:pBdr>
          <w:left w:val="single" w:color="7A5200" w:sz="12"/>
        </w:pBdr>
        <w:spacing w:after="0" w:before="280"/>
        <w:ind w:left="160"/>
      </w:pPr>
      <w:r>
        <w:rPr>
          <w:rFonts w:ascii="Arial" w:cs="Arial" w:eastAsia="Arial" w:hAnsi="Arial"/>
          <w:b/>
          <w:bCs/>
          <w:color w:val="7A5200"/>
          <w:spacing w:val="60"/>
          <w:sz w:val="17"/>
          <w:szCs w:val="17"/>
        </w:rPr>
        <w:t xml:space="preserve">MODULE 2  ·  WEEKS 3–5</w:t>
      </w:r>
    </w:p>
    <w:p>
      <w:pPr>
        <w:pBdr>
          <w:left w:val="single" w:color="7A5200" w:sz="12"/>
        </w:pBdr>
        <w:spacing w:after="80" w:before="40"/>
        <w:ind w:left="160"/>
      </w:pPr>
      <w:r>
        <w:rPr>
          <w:rFonts w:ascii="Arial" w:cs="Arial" w:eastAsia="Arial" w:hAnsi="Arial"/>
          <w:b/>
          <w:bCs/>
          <w:color w:val="1A1A1A"/>
          <w:sz w:val="24"/>
          <w:szCs w:val="24"/>
        </w:rPr>
        <w:t xml:space="preserve">Say It: Building the Data Narrative</w:t>
      </w:r>
    </w:p>
    <w:p>
      <w:pPr>
        <w:spacing w:after="120" w:before="0"/>
        <w:ind w:left="160"/>
      </w:pPr>
      <w:r>
        <w:rPr>
          <w:rFonts w:ascii="Arial" w:cs="Arial" w:eastAsia="Arial" w:hAnsi="Arial"/>
          <w:i/>
          <w:iCs/>
          <w:color w:val="555555"/>
          <w:sz w:val="19"/>
          <w:szCs w:val="19"/>
        </w:rPr>
        <w:t xml:space="preserve">Students move from producing visuals to building arguments with data. The SCR framework (Situation–Complication–Resolution) provides a repeatable structure for turning findings into executive-ready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Borders>
              <w:top w:val="single" w:color="DDDDDD" w:sz="1"/>
              <w:left w:val="single" w:color="DDDDDD" w:sz="1"/>
              <w:bottom w:val="single" w:color="DDDDDD" w:sz="1"/>
              <w:right w:val="single" w:color="DDDDDD" w:sz="1"/>
            </w:tcBorders>
            <w:shd w:fill="7A5200" w:val="clear"/>
            <w:tcMar>
              <w:top w:type="dxa" w:w="80"/>
              <w:left w:type="dxa" w:w="120"/>
              <w:bottom w:type="dxa" w:w="80"/>
              <w:right w:type="dxa" w:w="120"/>
            </w:tcMar>
          </w:tcPr>
          <w:p>
            <w:r>
              <w:rPr>
                <w:rFonts w:ascii="Arial" w:cs="Arial" w:eastAsia="Arial" w:hAnsi="Arial"/>
                <w:b/>
                <w:bCs/>
                <w:color w:val="FFFFFF"/>
                <w:sz w:val="18"/>
                <w:szCs w:val="18"/>
              </w:rPr>
              <w:t xml:space="preserve">Module Objectives</w:t>
            </w:r>
          </w:p>
        </w:tc>
        <w:tc>
          <w:tcPr>
            <w:tcBorders>
              <w:top w:val="single" w:color="DDDDDD" w:sz="1"/>
              <w:left w:val="single" w:color="DDDDDD" w:sz="1"/>
              <w:bottom w:val="single" w:color="DDDDDD" w:sz="1"/>
              <w:right w:val="single" w:color="DDDDDD" w:sz="1"/>
            </w:tcBorders>
            <w:shd w:fill="7A5200" w:val="clear"/>
            <w:tcMar>
              <w:top w:type="dxa" w:w="80"/>
              <w:left w:type="dxa" w:w="120"/>
              <w:bottom w:type="dxa" w:w="80"/>
              <w:right w:type="dxa" w:w="120"/>
            </w:tcMar>
          </w:tcPr>
          <w:p>
            <w:r>
              <w:rPr>
                <w:rFonts w:ascii="Arial" w:cs="Arial" w:eastAsia="Arial" w:hAnsi="Arial"/>
                <w:b/>
                <w:bCs/>
                <w:color w:val="FFFFFF"/>
                <w:sz w:val="18"/>
                <w:szCs w:val="18"/>
              </w:rPr>
              <w:t xml:space="preserve">Weekly Activity Sequence</w:t>
            </w:r>
          </w:p>
        </w:tc>
      </w:tr>
      <w:tr>
        <w:tc>
          <w:tcPr>
            <w:tcW w:type="dxa" w:w="4500"/>
            <w:tcBorders>
              <w:top w:val="single" w:color="DDDDDD" w:sz="1"/>
              <w:left w:val="single" w:color="DDDDDD" w:sz="1"/>
              <w:bottom w:val="single" w:color="DDDDDD" w:sz="1"/>
              <w:right w:val="single" w:color="DDDDDD" w:sz="1"/>
            </w:tcBorders>
            <w:tcMar>
              <w:top w:type="dxa" w:w="100"/>
              <w:left w:type="dxa" w:w="140"/>
              <w:bottom w:type="dxa" w:w="100"/>
              <w:right w:type="dxa" w:w="120"/>
            </w:tcMar>
          </w:tcPr>
          <w:p>
            <w:pPr>
              <w:pStyle w:val="ListParagraph"/>
              <w:numPr>
                <w:ilvl w:val="0"/>
                <w:numId w:val="2"/>
              </w:numPr>
              <w:spacing w:after="60"/>
            </w:pPr>
            <w:r>
              <w:rPr>
                <w:rFonts w:ascii="Arial" w:cs="Arial" w:eastAsia="Arial" w:hAnsi="Arial"/>
                <w:color w:val="555555"/>
                <w:sz w:val="18"/>
                <w:szCs w:val="18"/>
              </w:rPr>
              <w:t xml:space="preserve">Apply the SCR framework to structure a data story</w:t>
            </w:r>
          </w:p>
          <w:p>
            <w:pPr>
              <w:pStyle w:val="ListParagraph"/>
              <w:numPr>
                <w:ilvl w:val="0"/>
                <w:numId w:val="2"/>
              </w:numPr>
              <w:spacing w:after="60"/>
            </w:pPr>
            <w:r>
              <w:rPr>
                <w:rFonts w:ascii="Arial" w:cs="Arial" w:eastAsia="Arial" w:hAnsi="Arial"/>
                <w:color w:val="555555"/>
                <w:sz w:val="18"/>
                <w:szCs w:val="18"/>
              </w:rPr>
              <w:t xml:space="preserve">Tailor data communication for a non-technical executive audience</w:t>
            </w:r>
          </w:p>
          <w:p>
            <w:pPr>
              <w:pStyle w:val="ListParagraph"/>
              <w:numPr>
                <w:ilvl w:val="0"/>
                <w:numId w:val="2"/>
              </w:numPr>
              <w:spacing w:after="60"/>
            </w:pPr>
            <w:r>
              <w:rPr>
                <w:rFonts w:ascii="Arial" w:cs="Arial" w:eastAsia="Arial" w:hAnsi="Arial"/>
                <w:color w:val="555555"/>
                <w:sz w:val="18"/>
                <w:szCs w:val="18"/>
              </w:rPr>
              <w:t xml:space="preserve">Construct a storyboard connecting insights to a business recommendation</w:t>
            </w:r>
          </w:p>
        </w:tc>
        <w:tc>
          <w:tcPr>
            <w:tcW w:type="dxa" w:w="4860"/>
            <w:tcBorders>
              <w:top w:val="single" w:color="DDDDDD" w:sz="1"/>
              <w:left w:val="single" w:color="DDDDDD" w:sz="1"/>
              <w:bottom w:val="single" w:color="DDDDDD" w:sz="1"/>
              <w:right w:val="single" w:color="DDDDDD" w:sz="1"/>
            </w:tcBorders>
            <w:tcMar>
              <w:top w:type="dxa" w:w="100"/>
              <w:left w:type="dxa" w:w="140"/>
              <w:bottom w:type="dxa" w:w="100"/>
              <w:right w:type="dxa" w:w="120"/>
            </w:tcMar>
          </w:tcPr>
          <w:p>
            <w:pPr>
              <w:pStyle w:val="ListParagraph"/>
              <w:numPr>
                <w:ilvl w:val="0"/>
                <w:numId w:val="2"/>
              </w:numPr>
              <w:spacing w:after="60"/>
            </w:pPr>
            <w:r>
              <w:rPr>
                <w:rFonts w:ascii="Arial" w:cs="Arial" w:eastAsia="Arial" w:hAnsi="Arial"/>
                <w:color w:val="555555"/>
                <w:sz w:val="18"/>
                <w:szCs w:val="18"/>
              </w:rPr>
              <w:t xml:space="preserve">Week 3: Watch SCR Framework Lecture — est. 22 min</w:t>
            </w:r>
          </w:p>
          <w:p>
            <w:pPr>
              <w:pStyle w:val="ListParagraph"/>
              <w:numPr>
                <w:ilvl w:val="0"/>
                <w:numId w:val="2"/>
              </w:numPr>
              <w:spacing w:after="60"/>
            </w:pPr>
            <w:r>
              <w:rPr>
                <w:rFonts w:ascii="Arial" w:cs="Arial" w:eastAsia="Arial" w:hAnsi="Arial"/>
                <w:color w:val="555555"/>
                <w:sz w:val="18"/>
                <w:szCs w:val="18"/>
              </w:rPr>
              <w:t xml:space="preserve">Week 3: Read Executive Communication in Data Contexts (Ch. 4) — est. 60 min</w:t>
            </w:r>
          </w:p>
          <w:p>
            <w:pPr>
              <w:pStyle w:val="ListParagraph"/>
              <w:numPr>
                <w:ilvl w:val="0"/>
                <w:numId w:val="2"/>
              </w:numPr>
              <w:spacing w:after="60"/>
            </w:pPr>
            <w:r>
              <w:rPr>
                <w:rFonts w:ascii="Arial" w:cs="Arial" w:eastAsia="Arial" w:hAnsi="Arial"/>
                <w:color w:val="555555"/>
                <w:sz w:val="18"/>
                <w:szCs w:val="18"/>
              </w:rPr>
              <w:t xml:space="preserve">Week 4: Draft Data Story Storyboard — est. 2 hrs</w:t>
            </w:r>
          </w:p>
          <w:p>
            <w:pPr>
              <w:pStyle w:val="ListParagraph"/>
              <w:numPr>
                <w:ilvl w:val="0"/>
                <w:numId w:val="2"/>
              </w:numPr>
              <w:spacing w:after="60"/>
            </w:pPr>
            <w:r>
              <w:rPr>
                <w:rFonts w:ascii="Arial" w:cs="Arial" w:eastAsia="Arial" w:hAnsi="Arial"/>
                <w:color w:val="555555"/>
                <w:sz w:val="18"/>
                <w:szCs w:val="18"/>
              </w:rPr>
              <w:t xml:space="preserve">Week 4: Peer Review — evaluate two classmate storyboards using the SCR rubric</w:t>
            </w:r>
          </w:p>
          <w:p>
            <w:pPr>
              <w:pStyle w:val="ListParagraph"/>
              <w:numPr>
                <w:ilvl w:val="0"/>
                <w:numId w:val="2"/>
              </w:numPr>
              <w:spacing w:after="60"/>
            </w:pPr>
            <w:r>
              <w:rPr>
                <w:rFonts w:ascii="Arial" w:cs="Arial" w:eastAsia="Arial" w:hAnsi="Arial"/>
                <w:color w:val="555555"/>
                <w:sz w:val="18"/>
                <w:szCs w:val="18"/>
              </w:rPr>
              <w:t xml:space="preserve">Week 5: Revise and submit Narrative Memo — est. 3 hrs</w:t>
            </w:r>
          </w:p>
        </w:tc>
      </w:tr>
      <w:tr>
        <w:tc>
          <w:tcPr>
            <w:tcBorders>
              <w:top w:val="single" w:color="DDDDDD" w:sz="1"/>
              <w:left w:val="single" w:color="DDDDDD" w:sz="1"/>
              <w:bottom w:val="single" w:color="DDDDDD" w:sz="1"/>
              <w:right w:val="single" w:color="DDDDDD" w:sz="1"/>
            </w:tcBorders>
            <w:shd w:fill="919194" w:val="clear"/>
            <w:tcMar>
              <w:top w:type="dxa" w:w="80"/>
              <w:left w:type="dxa" w:w="120"/>
              <w:bottom w:type="dxa" w:w="80"/>
              <w:right w:type="dxa" w:w="120"/>
            </w:tcMar>
          </w:tcPr>
          <w:p>
            <w:r>
              <w:rPr>
                <w:rFonts w:ascii="Arial" w:cs="Arial" w:eastAsia="Arial" w:hAnsi="Arial"/>
                <w:b/>
                <w:bCs/>
                <w:color w:val="FFFFFF"/>
                <w:sz w:val="18"/>
                <w:szCs w:val="18"/>
              </w:rPr>
              <w:t xml:space="preserve">Summative Assessment</w:t>
            </w:r>
          </w:p>
        </w:tc>
        <w:tc>
          <w:tcPr>
            <w:tcBorders>
              <w:top w:val="single" w:color="DDDDDD" w:sz="1"/>
              <w:left w:val="single" w:color="DDDDDD" w:sz="1"/>
              <w:bottom w:val="single" w:color="DDDDDD" w:sz="1"/>
              <w:right w:val="single" w:color="DDDDDD" w:sz="1"/>
            </w:tcBorders>
            <w:shd w:fill="919194" w:val="clear"/>
            <w:tcMar>
              <w:top w:type="dxa" w:w="80"/>
              <w:left w:type="dxa" w:w="120"/>
              <w:bottom w:type="dxa" w:w="80"/>
              <w:right w:type="dxa" w:w="120"/>
            </w:tcMar>
          </w:tcPr>
          <w:p>
            <w:r>
              <w:rPr>
                <w:rFonts w:ascii="Arial" w:cs="Arial" w:eastAsia="Arial" w:hAnsi="Arial"/>
                <w:b/>
                <w:bCs/>
                <w:color w:val="FFFFFF"/>
                <w:sz w:val="18"/>
                <w:szCs w:val="18"/>
              </w:rPr>
              <w:t xml:space="preserve">Point Value</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bCs/>
                <w:color w:val="1A1A1A"/>
                <w:sz w:val="18"/>
                <w:szCs w:val="18"/>
              </w:rPr>
              <w:t xml:space="preserve">Narrative Memo — Select a provided business dataset. Apply the SCR framework to build a written data story (600–800 words) that concludes with a specific, defensible recommendation for a named executive audience.</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bCs/>
                <w:color w:val="7A5200"/>
                <w:sz w:val="18"/>
                <w:szCs w:val="18"/>
              </w:rPr>
              <w:t xml:space="preserve">150 points</w:t>
            </w:r>
          </w:p>
        </w:tc>
      </w:tr>
      <w:tr>
        <w:tc>
          <w:tcPr>
            <w:gridSpan w:val="2"/>
            <w:tcBorders>
              <w:top w:val="single" w:color="DDDDDD" w:sz="1"/>
              <w:left w:val="single" w:color="DDDDDD" w:sz="1"/>
              <w:bottom w:val="single" w:color="DDDDDD" w:sz="1"/>
              <w:right w:val="single" w:color="DDDDDD" w:sz="1"/>
            </w:tcBorders>
            <w:shd w:fill="F0F7F4" w:val="clear"/>
            <w:tcMar>
              <w:top w:type="dxa" w:w="80"/>
              <w:left w:type="dxa" w:w="120"/>
              <w:bottom w:type="dxa" w:w="80"/>
              <w:right w:type="dxa" w:w="120"/>
            </w:tcMar>
          </w:tcPr>
          <w:p>
            <w:r>
              <w:rPr>
                <w:rFonts w:ascii="Arial" w:cs="Arial" w:eastAsia="Arial" w:hAnsi="Arial"/>
                <w:b/>
                <w:bCs/>
                <w:color w:val="00543C"/>
                <w:sz w:val="18"/>
                <w:szCs w:val="18"/>
              </w:rPr>
              <w:t xml:space="preserve">Maps to CLOs:  </w:t>
            </w:r>
            <w:r>
              <w:rPr>
                <w:rFonts w:ascii="Arial" w:cs="Arial" w:eastAsia="Arial" w:hAnsi="Arial"/>
                <w:color w:val="555555"/>
                <w:sz w:val="18"/>
                <w:szCs w:val="18"/>
              </w:rPr>
              <w:t xml:space="preserve">CLO 2 (Construct) · CLO 3 (Design) · CLO 4 (Evaluate) — Students build and evaluate data arguments structured for executive audiences.</w:t>
            </w:r>
          </w:p>
        </w:tc>
      </w:tr>
    </w:tbl>
    <w:p>
      <w:pPr>
        <w:spacing w:after="40"/>
      </w:pPr>
      <w:r>
        <w:t xml:space="preserve"/>
      </w:r>
    </w:p>
    <w:p>
      <w:pPr>
        <w:pBdr>
          <w:left w:val="single" w:color="919194" w:sz="12"/>
        </w:pBdr>
        <w:spacing w:after="0" w:before="280"/>
        <w:ind w:left="160"/>
      </w:pPr>
      <w:r>
        <w:rPr>
          <w:rFonts w:ascii="Arial" w:cs="Arial" w:eastAsia="Arial" w:hAnsi="Arial"/>
          <w:b/>
          <w:bCs/>
          <w:color w:val="919194"/>
          <w:spacing w:val="60"/>
          <w:sz w:val="17"/>
          <w:szCs w:val="17"/>
        </w:rPr>
        <w:t xml:space="preserve">MODULE 3  ·  WEEKS 6–7</w:t>
      </w:r>
    </w:p>
    <w:p>
      <w:pPr>
        <w:pBdr>
          <w:left w:val="single" w:color="919194" w:sz="12"/>
        </w:pBdr>
        <w:spacing w:after="80" w:before="40"/>
        <w:ind w:left="160"/>
      </w:pPr>
      <w:r>
        <w:rPr>
          <w:rFonts w:ascii="Arial" w:cs="Arial" w:eastAsia="Arial" w:hAnsi="Arial"/>
          <w:b/>
          <w:bCs/>
          <w:color w:val="1A1A1A"/>
          <w:sz w:val="24"/>
          <w:szCs w:val="24"/>
        </w:rPr>
        <w:t xml:space="preserve">Show It: Presenting to Decision Makers</w:t>
      </w:r>
    </w:p>
    <w:p>
      <w:pPr>
        <w:spacing w:after="120" w:before="0"/>
        <w:ind w:left="160"/>
      </w:pPr>
      <w:r>
        <w:rPr>
          <w:rFonts w:ascii="Arial" w:cs="Arial" w:eastAsia="Arial" w:hAnsi="Arial"/>
          <w:i/>
          <w:iCs/>
          <w:color w:val="555555"/>
          <w:sz w:val="19"/>
          <w:szCs w:val="19"/>
        </w:rPr>
        <w:t xml:space="preserve">Students deliver a capstone data presentation to a simulated executive panel. Focus shifts to real-time communication: handling questions, defending methodology, and adapting the story under pressure.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Borders>
              <w:top w:val="single" w:color="DDDDDD" w:sz="1"/>
              <w:left w:val="single" w:color="DDDDDD" w:sz="1"/>
              <w:bottom w:val="single" w:color="DDDDDD" w:sz="1"/>
              <w:right w:val="single" w:color="DDDDDD" w:sz="1"/>
            </w:tcBorders>
            <w:shd w:fill="919194" w:val="clear"/>
            <w:tcMar>
              <w:top w:type="dxa" w:w="80"/>
              <w:left w:type="dxa" w:w="120"/>
              <w:bottom w:type="dxa" w:w="80"/>
              <w:right w:type="dxa" w:w="120"/>
            </w:tcMar>
          </w:tcPr>
          <w:p>
            <w:r>
              <w:rPr>
                <w:rFonts w:ascii="Arial" w:cs="Arial" w:eastAsia="Arial" w:hAnsi="Arial"/>
                <w:b/>
                <w:bCs/>
                <w:color w:val="FFFFFF"/>
                <w:sz w:val="18"/>
                <w:szCs w:val="18"/>
              </w:rPr>
              <w:t xml:space="preserve">Module Objectives</w:t>
            </w:r>
          </w:p>
        </w:tc>
        <w:tc>
          <w:tcPr>
            <w:tcBorders>
              <w:top w:val="single" w:color="DDDDDD" w:sz="1"/>
              <w:left w:val="single" w:color="DDDDDD" w:sz="1"/>
              <w:bottom w:val="single" w:color="DDDDDD" w:sz="1"/>
              <w:right w:val="single" w:color="DDDDDD" w:sz="1"/>
            </w:tcBorders>
            <w:shd w:fill="919194" w:val="clear"/>
            <w:tcMar>
              <w:top w:type="dxa" w:w="80"/>
              <w:left w:type="dxa" w:w="120"/>
              <w:bottom w:type="dxa" w:w="80"/>
              <w:right w:type="dxa" w:w="120"/>
            </w:tcMar>
          </w:tcPr>
          <w:p>
            <w:r>
              <w:rPr>
                <w:rFonts w:ascii="Arial" w:cs="Arial" w:eastAsia="Arial" w:hAnsi="Arial"/>
                <w:b/>
                <w:bCs/>
                <w:color w:val="FFFFFF"/>
                <w:sz w:val="18"/>
                <w:szCs w:val="18"/>
              </w:rPr>
              <w:t xml:space="preserve">Weekly Activity Sequence</w:t>
            </w:r>
          </w:p>
        </w:tc>
      </w:tr>
      <w:tr>
        <w:tc>
          <w:tcPr>
            <w:tcW w:type="dxa" w:w="4500"/>
            <w:tcBorders>
              <w:top w:val="single" w:color="DDDDDD" w:sz="1"/>
              <w:left w:val="single" w:color="DDDDDD" w:sz="1"/>
              <w:bottom w:val="single" w:color="DDDDDD" w:sz="1"/>
              <w:right w:val="single" w:color="DDDDDD" w:sz="1"/>
            </w:tcBorders>
            <w:tcMar>
              <w:top w:type="dxa" w:w="100"/>
              <w:left w:type="dxa" w:w="140"/>
              <w:bottom w:type="dxa" w:w="100"/>
              <w:right w:type="dxa" w:w="120"/>
            </w:tcMar>
          </w:tcPr>
          <w:p>
            <w:pPr>
              <w:pStyle w:val="ListParagraph"/>
              <w:numPr>
                <w:ilvl w:val="0"/>
                <w:numId w:val="2"/>
              </w:numPr>
              <w:spacing w:after="60"/>
            </w:pPr>
            <w:r>
              <w:rPr>
                <w:rFonts w:ascii="Arial" w:cs="Arial" w:eastAsia="Arial" w:hAnsi="Arial"/>
                <w:color w:val="555555"/>
                <w:sz w:val="18"/>
                <w:szCs w:val="18"/>
              </w:rPr>
              <w:t xml:space="preserve">Deliver a 10-minute data presentation using an executive briefing format</w:t>
            </w:r>
          </w:p>
          <w:p>
            <w:pPr>
              <w:pStyle w:val="ListParagraph"/>
              <w:numPr>
                <w:ilvl w:val="0"/>
                <w:numId w:val="2"/>
              </w:numPr>
              <w:spacing w:after="60"/>
            </w:pPr>
            <w:r>
              <w:rPr>
                <w:rFonts w:ascii="Arial" w:cs="Arial" w:eastAsia="Arial" w:hAnsi="Arial"/>
                <w:color w:val="555555"/>
                <w:sz w:val="18"/>
                <w:szCs w:val="18"/>
              </w:rPr>
              <w:t xml:space="preserve">Respond to panel questions about data sources, methodology, and recommendations</w:t>
            </w:r>
          </w:p>
          <w:p>
            <w:pPr>
              <w:pStyle w:val="ListParagraph"/>
              <w:numPr>
                <w:ilvl w:val="0"/>
                <w:numId w:val="2"/>
              </w:numPr>
              <w:spacing w:after="60"/>
            </w:pPr>
            <w:r>
              <w:rPr>
                <w:rFonts w:ascii="Arial" w:cs="Arial" w:eastAsia="Arial" w:hAnsi="Arial"/>
                <w:color w:val="555555"/>
                <w:sz w:val="18"/>
                <w:szCs w:val="18"/>
              </w:rPr>
              <w:t xml:space="preserve">Reflect on presentation effectiveness using a self-assessment rubric</w:t>
            </w:r>
          </w:p>
        </w:tc>
        <w:tc>
          <w:tcPr>
            <w:tcW w:type="dxa" w:w="4860"/>
            <w:tcBorders>
              <w:top w:val="single" w:color="DDDDDD" w:sz="1"/>
              <w:left w:val="single" w:color="DDDDDD" w:sz="1"/>
              <w:bottom w:val="single" w:color="DDDDDD" w:sz="1"/>
              <w:right w:val="single" w:color="DDDDDD" w:sz="1"/>
            </w:tcBorders>
            <w:tcMar>
              <w:top w:type="dxa" w:w="100"/>
              <w:left w:type="dxa" w:w="140"/>
              <w:bottom w:type="dxa" w:w="100"/>
              <w:right w:type="dxa" w:w="120"/>
            </w:tcMar>
          </w:tcPr>
          <w:p>
            <w:pPr>
              <w:pStyle w:val="ListParagraph"/>
              <w:numPr>
                <w:ilvl w:val="0"/>
                <w:numId w:val="2"/>
              </w:numPr>
              <w:spacing w:after="60"/>
            </w:pPr>
            <w:r>
              <w:rPr>
                <w:rFonts w:ascii="Arial" w:cs="Arial" w:eastAsia="Arial" w:hAnsi="Arial"/>
                <w:color w:val="555555"/>
                <w:sz w:val="18"/>
                <w:szCs w:val="18"/>
              </w:rPr>
              <w:t xml:space="preserve">Week 6: Record Dry Run Presentation (ungraded) — est. 2 hrs</w:t>
            </w:r>
          </w:p>
          <w:p>
            <w:pPr>
              <w:pStyle w:val="ListParagraph"/>
              <w:numPr>
                <w:ilvl w:val="0"/>
                <w:numId w:val="2"/>
              </w:numPr>
              <w:spacing w:after="60"/>
            </w:pPr>
            <w:r>
              <w:rPr>
                <w:rFonts w:ascii="Arial" w:cs="Arial" w:eastAsia="Arial" w:hAnsi="Arial"/>
                <w:color w:val="555555"/>
                <w:sz w:val="18"/>
                <w:szCs w:val="18"/>
              </w:rPr>
              <w:t xml:space="preserve">Week 6: Peer Q&amp;A Forum — watch two classmate dry runs and post two questions per video</w:t>
            </w:r>
          </w:p>
          <w:p>
            <w:pPr>
              <w:pStyle w:val="ListParagraph"/>
              <w:numPr>
                <w:ilvl w:val="0"/>
                <w:numId w:val="2"/>
              </w:numPr>
              <w:spacing w:after="60"/>
            </w:pPr>
            <w:r>
              <w:rPr>
                <w:rFonts w:ascii="Arial" w:cs="Arial" w:eastAsia="Arial" w:hAnsi="Arial"/>
                <w:color w:val="555555"/>
                <w:sz w:val="18"/>
                <w:szCs w:val="18"/>
              </w:rPr>
              <w:t xml:space="preserve">Week 7: Revise presentation based on peer Q&amp;A feedback — est. 1.5 hrs</w:t>
            </w:r>
          </w:p>
          <w:p>
            <w:pPr>
              <w:pStyle w:val="ListParagraph"/>
              <w:numPr>
                <w:ilvl w:val="0"/>
                <w:numId w:val="2"/>
              </w:numPr>
              <w:spacing w:after="60"/>
            </w:pPr>
            <w:r>
              <w:rPr>
                <w:rFonts w:ascii="Arial" w:cs="Arial" w:eastAsia="Arial" w:hAnsi="Arial"/>
                <w:color w:val="555555"/>
                <w:sz w:val="18"/>
                <w:szCs w:val="18"/>
              </w:rPr>
              <w:t xml:space="preserve">Week 7: Deliver final Executive Presentation (recorded or live panel) — est. 30 min</w:t>
            </w:r>
          </w:p>
          <w:p>
            <w:pPr>
              <w:pStyle w:val="ListParagraph"/>
              <w:numPr>
                <w:ilvl w:val="0"/>
                <w:numId w:val="2"/>
              </w:numPr>
              <w:spacing w:after="60"/>
            </w:pPr>
            <w:r>
              <w:rPr>
                <w:rFonts w:ascii="Arial" w:cs="Arial" w:eastAsia="Arial" w:hAnsi="Arial"/>
                <w:color w:val="555555"/>
                <w:sz w:val="18"/>
                <w:szCs w:val="18"/>
              </w:rPr>
              <w:t xml:space="preserve">Week 7: Complete Self-Assessment Reflection (500 words) — est. 45 min</w:t>
            </w:r>
          </w:p>
        </w:tc>
      </w:tr>
      <w:tr>
        <w:tc>
          <w:tcPr>
            <w:tcBorders>
              <w:top w:val="single" w:color="DDDDDD" w:sz="1"/>
              <w:left w:val="single" w:color="DDDDDD" w:sz="1"/>
              <w:bottom w:val="single" w:color="DDDDDD" w:sz="1"/>
              <w:right w:val="single" w:color="DDDDDD" w:sz="1"/>
            </w:tcBorders>
            <w:shd w:fill="919194" w:val="clear"/>
            <w:tcMar>
              <w:top w:type="dxa" w:w="80"/>
              <w:left w:type="dxa" w:w="120"/>
              <w:bottom w:type="dxa" w:w="80"/>
              <w:right w:type="dxa" w:w="120"/>
            </w:tcMar>
          </w:tcPr>
          <w:p>
            <w:r>
              <w:rPr>
                <w:rFonts w:ascii="Arial" w:cs="Arial" w:eastAsia="Arial" w:hAnsi="Arial"/>
                <w:b/>
                <w:bCs/>
                <w:color w:val="FFFFFF"/>
                <w:sz w:val="18"/>
                <w:szCs w:val="18"/>
              </w:rPr>
              <w:t xml:space="preserve">Summative Assessment</w:t>
            </w:r>
          </w:p>
        </w:tc>
        <w:tc>
          <w:tcPr>
            <w:tcBorders>
              <w:top w:val="single" w:color="DDDDDD" w:sz="1"/>
              <w:left w:val="single" w:color="DDDDDD" w:sz="1"/>
              <w:bottom w:val="single" w:color="DDDDDD" w:sz="1"/>
              <w:right w:val="single" w:color="DDDDDD" w:sz="1"/>
            </w:tcBorders>
            <w:shd w:fill="919194" w:val="clear"/>
            <w:tcMar>
              <w:top w:type="dxa" w:w="80"/>
              <w:left w:type="dxa" w:w="120"/>
              <w:bottom w:type="dxa" w:w="80"/>
              <w:right w:type="dxa" w:w="120"/>
            </w:tcMar>
          </w:tcPr>
          <w:p>
            <w:r>
              <w:rPr>
                <w:rFonts w:ascii="Arial" w:cs="Arial" w:eastAsia="Arial" w:hAnsi="Arial"/>
                <w:b/>
                <w:bCs/>
                <w:color w:val="FFFFFF"/>
                <w:sz w:val="18"/>
                <w:szCs w:val="18"/>
              </w:rPr>
              <w:t xml:space="preserve">Point Value</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bCs/>
                <w:color w:val="1A1A1A"/>
                <w:sz w:val="18"/>
                <w:szCs w:val="18"/>
              </w:rPr>
              <w:t xml:space="preserve">Executive Presentation — Deliver a 10-minute data presentation on your Module 2 dataset to a simulated executive panel. Include: opening insight, data story, recommendation, and response to at least two panel questions. Submit recording + self-assessment.</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bCs/>
                <w:color w:val="919194"/>
                <w:sz w:val="18"/>
                <w:szCs w:val="18"/>
              </w:rPr>
              <w:t xml:space="preserve">200 points</w:t>
            </w:r>
          </w:p>
        </w:tc>
      </w:tr>
      <w:tr>
        <w:tc>
          <w:tcPr>
            <w:gridSpan w:val="2"/>
            <w:tcBorders>
              <w:top w:val="single" w:color="DDDDDD" w:sz="1"/>
              <w:left w:val="single" w:color="DDDDDD" w:sz="1"/>
              <w:bottom w:val="single" w:color="DDDDDD" w:sz="1"/>
              <w:right w:val="single" w:color="DDDDDD" w:sz="1"/>
            </w:tcBorders>
            <w:shd w:fill="F0F7F4" w:val="clear"/>
            <w:tcMar>
              <w:top w:type="dxa" w:w="80"/>
              <w:left w:type="dxa" w:w="120"/>
              <w:bottom w:type="dxa" w:w="80"/>
              <w:right w:type="dxa" w:w="120"/>
            </w:tcMar>
          </w:tcPr>
          <w:p>
            <w:r>
              <w:rPr>
                <w:rFonts w:ascii="Arial" w:cs="Arial" w:eastAsia="Arial" w:hAnsi="Arial"/>
                <w:b/>
                <w:bCs/>
                <w:color w:val="00543C"/>
                <w:sz w:val="18"/>
                <w:szCs w:val="18"/>
              </w:rPr>
              <w:t xml:space="preserve">Maps to CLOs:  </w:t>
            </w:r>
            <w:r>
              <w:rPr>
                <w:rFonts w:ascii="Arial" w:cs="Arial" w:eastAsia="Arial" w:hAnsi="Arial"/>
                <w:color w:val="555555"/>
                <w:sz w:val="18"/>
                <w:szCs w:val="18"/>
              </w:rPr>
              <w:t xml:space="preserve">CLO 1 (Select) · CLO 2 (Construct) · CLO 3 (Design) · CLO 4 (Evaluate) · CLO 5 (Present) — Capstone module integrates all five course-level outcomes in a single live performance task.</w:t>
            </w:r>
          </w:p>
        </w:tc>
      </w:tr>
    </w:tbl>
    <w:p>
      <w:pPr>
        <w:spacing w:after="40"/>
      </w:pPr>
      <w:r>
        <w:t xml:space="preserve"/>
      </w:r>
    </w:p>
    <w:p>
      <w:pPr>
        <w:spacing w:after="80"/>
      </w:pPr>
      <w:r>
        <w:t xml:space="preserve"/>
      </w:r>
    </w:p>
    <w:p>
      <w:pPr>
        <w:pBdr>
          <w:left w:val="single" w:color="FDBB30" w:sz="8"/>
        </w:pBdr>
        <w:spacing w:after="80" w:before="200"/>
        <w:ind w:left="120"/>
      </w:pPr>
      <w:r>
        <w:rPr>
          <w:rFonts w:ascii="Arial" w:cs="Arial" w:eastAsia="Arial" w:hAnsi="Arial"/>
          <w:b/>
          <w:bCs/>
          <w:color w:val="00543C"/>
          <w:sz w:val="20"/>
          <w:szCs w:val="20"/>
        </w:rPr>
        <w:t xml:space="preserve">Weekly Pace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4160"/>
        <w:gridCol w:w="2400"/>
      </w:tblGrid>
      <w:tr>
        <w:tc>
          <w:tcPr>
            <w:tcBorders>
              <w:top w:val="single" w:color="DDDDDD" w:sz="1"/>
              <w:left w:val="single" w:color="DDDDDD" w:sz="1"/>
              <w:bottom w:val="single" w:color="DDDDDD" w:sz="1"/>
              <w:right w:val="single" w:color="DDDDDD" w:sz="1"/>
            </w:tcBorders>
            <w:shd w:fill="00543C" w:val="clear"/>
            <w:tcMar>
              <w:top w:type="dxa" w:w="80"/>
              <w:left w:type="dxa" w:w="120"/>
              <w:bottom w:type="dxa" w:w="80"/>
              <w:right w:type="dxa" w:w="120"/>
            </w:tcMar>
          </w:tcPr>
          <w:p>
            <w:r>
              <w:rPr>
                <w:rFonts w:ascii="Arial" w:cs="Arial" w:eastAsia="Arial" w:hAnsi="Arial"/>
                <w:b/>
                <w:bCs/>
                <w:color w:val="FFFFFF"/>
                <w:sz w:val="18"/>
                <w:szCs w:val="18"/>
              </w:rPr>
              <w:t xml:space="preserve">Week</w:t>
            </w:r>
          </w:p>
        </w:tc>
        <w:tc>
          <w:tcPr>
            <w:tcBorders>
              <w:top w:val="single" w:color="DDDDDD" w:sz="1"/>
              <w:left w:val="single" w:color="DDDDDD" w:sz="1"/>
              <w:bottom w:val="single" w:color="DDDDDD" w:sz="1"/>
              <w:right w:val="single" w:color="DDDDDD" w:sz="1"/>
            </w:tcBorders>
            <w:shd w:fill="00543C"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Borders>
              <w:top w:val="single" w:color="DDDDDD" w:sz="1"/>
              <w:left w:val="single" w:color="DDDDDD" w:sz="1"/>
              <w:bottom w:val="single" w:color="DDDDDD" w:sz="1"/>
              <w:right w:val="single" w:color="DDDDDD" w:sz="1"/>
            </w:tcBorders>
            <w:shd w:fill="00543C" w:val="clear"/>
            <w:tcMar>
              <w:top w:type="dxa" w:w="80"/>
              <w:left w:type="dxa" w:w="120"/>
              <w:bottom w:type="dxa" w:w="80"/>
              <w:right w:type="dxa" w:w="120"/>
            </w:tcMar>
          </w:tcPr>
          <w:p>
            <w:r>
              <w:rPr>
                <w:rFonts w:ascii="Arial" w:cs="Arial" w:eastAsia="Arial" w:hAnsi="Arial"/>
                <w:b/>
                <w:bCs/>
                <w:color w:val="FFFFFF"/>
                <w:sz w:val="18"/>
                <w:szCs w:val="18"/>
              </w:rPr>
              <w:t xml:space="preserve">Key Activities</w:t>
            </w:r>
          </w:p>
        </w:tc>
        <w:tc>
          <w:tcPr>
            <w:tcBorders>
              <w:top w:val="single" w:color="DDDDDD" w:sz="1"/>
              <w:left w:val="single" w:color="DDDDDD" w:sz="1"/>
              <w:bottom w:val="single" w:color="DDDDDD" w:sz="1"/>
              <w:right w:val="single" w:color="DDDDDD" w:sz="1"/>
            </w:tcBorders>
            <w:shd w:fill="00543C" w:val="clear"/>
            <w:tcMar>
              <w:top w:type="dxa" w:w="80"/>
              <w:left w:type="dxa" w:w="120"/>
              <w:bottom w:type="dxa" w:w="80"/>
              <w:right w:type="dxa" w:w="120"/>
            </w:tcMar>
          </w:tcPr>
          <w:p>
            <w:r>
              <w:rPr>
                <w:rFonts w:ascii="Arial" w:cs="Arial" w:eastAsia="Arial" w:hAnsi="Arial"/>
                <w:b/>
                <w:bCs/>
                <w:color w:val="FFFFFF"/>
                <w:sz w:val="18"/>
                <w:szCs w:val="18"/>
              </w:rPr>
              <w:t xml:space="preserve">Due</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Module 1</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Reading · Chart Matching Quiz · Discussion Post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Discussion</w:t>
            </w:r>
          </w:p>
        </w:tc>
      </w:tr>
      <w:tr>
        <w:tc>
          <w:tcPr>
            <w:tcBorders>
              <w:top w:val="single" w:color="DDDDDD" w:sz="1"/>
              <w:left w:val="single" w:color="DDDDDD" w:sz="1"/>
              <w:bottom w:val="single" w:color="DDDDDD" w:sz="1"/>
              <w:right w:val="single" w:color="DDDDDD" w:sz="1"/>
            </w:tcBorders>
            <w:shd w:fill="E8F2EE"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w:t>
            </w:r>
          </w:p>
        </w:tc>
        <w:tc>
          <w:tcPr>
            <w:tcBorders>
              <w:top w:val="single" w:color="DDDDDD" w:sz="1"/>
              <w:left w:val="single" w:color="DDDDDD" w:sz="1"/>
              <w:bottom w:val="single" w:color="DDDDDD" w:sz="1"/>
              <w:right w:val="single" w:color="DDDDDD" w:sz="1"/>
            </w:tcBorders>
            <w:shd w:fill="E8F2EE" w:val="clear"/>
            <w:tcMar>
              <w:top w:type="dxa" w:w="80"/>
              <w:left w:type="dxa" w:w="120"/>
              <w:bottom w:type="dxa" w:w="80"/>
              <w:right w:type="dxa" w:w="120"/>
            </w:tcMar>
          </w:tcPr>
          <w:p>
            <w:pPr>
              <w:jc w:val="left"/>
            </w:pPr>
            <w:r>
              <w:rPr>
                <w:rFonts w:ascii="Arial" w:cs="Arial" w:eastAsia="Arial" w:hAnsi="Arial"/>
                <w:b/>
                <w:bCs/>
                <w:color w:val="00543C"/>
                <w:sz w:val="18"/>
                <w:szCs w:val="18"/>
              </w:rPr>
              <w:t xml:space="preserve">Module 1</w:t>
            </w:r>
          </w:p>
        </w:tc>
        <w:tc>
          <w:tcPr>
            <w:tcBorders>
              <w:top w:val="single" w:color="DDDDDD" w:sz="1"/>
              <w:left w:val="single" w:color="DDDDDD" w:sz="1"/>
              <w:bottom w:val="single" w:color="DDDDDD" w:sz="1"/>
              <w:right w:val="single" w:color="DDDDDD" w:sz="1"/>
            </w:tcBorders>
            <w:shd w:fill="E8F2EE"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Visualization Critique</w:t>
            </w:r>
          </w:p>
        </w:tc>
        <w:tc>
          <w:tcPr>
            <w:tcBorders>
              <w:top w:val="single" w:color="DDDDDD" w:sz="1"/>
              <w:left w:val="single" w:color="DDDDDD" w:sz="1"/>
              <w:bottom w:val="single" w:color="DDDDDD" w:sz="1"/>
              <w:right w:val="single" w:color="DDDDDD" w:sz="1"/>
            </w:tcBorders>
            <w:shd w:fill="E8F2EE" w:val="clear"/>
            <w:tcMar>
              <w:top w:type="dxa" w:w="80"/>
              <w:left w:type="dxa" w:w="120"/>
              <w:bottom w:type="dxa" w:w="80"/>
              <w:right w:type="dxa" w:w="120"/>
            </w:tcMar>
          </w:tcPr>
          <w:p>
            <w:pPr>
              <w:jc w:val="left"/>
            </w:pPr>
            <w:r>
              <w:rPr>
                <w:rFonts w:ascii="Arial" w:cs="Arial" w:eastAsia="Arial" w:hAnsi="Arial"/>
                <w:b/>
                <w:bCs/>
                <w:color w:val="00543C"/>
                <w:sz w:val="18"/>
                <w:szCs w:val="18"/>
              </w:rPr>
              <w:t xml:space="preserve">Critique — 100 pts</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3</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Module 2</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SCR Lecture · Reading · Storyboard draft begins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w:t>
            </w:r>
          </w:p>
        </w:tc>
      </w:tr>
      <w:tr>
        <w:tc>
          <w:tcPr>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4</w:t>
            </w:r>
          </w:p>
        </w:tc>
        <w:tc>
          <w:tcPr>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pPr>
              <w:jc w:val="left"/>
            </w:pPr>
            <w:r>
              <w:rPr>
                <w:rFonts w:ascii="Arial" w:cs="Arial" w:eastAsia="Arial" w:hAnsi="Arial"/>
                <w:b/>
                <w:bCs/>
                <w:color w:val="7A5200"/>
                <w:sz w:val="18"/>
                <w:szCs w:val="18"/>
              </w:rPr>
              <w:t xml:space="preserve">Module 2</w:t>
            </w:r>
          </w:p>
        </w:tc>
        <w:tc>
          <w:tcPr>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Storyboard draft · Peer review</w:t>
            </w:r>
          </w:p>
        </w:tc>
        <w:tc>
          <w:tcPr>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pPr>
              <w:jc w:val="left"/>
            </w:pPr>
            <w:r>
              <w:rPr>
                <w:rFonts w:ascii="Arial" w:cs="Arial" w:eastAsia="Arial" w:hAnsi="Arial"/>
                <w:b/>
                <w:bCs/>
                <w:color w:val="7A5200"/>
                <w:sz w:val="18"/>
                <w:szCs w:val="18"/>
              </w:rPr>
              <w:t xml:space="preserve">Peer reviews</w:t>
            </w:r>
          </w:p>
        </w:tc>
      </w:tr>
      <w:tr>
        <w:tc>
          <w:tcPr>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5</w:t>
            </w:r>
          </w:p>
        </w:tc>
        <w:tc>
          <w:tcPr>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pPr>
              <w:jc w:val="left"/>
            </w:pPr>
            <w:r>
              <w:rPr>
                <w:rFonts w:ascii="Arial" w:cs="Arial" w:eastAsia="Arial" w:hAnsi="Arial"/>
                <w:b/>
                <w:bCs/>
                <w:color w:val="7A5200"/>
                <w:sz w:val="18"/>
                <w:szCs w:val="18"/>
              </w:rPr>
              <w:t xml:space="preserve">Module 2</w:t>
            </w:r>
          </w:p>
        </w:tc>
        <w:tc>
          <w:tcPr>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Narrative Memo revision &amp; submission</w:t>
            </w:r>
          </w:p>
        </w:tc>
        <w:tc>
          <w:tcPr>
            <w:tcBorders>
              <w:top w:val="single" w:color="DDDDDD" w:sz="1"/>
              <w:left w:val="single" w:color="DDDDDD" w:sz="1"/>
              <w:bottom w:val="single" w:color="DDDDDD" w:sz="1"/>
              <w:right w:val="single" w:color="DDDDDD" w:sz="1"/>
            </w:tcBorders>
            <w:shd w:fill="FFF8E7" w:val="clear"/>
            <w:tcMar>
              <w:top w:type="dxa" w:w="80"/>
              <w:left w:type="dxa" w:w="120"/>
              <w:bottom w:type="dxa" w:w="80"/>
              <w:right w:type="dxa" w:w="120"/>
            </w:tcMar>
          </w:tcPr>
          <w:p>
            <w:pPr>
              <w:jc w:val="left"/>
            </w:pPr>
            <w:r>
              <w:rPr>
                <w:rFonts w:ascii="Arial" w:cs="Arial" w:eastAsia="Arial" w:hAnsi="Arial"/>
                <w:b/>
                <w:bCs/>
                <w:color w:val="7A5200"/>
                <w:sz w:val="18"/>
                <w:szCs w:val="18"/>
              </w:rPr>
              <w:t xml:space="preserve">Memo — 150 pts</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6</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Module 3</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Dry Run recording · Peer Q&amp;A Forum</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Peer Q&amp;A posts</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7</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bCs/>
                <w:color w:val="555555"/>
                <w:sz w:val="18"/>
                <w:szCs w:val="18"/>
              </w:rPr>
              <w:t xml:space="preserve">Module 3</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Final presentation · Self-assessment reflection</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left"/>
            </w:pPr>
            <w:r>
              <w:rPr>
                <w:rFonts w:ascii="Arial" w:cs="Arial" w:eastAsia="Arial" w:hAnsi="Arial"/>
                <w:b/>
                <w:bCs/>
                <w:color w:val="555555"/>
                <w:sz w:val="18"/>
                <w:szCs w:val="18"/>
              </w:rPr>
              <w:t xml:space="preserve">Presentation — 200 pts</w:t>
            </w:r>
          </w:p>
        </w:tc>
      </w:tr>
    </w:tbl>
    <w:p>
      <w:pPr>
        <w:spacing w:after="160"/>
      </w:pPr>
      <w:r>
        <w:t xml:space="preserve"/>
      </w:r>
    </w:p>
    <w:p>
      <w:pPr>
        <w:pBdr>
          <w:left w:val="single" w:color="00543C" w:sz="12"/>
        </w:pBdr>
        <w:shd w:fill="E8F2EE" w:val="clear"/>
        <w:spacing w:after="0" w:before="200"/>
        <w:ind w:left="160" w:right="160"/>
      </w:pPr>
      <w:r>
        <w:rPr>
          <w:rFonts w:ascii="Arial" w:cs="Arial" w:eastAsia="Arial" w:hAnsi="Arial"/>
          <w:b/>
          <w:bCs/>
          <w:color w:val="00543C"/>
          <w:sz w:val="18"/>
          <w:szCs w:val="18"/>
        </w:rPr>
        <w:t xml:space="preserve">GenAI Workflow Note</w:t>
      </w:r>
    </w:p>
    <w:p>
      <w:pPr>
        <w:pBdr>
          <w:left w:val="single" w:color="00543C" w:sz="12"/>
        </w:pBdr>
        <w:shd w:fill="E8F2EE" w:val="clear"/>
        <w:spacing w:after="80" w:before="60"/>
        <w:ind w:left="160" w:right="160"/>
      </w:pPr>
      <w:r>
        <w:rPr>
          <w:rFonts w:ascii="Arial" w:cs="Arial" w:eastAsia="Arial" w:hAnsi="Arial"/>
          <w:color w:val="555555"/>
          <w:sz w:val="18"/>
          <w:szCs w:val="18"/>
        </w:rPr>
        <w:t xml:space="preserve">This Course Design Document is the input to the AI workflow demonstrated in the Symposium on AI in Higher Education. The outcomes, assessments, and module sequence on these pages were fed into Claude using the CRISP prompt framework to generate: the Canvas course home page, the Canvas welcome page, three module overview pages, a Visualization Critique assignment with rubric, a Narrative Memo assignment with rubric, and a Student Communication template. Total build time with AI assistance: under 45 minutes.</w:t>
      </w:r>
    </w:p>
    <w:sectPr>
      <w:headerReference w:type="default" r:id="rId7"/>
      <w:footerReference w:type="default" r:id="rId8"/>
      <w:pgSz w:w="12240" w:h="15840" w:orient="portrait"/>
      <w:pgMar w:top="72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19194"/>
        <w:sz w:val="16"/>
        <w:szCs w:val="16"/>
      </w:rPr>
      <w:t xml:space="preserve">Symposium on AI in Higher Education  ·  April 7, 2026  ·  Eric Lacy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00543C" w:val="clear"/>
      <w:spacing w:after="0" w:before="0"/>
      <w:ind w:left="0" w:right="0"/>
    </w:pPr>
    <w:r>
      <w:rPr>
        <w:rFonts w:ascii="Arial" w:cs="Arial" w:eastAsia="Arial" w:hAnsi="Arial"/>
        <w:color w:val="FFFFFF"/>
        <w:sz w:val="16"/>
        <w:szCs w:val="16"/>
      </w:rPr>
      <w:t xml:space="preserve">BUS 3410  ·  Data Storytelling for Business  ·  </w:t>
    </w:r>
    <w:r>
      <w:rPr>
        <w:rFonts w:ascii="Arial" w:cs="Arial" w:eastAsia="Arial" w:hAnsi="Arial"/>
        <w:b/>
        <w:bCs/>
        <w:color w:val="FDBB30"/>
        <w:sz w:val="16"/>
        <w:szCs w:val="16"/>
      </w:rPr>
      <w:t xml:space="preserve">Course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FFFFFF"/>
      <w:sz w:val="32"/>
      <w:szCs w:val="32"/>
    </w:rPr>
  </w:style>
  <w:style w:type="paragraph" w:styleId="Heading2">
    <w:name w:val="Heading 2"/>
    <w:basedOn w:val="Normal"/>
    <w:next w:val="Normal"/>
    <w:qFormat/>
    <w:pPr>
      <w:spacing w:after="80" w:before="200"/>
      <w:outlineLvl w:val="1"/>
    </w:pPr>
    <w:rPr>
      <w:rFonts w:ascii="Arial" w:cs="Arial" w:eastAsia="Arial" w:hAnsi="Arial"/>
      <w:b/>
      <w:bCs/>
      <w:color w:val="0054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2026-04-05T23:52:20.291Z</dcterms:created>
  <dcterms:modified xsi:type="dcterms:W3CDTF">2026-04-05T23:52:20.292Z</dcterms:modified>
</cp:coreProperties>
</file>

<file path=docProps/custom.xml><?xml version="1.0" encoding="utf-8"?>
<Properties xmlns="http://schemas.openxmlformats.org/officeDocument/2006/custom-properties" xmlns:vt="http://schemas.openxmlformats.org/officeDocument/2006/docPropsVTypes"/>
</file>