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F1777" w14:textId="31AEB4F2" w:rsidR="00BC71C9" w:rsidRPr="00F42ABD" w:rsidRDefault="000D2915" w:rsidP="00911A11">
      <w:pPr>
        <w:jc w:val="center"/>
        <w:rPr>
          <w:rFonts w:ascii="Times New Roman" w:hAnsi="Times New Roman" w:cs="Times New Roman"/>
          <w:b/>
          <w:bCs/>
          <w:sz w:val="22"/>
          <w:szCs w:val="22"/>
        </w:rPr>
      </w:pPr>
      <w:r w:rsidRPr="00F42ABD">
        <w:rPr>
          <w:rFonts w:ascii="Times New Roman" w:hAnsi="Times New Roman" w:cs="Times New Roman"/>
          <w:b/>
          <w:bCs/>
          <w:sz w:val="22"/>
          <w:szCs w:val="22"/>
        </w:rPr>
        <w:t xml:space="preserve">Memo: </w:t>
      </w:r>
      <w:r w:rsidR="00DC327E" w:rsidRPr="00F42ABD">
        <w:rPr>
          <w:rFonts w:ascii="Times New Roman" w:hAnsi="Times New Roman" w:cs="Times New Roman"/>
          <w:b/>
          <w:bCs/>
          <w:sz w:val="22"/>
          <w:szCs w:val="22"/>
        </w:rPr>
        <w:t xml:space="preserve">Replicating County Clustering in Wallace, </w:t>
      </w:r>
      <w:proofErr w:type="spellStart"/>
      <w:r w:rsidR="00DC327E" w:rsidRPr="00F42ABD">
        <w:rPr>
          <w:rFonts w:ascii="Times New Roman" w:hAnsi="Times New Roman" w:cs="Times New Roman"/>
          <w:b/>
          <w:bCs/>
          <w:sz w:val="22"/>
          <w:szCs w:val="22"/>
        </w:rPr>
        <w:t>Sharfstein</w:t>
      </w:r>
      <w:proofErr w:type="spellEnd"/>
      <w:r w:rsidR="00DC327E" w:rsidRPr="00F42ABD">
        <w:rPr>
          <w:rFonts w:ascii="Times New Roman" w:hAnsi="Times New Roman" w:cs="Times New Roman"/>
          <w:b/>
          <w:bCs/>
          <w:sz w:val="22"/>
          <w:szCs w:val="22"/>
        </w:rPr>
        <w:t>, and Kaminsky (2019)</w:t>
      </w:r>
    </w:p>
    <w:p w14:paraId="3BBAA18E" w14:textId="61F4C71F" w:rsidR="00BC71C9" w:rsidRPr="00F42ABD" w:rsidRDefault="00BC71C9" w:rsidP="000D2915">
      <w:pPr>
        <w:rPr>
          <w:rFonts w:ascii="Times New Roman" w:hAnsi="Times New Roman" w:cs="Times New Roman"/>
          <w:b/>
          <w:bCs/>
          <w:sz w:val="22"/>
          <w:szCs w:val="22"/>
        </w:rPr>
      </w:pPr>
      <w:r w:rsidRPr="00F42ABD">
        <w:rPr>
          <w:rFonts w:ascii="Times New Roman" w:hAnsi="Times New Roman" w:cs="Times New Roman"/>
          <w:b/>
          <w:bCs/>
          <w:sz w:val="22"/>
          <w:szCs w:val="22"/>
        </w:rPr>
        <w:t>Project Overview:</w:t>
      </w:r>
    </w:p>
    <w:p w14:paraId="27AF7EED" w14:textId="6B562DDD" w:rsidR="00F62D7E" w:rsidRPr="00F42ABD" w:rsidRDefault="00BC71C9" w:rsidP="000D2915">
      <w:pPr>
        <w:rPr>
          <w:rFonts w:ascii="Times New Roman" w:hAnsi="Times New Roman" w:cs="Times New Roman"/>
          <w:sz w:val="22"/>
          <w:szCs w:val="22"/>
        </w:rPr>
      </w:pPr>
      <w:r w:rsidRPr="00F42ABD">
        <w:rPr>
          <w:rFonts w:ascii="Times New Roman" w:hAnsi="Times New Roman" w:cs="Times New Roman"/>
          <w:sz w:val="22"/>
          <w:szCs w:val="22"/>
        </w:rPr>
        <w:tab/>
        <w:t xml:space="preserve">As detailed in my first memo, for my project I plan to replicate several of the main results of Wallace, </w:t>
      </w:r>
      <w:proofErr w:type="spellStart"/>
      <w:r w:rsidRPr="00F42ABD">
        <w:rPr>
          <w:rFonts w:ascii="Times New Roman" w:hAnsi="Times New Roman" w:cs="Times New Roman"/>
          <w:sz w:val="22"/>
          <w:szCs w:val="22"/>
        </w:rPr>
        <w:t>Sharfstein</w:t>
      </w:r>
      <w:proofErr w:type="spellEnd"/>
      <w:r w:rsidRPr="00F42ABD">
        <w:rPr>
          <w:rFonts w:ascii="Times New Roman" w:hAnsi="Times New Roman" w:cs="Times New Roman"/>
          <w:sz w:val="22"/>
          <w:szCs w:val="22"/>
        </w:rPr>
        <w:t xml:space="preserve">, and Kaminsky (2019). Particularly, this paper uses county-level data on </w:t>
      </w:r>
      <w:r w:rsidR="008D69E4" w:rsidRPr="00F42ABD">
        <w:rPr>
          <w:rFonts w:ascii="Times New Roman" w:hAnsi="Times New Roman" w:cs="Times New Roman"/>
          <w:sz w:val="22"/>
          <w:szCs w:val="22"/>
        </w:rPr>
        <w:t xml:space="preserve">eleven </w:t>
      </w:r>
      <w:r w:rsidRPr="00F42ABD">
        <w:rPr>
          <w:rFonts w:ascii="Times New Roman" w:hAnsi="Times New Roman" w:cs="Times New Roman"/>
          <w:sz w:val="22"/>
          <w:szCs w:val="22"/>
        </w:rPr>
        <w:t>demographic characteristics</w:t>
      </w:r>
      <w:r w:rsidR="008D69E4" w:rsidRPr="00F42ABD">
        <w:rPr>
          <w:rFonts w:ascii="Times New Roman" w:hAnsi="Times New Roman" w:cs="Times New Roman"/>
          <w:sz w:val="22"/>
          <w:szCs w:val="22"/>
        </w:rPr>
        <w:t>, which primarily come</w:t>
      </w:r>
      <w:r w:rsidR="000D61F7">
        <w:rPr>
          <w:rFonts w:ascii="Times New Roman" w:hAnsi="Times New Roman" w:cs="Times New Roman"/>
          <w:sz w:val="22"/>
          <w:szCs w:val="22"/>
        </w:rPr>
        <w:t>s</w:t>
      </w:r>
      <w:r w:rsidR="008D69E4" w:rsidRPr="00F42ABD">
        <w:rPr>
          <w:rFonts w:ascii="Times New Roman" w:hAnsi="Times New Roman" w:cs="Times New Roman"/>
          <w:sz w:val="22"/>
          <w:szCs w:val="22"/>
        </w:rPr>
        <w:t xml:space="preserve"> from the Census Bureau’s Census Population Estimates (</w:t>
      </w:r>
      <w:r w:rsidR="00DF5761">
        <w:rPr>
          <w:rFonts w:ascii="Times New Roman" w:hAnsi="Times New Roman" w:cs="Times New Roman"/>
          <w:sz w:val="22"/>
          <w:szCs w:val="22"/>
        </w:rPr>
        <w:t>“Population,” 2020</w:t>
      </w:r>
      <w:r w:rsidR="008D69E4" w:rsidRPr="00F42ABD">
        <w:rPr>
          <w:rFonts w:ascii="Times New Roman" w:hAnsi="Times New Roman" w:cs="Times New Roman"/>
          <w:sz w:val="22"/>
          <w:szCs w:val="22"/>
        </w:rPr>
        <w:t xml:space="preserve">) and </w:t>
      </w:r>
      <w:r w:rsidRPr="00F42ABD">
        <w:rPr>
          <w:rFonts w:ascii="Times New Roman" w:hAnsi="Times New Roman" w:cs="Times New Roman"/>
          <w:sz w:val="22"/>
          <w:szCs w:val="22"/>
        </w:rPr>
        <w:t>American Community Survey (“American Community Survey Data</w:t>
      </w:r>
      <w:r w:rsidR="000D61F7">
        <w:rPr>
          <w:rFonts w:ascii="Times New Roman" w:hAnsi="Times New Roman" w:cs="Times New Roman"/>
          <w:sz w:val="22"/>
          <w:szCs w:val="22"/>
        </w:rPr>
        <w:t>,</w:t>
      </w:r>
      <w:r w:rsidRPr="00F42ABD">
        <w:rPr>
          <w:rFonts w:ascii="Times New Roman" w:hAnsi="Times New Roman" w:cs="Times New Roman"/>
          <w:sz w:val="22"/>
          <w:szCs w:val="22"/>
        </w:rPr>
        <w:t xml:space="preserve">” 2020). The authors then apply </w:t>
      </w:r>
      <w:r w:rsidRPr="00F42ABD">
        <w:rPr>
          <w:rFonts w:ascii="Times New Roman" w:hAnsi="Times New Roman" w:cs="Times New Roman"/>
          <w:i/>
          <w:iCs/>
          <w:sz w:val="22"/>
          <w:szCs w:val="22"/>
        </w:rPr>
        <w:t>k</w:t>
      </w:r>
      <w:r w:rsidRPr="00F42ABD">
        <w:rPr>
          <w:rFonts w:ascii="Times New Roman" w:hAnsi="Times New Roman" w:cs="Times New Roman"/>
          <w:sz w:val="22"/>
          <w:szCs w:val="22"/>
        </w:rPr>
        <w:t xml:space="preserve">-means </w:t>
      </w:r>
      <w:r w:rsidR="00035947" w:rsidRPr="00F42ABD">
        <w:rPr>
          <w:rFonts w:ascii="Times New Roman" w:hAnsi="Times New Roman" w:cs="Times New Roman"/>
          <w:sz w:val="22"/>
          <w:szCs w:val="22"/>
        </w:rPr>
        <w:t xml:space="preserve">clustering to this county-level data in order to </w:t>
      </w:r>
      <w:r w:rsidR="008D69E4" w:rsidRPr="00F42ABD">
        <w:rPr>
          <w:rFonts w:ascii="Times New Roman" w:hAnsi="Times New Roman" w:cs="Times New Roman"/>
          <w:sz w:val="22"/>
          <w:szCs w:val="22"/>
        </w:rPr>
        <w:t>identify groups of counties with similar characteristics</w:t>
      </w:r>
      <w:r w:rsidR="00B51CC7" w:rsidRPr="00F42ABD">
        <w:rPr>
          <w:rFonts w:ascii="Times New Roman" w:hAnsi="Times New Roman" w:cs="Times New Roman"/>
          <w:sz w:val="22"/>
          <w:szCs w:val="22"/>
        </w:rPr>
        <w:t xml:space="preserve"> and end up identifying eight </w:t>
      </w:r>
      <w:r w:rsidR="000A35CC" w:rsidRPr="00F42ABD">
        <w:rPr>
          <w:rFonts w:ascii="Times New Roman" w:hAnsi="Times New Roman" w:cs="Times New Roman"/>
          <w:sz w:val="22"/>
          <w:szCs w:val="22"/>
        </w:rPr>
        <w:t>clusters</w:t>
      </w:r>
      <w:r w:rsidR="00B51CC7" w:rsidRPr="00F42ABD">
        <w:rPr>
          <w:rFonts w:ascii="Times New Roman" w:hAnsi="Times New Roman" w:cs="Times New Roman"/>
          <w:sz w:val="22"/>
          <w:szCs w:val="22"/>
        </w:rPr>
        <w:t>.</w:t>
      </w:r>
      <w:r w:rsidR="000A35CC" w:rsidRPr="00F42ABD">
        <w:rPr>
          <w:rFonts w:ascii="Times New Roman" w:hAnsi="Times New Roman" w:cs="Times New Roman"/>
          <w:sz w:val="22"/>
          <w:szCs w:val="22"/>
        </w:rPr>
        <w:t xml:space="preserve"> The authors then use three variables on county health characteristics from the Robert Wood Johnson Foundation (“Explore Health Rankings,” 2020)</w:t>
      </w:r>
      <w:r w:rsidR="00857B60" w:rsidRPr="00F42ABD">
        <w:rPr>
          <w:rFonts w:ascii="Times New Roman" w:hAnsi="Times New Roman" w:cs="Times New Roman"/>
          <w:sz w:val="22"/>
          <w:szCs w:val="22"/>
        </w:rPr>
        <w:t xml:space="preserve"> to assign percentile ranks to these counties both nationwide and among counties within their cluster. </w:t>
      </w:r>
      <w:r w:rsidR="00911A11" w:rsidRPr="00F42ABD">
        <w:rPr>
          <w:rFonts w:ascii="Times New Roman" w:hAnsi="Times New Roman" w:cs="Times New Roman"/>
          <w:sz w:val="22"/>
          <w:szCs w:val="22"/>
        </w:rPr>
        <w:t xml:space="preserve">Overall, I plan to reconstruct the authors’ dataset and apply </w:t>
      </w:r>
      <w:r w:rsidR="00911A11" w:rsidRPr="00F42ABD">
        <w:rPr>
          <w:rFonts w:ascii="Times New Roman" w:hAnsi="Times New Roman" w:cs="Times New Roman"/>
          <w:i/>
          <w:iCs/>
          <w:sz w:val="22"/>
          <w:szCs w:val="22"/>
        </w:rPr>
        <w:t>k</w:t>
      </w:r>
      <w:r w:rsidR="00911A11" w:rsidRPr="00F42ABD">
        <w:rPr>
          <w:rFonts w:ascii="Times New Roman" w:hAnsi="Times New Roman" w:cs="Times New Roman"/>
          <w:sz w:val="22"/>
          <w:szCs w:val="22"/>
        </w:rPr>
        <w:t>-means clustering as well as density-based and hierarchical clustering to the data.</w:t>
      </w:r>
    </w:p>
    <w:p w14:paraId="697E23EA" w14:textId="77777777" w:rsidR="00F62D7E" w:rsidRPr="00F42ABD" w:rsidRDefault="00F62D7E" w:rsidP="000D2915">
      <w:pPr>
        <w:rPr>
          <w:rFonts w:ascii="Times New Roman" w:hAnsi="Times New Roman" w:cs="Times New Roman"/>
          <w:b/>
          <w:bCs/>
          <w:sz w:val="22"/>
          <w:szCs w:val="22"/>
        </w:rPr>
      </w:pPr>
      <w:r w:rsidRPr="00F42ABD">
        <w:rPr>
          <w:rFonts w:ascii="Times New Roman" w:hAnsi="Times New Roman" w:cs="Times New Roman"/>
          <w:b/>
          <w:bCs/>
          <w:sz w:val="22"/>
          <w:szCs w:val="22"/>
        </w:rPr>
        <w:t>Data:</w:t>
      </w:r>
    </w:p>
    <w:p w14:paraId="350CAAFD" w14:textId="77777777" w:rsidR="000D2022" w:rsidRPr="00F42ABD" w:rsidRDefault="00F62D7E" w:rsidP="000D2022">
      <w:pPr>
        <w:rPr>
          <w:rFonts w:ascii="Times New Roman" w:hAnsi="Times New Roman" w:cs="Times New Roman"/>
          <w:sz w:val="22"/>
          <w:szCs w:val="22"/>
        </w:rPr>
      </w:pPr>
      <w:r w:rsidRPr="00F42ABD">
        <w:rPr>
          <w:rFonts w:ascii="Times New Roman" w:hAnsi="Times New Roman" w:cs="Times New Roman"/>
          <w:sz w:val="22"/>
          <w:szCs w:val="22"/>
        </w:rPr>
        <w:tab/>
        <w:t xml:space="preserve">As previously mentioned, the authors’ data primarily comes from </w:t>
      </w:r>
      <w:r w:rsidR="0095704E" w:rsidRPr="00F42ABD">
        <w:rPr>
          <w:rFonts w:ascii="Times New Roman" w:hAnsi="Times New Roman" w:cs="Times New Roman"/>
          <w:sz w:val="22"/>
          <w:szCs w:val="22"/>
        </w:rPr>
        <w:t>two Census Bureau sources and the Robert Wood Johnson Foundation</w:t>
      </w:r>
      <w:r w:rsidR="0037083B" w:rsidRPr="00F42ABD">
        <w:rPr>
          <w:rFonts w:ascii="Times New Roman" w:hAnsi="Times New Roman" w:cs="Times New Roman"/>
          <w:sz w:val="22"/>
          <w:szCs w:val="22"/>
        </w:rPr>
        <w:t>’s County Health Rankings dataset</w:t>
      </w:r>
      <w:r w:rsidR="0095704E" w:rsidRPr="00F42ABD">
        <w:rPr>
          <w:rFonts w:ascii="Times New Roman" w:hAnsi="Times New Roman" w:cs="Times New Roman"/>
          <w:sz w:val="22"/>
          <w:szCs w:val="22"/>
        </w:rPr>
        <w:t xml:space="preserve"> (“Explore Health Rankings,” 2020).</w:t>
      </w:r>
      <w:r w:rsidR="0037083B" w:rsidRPr="00F42ABD">
        <w:rPr>
          <w:rFonts w:ascii="Times New Roman" w:hAnsi="Times New Roman" w:cs="Times New Roman"/>
          <w:sz w:val="22"/>
          <w:szCs w:val="22"/>
        </w:rPr>
        <w:t xml:space="preserve"> </w:t>
      </w:r>
      <w:r w:rsidR="00725937" w:rsidRPr="00F42ABD">
        <w:rPr>
          <w:rFonts w:ascii="Times New Roman" w:hAnsi="Times New Roman" w:cs="Times New Roman"/>
          <w:sz w:val="22"/>
          <w:szCs w:val="22"/>
        </w:rPr>
        <w:t xml:space="preserve">They use demographic data to conduct the actual clustering, and then use the clusters to assign percentile ranks to counties on three metrics: population-adjusted driving deaths, </w:t>
      </w:r>
      <w:r w:rsidR="003810EB" w:rsidRPr="00F42ABD">
        <w:rPr>
          <w:rFonts w:ascii="Times New Roman" w:hAnsi="Times New Roman" w:cs="Times New Roman"/>
          <w:sz w:val="22"/>
          <w:szCs w:val="22"/>
        </w:rPr>
        <w:t xml:space="preserve">the percent of the adult population that smokes, and the percent of the adult population that is obese (Wallace, </w:t>
      </w:r>
      <w:proofErr w:type="spellStart"/>
      <w:r w:rsidR="003810EB" w:rsidRPr="00F42ABD">
        <w:rPr>
          <w:rFonts w:ascii="Times New Roman" w:hAnsi="Times New Roman" w:cs="Times New Roman"/>
          <w:sz w:val="22"/>
          <w:szCs w:val="22"/>
        </w:rPr>
        <w:t>Sharfstein</w:t>
      </w:r>
      <w:proofErr w:type="spellEnd"/>
      <w:r w:rsidR="003810EB" w:rsidRPr="00F42ABD">
        <w:rPr>
          <w:rFonts w:ascii="Times New Roman" w:hAnsi="Times New Roman" w:cs="Times New Roman"/>
          <w:sz w:val="22"/>
          <w:szCs w:val="22"/>
        </w:rPr>
        <w:t xml:space="preserve">, and Kaminsky, 2019). </w:t>
      </w:r>
      <w:r w:rsidR="0037083B" w:rsidRPr="00F42ABD">
        <w:rPr>
          <w:rFonts w:ascii="Times New Roman" w:hAnsi="Times New Roman" w:cs="Times New Roman"/>
          <w:sz w:val="22"/>
          <w:szCs w:val="22"/>
        </w:rPr>
        <w:t xml:space="preserve">Most of their data is for years during the period 2010-2014. I use the same data sources and variables as Wallace, </w:t>
      </w:r>
      <w:proofErr w:type="spellStart"/>
      <w:r w:rsidR="0037083B" w:rsidRPr="00F42ABD">
        <w:rPr>
          <w:rFonts w:ascii="Times New Roman" w:hAnsi="Times New Roman" w:cs="Times New Roman"/>
          <w:sz w:val="22"/>
          <w:szCs w:val="22"/>
        </w:rPr>
        <w:t>Sharfstein</w:t>
      </w:r>
      <w:proofErr w:type="spellEnd"/>
      <w:r w:rsidR="0037083B" w:rsidRPr="00F42ABD">
        <w:rPr>
          <w:rFonts w:ascii="Times New Roman" w:hAnsi="Times New Roman" w:cs="Times New Roman"/>
          <w:sz w:val="22"/>
          <w:szCs w:val="22"/>
        </w:rPr>
        <w:t>, and Kaminsky (2019), but generally use the most recent available data when possible (generally, the period 2014-2018). Time and space permitting, I may recreate my analysis using the years of their data to see if changes in these variables</w:t>
      </w:r>
      <w:r w:rsidR="00725937" w:rsidRPr="00F42ABD">
        <w:rPr>
          <w:rFonts w:ascii="Times New Roman" w:hAnsi="Times New Roman" w:cs="Times New Roman"/>
          <w:sz w:val="22"/>
          <w:szCs w:val="22"/>
        </w:rPr>
        <w:t xml:space="preserve"> over this period substantially impacted the results.</w:t>
      </w:r>
    </w:p>
    <w:p w14:paraId="3B097A89" w14:textId="15BC6C80" w:rsidR="00A333A1" w:rsidRPr="00F42ABD" w:rsidRDefault="00911A11" w:rsidP="000D2022">
      <w:pPr>
        <w:ind w:firstLine="720"/>
        <w:rPr>
          <w:rFonts w:ascii="TimesNewRomanPSMT" w:hAnsi="TimesNewRomanPSMT"/>
          <w:sz w:val="22"/>
          <w:szCs w:val="22"/>
        </w:rPr>
      </w:pPr>
      <w:r w:rsidRPr="00F42ABD">
        <w:rPr>
          <w:rFonts w:ascii="Times New Roman" w:hAnsi="Times New Roman" w:cs="Times New Roman"/>
          <w:sz w:val="22"/>
          <w:szCs w:val="22"/>
        </w:rPr>
        <w:t>First, most of the data on county-level demographics comes from the American Community Survey (“American Community Survey</w:t>
      </w:r>
      <w:r w:rsidR="007000F5">
        <w:rPr>
          <w:rFonts w:ascii="Times New Roman" w:hAnsi="Times New Roman" w:cs="Times New Roman"/>
          <w:sz w:val="22"/>
          <w:szCs w:val="22"/>
        </w:rPr>
        <w:t xml:space="preserve"> Data</w:t>
      </w:r>
      <w:r w:rsidRPr="00F42ABD">
        <w:rPr>
          <w:rFonts w:ascii="Times New Roman" w:hAnsi="Times New Roman" w:cs="Times New Roman"/>
          <w:sz w:val="22"/>
          <w:szCs w:val="22"/>
        </w:rPr>
        <w:t xml:space="preserve">,” 2020). Particularly, we obtain the following variables used by Wallace, </w:t>
      </w:r>
      <w:proofErr w:type="spellStart"/>
      <w:r w:rsidRPr="00F42ABD">
        <w:rPr>
          <w:rFonts w:ascii="Times New Roman" w:hAnsi="Times New Roman" w:cs="Times New Roman"/>
          <w:sz w:val="22"/>
          <w:szCs w:val="22"/>
        </w:rPr>
        <w:t>Sharfstein</w:t>
      </w:r>
      <w:proofErr w:type="spellEnd"/>
      <w:r w:rsidRPr="00F42ABD">
        <w:rPr>
          <w:rFonts w:ascii="Times New Roman" w:hAnsi="Times New Roman" w:cs="Times New Roman"/>
          <w:sz w:val="22"/>
          <w:szCs w:val="22"/>
        </w:rPr>
        <w:t>, and Kaminsky (2019): the percent of the population with at least some college education, the percent of the population without health insurance, the percent of the population currently married, the median age, the percent of the population that is female, the percent of the population that is in the labor force and unemployed, and four variables related to the racial composition of the county. (These are all described in more detail in the table below.</w:t>
      </w:r>
      <w:r w:rsidR="003F7421" w:rsidRPr="00F42ABD">
        <w:rPr>
          <w:rFonts w:ascii="Times New Roman" w:hAnsi="Times New Roman" w:cs="Times New Roman"/>
          <w:sz w:val="22"/>
          <w:szCs w:val="22"/>
        </w:rPr>
        <w:t xml:space="preserve"> We also collect, and provide summary statistics for, total population but do not plan to use that</w:t>
      </w:r>
      <w:r w:rsidR="00574CBE">
        <w:rPr>
          <w:rFonts w:ascii="Times New Roman" w:hAnsi="Times New Roman" w:cs="Times New Roman"/>
          <w:sz w:val="22"/>
          <w:szCs w:val="22"/>
        </w:rPr>
        <w:t xml:space="preserve"> variable</w:t>
      </w:r>
      <w:r w:rsidR="003F7421" w:rsidRPr="00F42ABD">
        <w:rPr>
          <w:rFonts w:ascii="Times New Roman" w:hAnsi="Times New Roman" w:cs="Times New Roman"/>
          <w:sz w:val="22"/>
          <w:szCs w:val="22"/>
        </w:rPr>
        <w:t xml:space="preserve"> in clustering.</w:t>
      </w:r>
      <w:r w:rsidRPr="00F42ABD">
        <w:rPr>
          <w:rFonts w:ascii="Times New Roman" w:hAnsi="Times New Roman" w:cs="Times New Roman"/>
          <w:sz w:val="22"/>
          <w:szCs w:val="22"/>
        </w:rPr>
        <w:t>)</w:t>
      </w:r>
      <w:r w:rsidR="000D2022" w:rsidRPr="00F42ABD">
        <w:rPr>
          <w:rFonts w:ascii="Times New Roman" w:hAnsi="Times New Roman" w:cs="Times New Roman"/>
          <w:sz w:val="22"/>
          <w:szCs w:val="22"/>
        </w:rPr>
        <w:t xml:space="preserve"> </w:t>
      </w:r>
      <w:r w:rsidR="000D2022" w:rsidRPr="00F42ABD">
        <w:rPr>
          <w:rFonts w:ascii="TimesNewRomanPSMT" w:hAnsi="TimesNewRomanPSMT"/>
          <w:sz w:val="22"/>
          <w:szCs w:val="22"/>
        </w:rPr>
        <w:t xml:space="preserve">The </w:t>
      </w:r>
      <w:r w:rsidR="00A333A1" w:rsidRPr="00F42ABD">
        <w:rPr>
          <w:rFonts w:ascii="TimesNewRomanPSMT" w:hAnsi="TimesNewRomanPSMT"/>
          <w:sz w:val="22"/>
          <w:szCs w:val="22"/>
        </w:rPr>
        <w:t>American Community Survey (ACS) is a random survey by the Census Bureau of households in each year and produces estimates of a vast array of data points at many levels of geographic aggregation</w:t>
      </w:r>
      <w:r w:rsidR="000D2022" w:rsidRPr="00F42ABD">
        <w:rPr>
          <w:rFonts w:ascii="TimesNewRomanPSMT" w:hAnsi="TimesNewRomanPSMT"/>
          <w:sz w:val="22"/>
          <w:szCs w:val="22"/>
        </w:rPr>
        <w:t>.</w:t>
      </w:r>
      <w:r w:rsidR="00A333A1" w:rsidRPr="00F42ABD">
        <w:rPr>
          <w:rFonts w:ascii="TimesNewRomanPSMT" w:hAnsi="TimesNewRomanPSMT"/>
          <w:sz w:val="22"/>
          <w:szCs w:val="22"/>
        </w:rPr>
        <w:t xml:space="preserve"> Because one-year estimates </w:t>
      </w:r>
      <w:r w:rsidR="00D94FA3" w:rsidRPr="00F42ABD">
        <w:rPr>
          <w:rFonts w:ascii="TimesNewRomanPSMT" w:hAnsi="TimesNewRomanPSMT"/>
          <w:sz w:val="22"/>
          <w:szCs w:val="22"/>
        </w:rPr>
        <w:t>exclude counties with small populations (“When to Use 1-year, 3-year, or 5-year Estimates</w:t>
      </w:r>
      <w:r w:rsidR="00B23539">
        <w:rPr>
          <w:rFonts w:ascii="TimesNewRomanPSMT" w:hAnsi="TimesNewRomanPSMT"/>
          <w:sz w:val="22"/>
          <w:szCs w:val="22"/>
        </w:rPr>
        <w:t>,</w:t>
      </w:r>
      <w:r w:rsidR="00D94FA3" w:rsidRPr="00F42ABD">
        <w:rPr>
          <w:rFonts w:ascii="TimesNewRomanPSMT" w:hAnsi="TimesNewRomanPSMT"/>
          <w:sz w:val="22"/>
          <w:szCs w:val="22"/>
        </w:rPr>
        <w:t>” 2019)</w:t>
      </w:r>
      <w:r w:rsidR="00F1068D" w:rsidRPr="00F42ABD">
        <w:rPr>
          <w:rFonts w:ascii="TimesNewRomanPSMT" w:hAnsi="TimesNewRomanPSMT"/>
          <w:sz w:val="22"/>
          <w:szCs w:val="22"/>
        </w:rPr>
        <w:t xml:space="preserve">, we use the 2014-2018 five-year estimates, which </w:t>
      </w:r>
      <w:r w:rsidR="00631F37" w:rsidRPr="00F42ABD">
        <w:rPr>
          <w:rFonts w:ascii="TimesNewRomanPSMT" w:hAnsi="TimesNewRomanPSMT"/>
          <w:sz w:val="22"/>
          <w:szCs w:val="22"/>
        </w:rPr>
        <w:t xml:space="preserve">are the most recently available such </w:t>
      </w:r>
      <w:r w:rsidR="009B2D11" w:rsidRPr="00F42ABD">
        <w:rPr>
          <w:rFonts w:ascii="TimesNewRomanPSMT" w:hAnsi="TimesNewRomanPSMT"/>
          <w:sz w:val="22"/>
          <w:szCs w:val="22"/>
        </w:rPr>
        <w:t>estimates</w:t>
      </w:r>
      <w:r w:rsidR="00631F37" w:rsidRPr="00F42ABD">
        <w:rPr>
          <w:rFonts w:ascii="TimesNewRomanPSMT" w:hAnsi="TimesNewRomanPSMT"/>
          <w:sz w:val="22"/>
          <w:szCs w:val="22"/>
        </w:rPr>
        <w:t xml:space="preserve"> and </w:t>
      </w:r>
      <w:r w:rsidR="00F1068D" w:rsidRPr="00F42ABD">
        <w:rPr>
          <w:rFonts w:ascii="TimesNewRomanPSMT" w:hAnsi="TimesNewRomanPSMT"/>
          <w:sz w:val="22"/>
          <w:szCs w:val="22"/>
        </w:rPr>
        <w:t>are averages of values for each county over the years 2014-2018. These five-year averages can</w:t>
      </w:r>
      <w:r w:rsidR="005A64D2" w:rsidRPr="00F42ABD">
        <w:rPr>
          <w:rFonts w:ascii="TimesNewRomanPSMT" w:hAnsi="TimesNewRomanPSMT"/>
          <w:sz w:val="22"/>
          <w:szCs w:val="22"/>
        </w:rPr>
        <w:t xml:space="preserve"> </w:t>
      </w:r>
      <w:r w:rsidR="00F1068D" w:rsidRPr="00F42ABD">
        <w:rPr>
          <w:rFonts w:ascii="TimesNewRomanPSMT" w:hAnsi="TimesNewRomanPSMT"/>
          <w:sz w:val="22"/>
          <w:szCs w:val="22"/>
        </w:rPr>
        <w:t xml:space="preserve">be roughly interpreted as </w:t>
      </w:r>
      <w:r w:rsidR="005A64D2" w:rsidRPr="00F42ABD">
        <w:rPr>
          <w:rFonts w:ascii="TimesNewRomanPSMT" w:hAnsi="TimesNewRomanPSMT"/>
          <w:sz w:val="22"/>
          <w:szCs w:val="22"/>
        </w:rPr>
        <w:t>values for 2016, assuming a linear trend of variables over this period.</w:t>
      </w:r>
    </w:p>
    <w:p w14:paraId="00726EAA" w14:textId="436636E8" w:rsidR="00282FE6" w:rsidRPr="00F42ABD" w:rsidRDefault="00282FE6" w:rsidP="000D2022">
      <w:pPr>
        <w:ind w:firstLine="720"/>
        <w:rPr>
          <w:rFonts w:ascii="TimesNewRomanPSMT" w:hAnsi="TimesNewRomanPSMT"/>
          <w:sz w:val="22"/>
          <w:szCs w:val="22"/>
        </w:rPr>
      </w:pPr>
      <w:r w:rsidRPr="00F42ABD">
        <w:rPr>
          <w:rFonts w:ascii="TimesNewRomanPSMT" w:hAnsi="TimesNewRomanPSMT"/>
          <w:sz w:val="22"/>
          <w:szCs w:val="22"/>
        </w:rPr>
        <w:t xml:space="preserve">One demographic variable that is not available from the ACS is the percent of the county population that </w:t>
      </w:r>
      <w:r w:rsidR="008C2C1F" w:rsidRPr="00F42ABD">
        <w:rPr>
          <w:rFonts w:ascii="TimesNewRomanPSMT" w:hAnsi="TimesNewRomanPSMT"/>
          <w:sz w:val="22"/>
          <w:szCs w:val="22"/>
        </w:rPr>
        <w:t>lives in a rural area, which comes from the 2010 decennial Census (“By Decade</w:t>
      </w:r>
      <w:r w:rsidR="003F7421" w:rsidRPr="00F42ABD">
        <w:rPr>
          <w:rFonts w:ascii="TimesNewRomanPSMT" w:hAnsi="TimesNewRomanPSMT"/>
          <w:sz w:val="22"/>
          <w:szCs w:val="22"/>
        </w:rPr>
        <w:t>,</w:t>
      </w:r>
      <w:r w:rsidR="008C2C1F" w:rsidRPr="00F42ABD">
        <w:rPr>
          <w:rFonts w:ascii="TimesNewRomanPSMT" w:hAnsi="TimesNewRomanPSMT"/>
          <w:sz w:val="22"/>
          <w:szCs w:val="22"/>
        </w:rPr>
        <w:t>”</w:t>
      </w:r>
      <w:r w:rsidR="003F7421" w:rsidRPr="00F42ABD">
        <w:rPr>
          <w:rFonts w:ascii="TimesNewRomanPSMT" w:hAnsi="TimesNewRomanPSMT"/>
          <w:sz w:val="22"/>
          <w:szCs w:val="22"/>
        </w:rPr>
        <w:t xml:space="preserve"> </w:t>
      </w:r>
      <w:r w:rsidR="00895294">
        <w:rPr>
          <w:rFonts w:ascii="TimesNewRomanPSMT" w:hAnsi="TimesNewRomanPSMT"/>
          <w:sz w:val="22"/>
          <w:szCs w:val="22"/>
        </w:rPr>
        <w:t>2018</w:t>
      </w:r>
      <w:r w:rsidR="008C2C1F" w:rsidRPr="00F42ABD">
        <w:rPr>
          <w:rFonts w:ascii="TimesNewRomanPSMT" w:hAnsi="TimesNewRomanPSMT"/>
          <w:sz w:val="22"/>
          <w:szCs w:val="22"/>
        </w:rPr>
        <w:t>). Unlike the American Community Survey, the Census surveys the entire population and thus, in theory, has no margin of error to its estimates.</w:t>
      </w:r>
      <w:r w:rsidR="003F7421" w:rsidRPr="00F42ABD">
        <w:rPr>
          <w:rFonts w:ascii="TimesNewRomanPSMT" w:hAnsi="TimesNewRomanPSMT"/>
          <w:sz w:val="22"/>
          <w:szCs w:val="22"/>
        </w:rPr>
        <w:t xml:space="preserve"> For this variable, anyone who does not live in an “urban cluster” of at least 2,500 residents meeting certain population density thresholds is considered to live in a rural area (“Urban and Rural,” 2020).</w:t>
      </w:r>
    </w:p>
    <w:p w14:paraId="032BBFFF" w14:textId="28E66744" w:rsidR="00631F37" w:rsidRDefault="00631F37" w:rsidP="000D2022">
      <w:pPr>
        <w:ind w:firstLine="720"/>
        <w:rPr>
          <w:rFonts w:ascii="Times New Roman" w:hAnsi="Times New Roman" w:cs="Times New Roman"/>
          <w:sz w:val="22"/>
          <w:szCs w:val="22"/>
        </w:rPr>
      </w:pPr>
      <w:r w:rsidRPr="00F42ABD">
        <w:rPr>
          <w:rFonts w:ascii="TimesNewRomanPSMT" w:hAnsi="TimesNewRomanPSMT"/>
          <w:sz w:val="22"/>
          <w:szCs w:val="22"/>
        </w:rPr>
        <w:t>Finally, we obtain three variables related to county health outcomes</w:t>
      </w:r>
      <w:r w:rsidR="00F42ABD" w:rsidRPr="00F42ABD">
        <w:rPr>
          <w:rFonts w:ascii="TimesNewRomanPSMT" w:hAnsi="TimesNewRomanPSMT"/>
          <w:sz w:val="22"/>
          <w:szCs w:val="22"/>
        </w:rPr>
        <w:t xml:space="preserve"> from the County Health Rankings (</w:t>
      </w:r>
      <w:r w:rsidR="00F42ABD" w:rsidRPr="00F42ABD">
        <w:rPr>
          <w:rFonts w:ascii="Times New Roman" w:hAnsi="Times New Roman" w:cs="Times New Roman"/>
          <w:sz w:val="22"/>
          <w:szCs w:val="22"/>
        </w:rPr>
        <w:t xml:space="preserve">“Explore Health Rankings,” 2020) provided by the Robert Wood Johnson Foundation. These annual rankings combine data from various sources on various metrics related to healthcare and health outcomes by county. </w:t>
      </w:r>
      <w:r w:rsidR="00F42ABD">
        <w:rPr>
          <w:rFonts w:ascii="Times New Roman" w:hAnsi="Times New Roman" w:cs="Times New Roman"/>
          <w:sz w:val="22"/>
          <w:szCs w:val="22"/>
        </w:rPr>
        <w:t xml:space="preserve">We use the 2016 rankings as this corresponds to the midpoint of the 2014-2018 5-year ACS period, and we look at three variables from these rankings. First, we consider the annual number </w:t>
      </w:r>
      <w:r w:rsidR="00C06F4B">
        <w:rPr>
          <w:rFonts w:ascii="Times New Roman" w:hAnsi="Times New Roman" w:cs="Times New Roman"/>
          <w:sz w:val="22"/>
          <w:szCs w:val="22"/>
        </w:rPr>
        <w:t xml:space="preserve">of </w:t>
      </w:r>
      <w:r w:rsidR="00F42ABD">
        <w:rPr>
          <w:rFonts w:ascii="Times New Roman" w:hAnsi="Times New Roman" w:cs="Times New Roman"/>
          <w:sz w:val="22"/>
          <w:szCs w:val="22"/>
        </w:rPr>
        <w:t>motor vehicle deaths per 100,000 population, which is a 5-year average over the period 201</w:t>
      </w:r>
      <w:r w:rsidR="005E0933">
        <w:rPr>
          <w:rFonts w:ascii="Times New Roman" w:hAnsi="Times New Roman" w:cs="Times New Roman"/>
          <w:sz w:val="22"/>
          <w:szCs w:val="22"/>
        </w:rPr>
        <w:t>0</w:t>
      </w:r>
      <w:r w:rsidR="00F42ABD">
        <w:rPr>
          <w:rFonts w:ascii="Times New Roman" w:hAnsi="Times New Roman" w:cs="Times New Roman"/>
          <w:sz w:val="22"/>
          <w:szCs w:val="22"/>
        </w:rPr>
        <w:t xml:space="preserve">-2014. </w:t>
      </w:r>
      <w:r w:rsidR="004D49A7">
        <w:rPr>
          <w:rFonts w:ascii="Times New Roman" w:hAnsi="Times New Roman" w:cs="Times New Roman"/>
          <w:sz w:val="22"/>
          <w:szCs w:val="22"/>
        </w:rPr>
        <w:t>Additionally</w:t>
      </w:r>
      <w:r w:rsidR="00F42ABD">
        <w:rPr>
          <w:rFonts w:ascii="Times New Roman" w:hAnsi="Times New Roman" w:cs="Times New Roman"/>
          <w:sz w:val="22"/>
          <w:szCs w:val="22"/>
        </w:rPr>
        <w:t xml:space="preserve">, we consider the percent of the </w:t>
      </w:r>
      <w:r w:rsidR="0005683E">
        <w:rPr>
          <w:rFonts w:ascii="Times New Roman" w:hAnsi="Times New Roman" w:cs="Times New Roman"/>
          <w:sz w:val="22"/>
          <w:szCs w:val="22"/>
        </w:rPr>
        <w:t xml:space="preserve">adult </w:t>
      </w:r>
      <w:r w:rsidR="00F42ABD">
        <w:rPr>
          <w:rFonts w:ascii="Times New Roman" w:hAnsi="Times New Roman" w:cs="Times New Roman"/>
          <w:sz w:val="22"/>
          <w:szCs w:val="22"/>
        </w:rPr>
        <w:t xml:space="preserve">population that is obese </w:t>
      </w:r>
      <w:r w:rsidR="0005683E">
        <w:rPr>
          <w:rFonts w:ascii="Times New Roman" w:hAnsi="Times New Roman" w:cs="Times New Roman"/>
          <w:sz w:val="22"/>
          <w:szCs w:val="22"/>
        </w:rPr>
        <w:t>(based on Body Mass Index) and that smokes</w:t>
      </w:r>
      <w:r w:rsidR="004D49A7">
        <w:rPr>
          <w:rFonts w:ascii="Times New Roman" w:hAnsi="Times New Roman" w:cs="Times New Roman"/>
          <w:sz w:val="22"/>
          <w:szCs w:val="22"/>
        </w:rPr>
        <w:t>, which come from 2012 and 2014, respectively.</w:t>
      </w:r>
    </w:p>
    <w:p w14:paraId="11F6339F" w14:textId="5B393A41" w:rsidR="004D49A7" w:rsidRDefault="00CF6B37" w:rsidP="000D2022">
      <w:pPr>
        <w:ind w:firstLine="720"/>
        <w:rPr>
          <w:rFonts w:ascii="Times New Roman" w:hAnsi="Times New Roman" w:cs="Times New Roman"/>
          <w:sz w:val="22"/>
          <w:szCs w:val="22"/>
        </w:rPr>
      </w:pPr>
      <w:r>
        <w:rPr>
          <w:rFonts w:ascii="Times New Roman" w:hAnsi="Times New Roman" w:cs="Times New Roman"/>
          <w:sz w:val="22"/>
          <w:szCs w:val="22"/>
        </w:rPr>
        <w:lastRenderedPageBreak/>
        <w:t xml:space="preserve">Overall, </w:t>
      </w:r>
      <w:r w:rsidR="00661240">
        <w:rPr>
          <w:rFonts w:ascii="Times New Roman" w:hAnsi="Times New Roman" w:cs="Times New Roman"/>
          <w:sz w:val="22"/>
          <w:szCs w:val="22"/>
        </w:rPr>
        <w:t xml:space="preserve">out of 3,143 total counties in the </w:t>
      </w:r>
      <w:r w:rsidR="00567BC7">
        <w:rPr>
          <w:rFonts w:ascii="Times New Roman" w:hAnsi="Times New Roman" w:cs="Times New Roman"/>
          <w:sz w:val="22"/>
          <w:szCs w:val="22"/>
        </w:rPr>
        <w:t>50 states and the District of Columbia</w:t>
      </w:r>
      <w:r w:rsidR="00661240">
        <w:rPr>
          <w:rFonts w:ascii="Times New Roman" w:hAnsi="Times New Roman" w:cs="Times New Roman"/>
          <w:sz w:val="22"/>
          <w:szCs w:val="22"/>
        </w:rPr>
        <w:t xml:space="preserve"> (“Reference Files,” </w:t>
      </w:r>
      <w:r w:rsidR="00895294">
        <w:rPr>
          <w:rFonts w:ascii="Times New Roman" w:hAnsi="Times New Roman" w:cs="Times New Roman"/>
          <w:sz w:val="22"/>
          <w:szCs w:val="22"/>
        </w:rPr>
        <w:t>2019</w:t>
      </w:r>
      <w:r w:rsidR="00661240">
        <w:rPr>
          <w:rFonts w:ascii="Times New Roman" w:hAnsi="Times New Roman" w:cs="Times New Roman"/>
          <w:sz w:val="22"/>
          <w:szCs w:val="22"/>
        </w:rPr>
        <w:t xml:space="preserve">), we drop eight that have primarily missing data and consider 3,135 remaining counties. For comparison, </w:t>
      </w:r>
      <w:r w:rsidR="00661240" w:rsidRPr="00F42ABD">
        <w:rPr>
          <w:rFonts w:ascii="Times New Roman" w:hAnsi="Times New Roman" w:cs="Times New Roman"/>
          <w:sz w:val="22"/>
          <w:szCs w:val="22"/>
        </w:rPr>
        <w:t xml:space="preserve">Wallace, </w:t>
      </w:r>
      <w:proofErr w:type="spellStart"/>
      <w:r w:rsidR="00661240" w:rsidRPr="00F42ABD">
        <w:rPr>
          <w:rFonts w:ascii="Times New Roman" w:hAnsi="Times New Roman" w:cs="Times New Roman"/>
          <w:sz w:val="22"/>
          <w:szCs w:val="22"/>
        </w:rPr>
        <w:t>Sharfstein</w:t>
      </w:r>
      <w:proofErr w:type="spellEnd"/>
      <w:r w:rsidR="00661240" w:rsidRPr="00F42ABD">
        <w:rPr>
          <w:rFonts w:ascii="Times New Roman" w:hAnsi="Times New Roman" w:cs="Times New Roman"/>
          <w:sz w:val="22"/>
          <w:szCs w:val="22"/>
        </w:rPr>
        <w:t>, and Kaminsky (2019)</w:t>
      </w:r>
      <w:r w:rsidR="00661240">
        <w:rPr>
          <w:rFonts w:ascii="Times New Roman" w:hAnsi="Times New Roman" w:cs="Times New Roman"/>
          <w:sz w:val="22"/>
          <w:szCs w:val="22"/>
        </w:rPr>
        <w:t xml:space="preserve"> consider 3,139 counties. Summary statistics of these variables across counties are provided in the table below:</w:t>
      </w:r>
    </w:p>
    <w:p w14:paraId="53436CAA" w14:textId="77777777" w:rsidR="00AB193A" w:rsidRDefault="00AB193A" w:rsidP="000D2022">
      <w:pPr>
        <w:ind w:firstLine="720"/>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1041"/>
        <w:gridCol w:w="979"/>
        <w:gridCol w:w="811"/>
        <w:gridCol w:w="1059"/>
        <w:gridCol w:w="855"/>
        <w:gridCol w:w="740"/>
        <w:gridCol w:w="704"/>
        <w:gridCol w:w="695"/>
        <w:gridCol w:w="740"/>
        <w:gridCol w:w="881"/>
        <w:gridCol w:w="845"/>
      </w:tblGrid>
      <w:tr w:rsidR="00AB193A" w:rsidRPr="003810EB" w14:paraId="34DA11F8" w14:textId="77777777" w:rsidTr="00904164">
        <w:tc>
          <w:tcPr>
            <w:tcW w:w="1085" w:type="dxa"/>
          </w:tcPr>
          <w:p w14:paraId="6EFCF48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Variable Description</w:t>
            </w:r>
          </w:p>
        </w:tc>
        <w:tc>
          <w:tcPr>
            <w:tcW w:w="1020" w:type="dxa"/>
          </w:tcPr>
          <w:p w14:paraId="793E04B5"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Data Source</w:t>
            </w:r>
          </w:p>
        </w:tc>
        <w:tc>
          <w:tcPr>
            <w:tcW w:w="842" w:type="dxa"/>
          </w:tcPr>
          <w:p w14:paraId="5B4784F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Year(s)</w:t>
            </w:r>
          </w:p>
        </w:tc>
        <w:tc>
          <w:tcPr>
            <w:tcW w:w="1103" w:type="dxa"/>
          </w:tcPr>
          <w:p w14:paraId="61C5099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Number of Observations</w:t>
            </w:r>
          </w:p>
        </w:tc>
        <w:tc>
          <w:tcPr>
            <w:tcW w:w="889" w:type="dxa"/>
          </w:tcPr>
          <w:p w14:paraId="5F0EBEF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Minimum</w:t>
            </w:r>
          </w:p>
        </w:tc>
        <w:tc>
          <w:tcPr>
            <w:tcW w:w="767" w:type="dxa"/>
          </w:tcPr>
          <w:p w14:paraId="53C148B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w:t>
            </w:r>
            <w:r w:rsidRPr="003810EB">
              <w:rPr>
                <w:rFonts w:ascii="Times New Roman" w:hAnsi="Times New Roman" w:cs="Times New Roman"/>
                <w:sz w:val="16"/>
                <w:szCs w:val="16"/>
                <w:vertAlign w:val="superscript"/>
              </w:rPr>
              <w:t>st</w:t>
            </w:r>
            <w:r w:rsidRPr="003810EB">
              <w:rPr>
                <w:rFonts w:ascii="Times New Roman" w:hAnsi="Times New Roman" w:cs="Times New Roman"/>
                <w:sz w:val="16"/>
                <w:szCs w:val="16"/>
              </w:rPr>
              <w:t xml:space="preserve"> Quartile</w:t>
            </w:r>
          </w:p>
        </w:tc>
        <w:tc>
          <w:tcPr>
            <w:tcW w:w="730" w:type="dxa"/>
          </w:tcPr>
          <w:p w14:paraId="390FBB1F"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Median</w:t>
            </w:r>
          </w:p>
        </w:tc>
        <w:tc>
          <w:tcPr>
            <w:tcW w:w="720" w:type="dxa"/>
          </w:tcPr>
          <w:p w14:paraId="2B8A6CE7"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Mean</w:t>
            </w:r>
          </w:p>
        </w:tc>
        <w:tc>
          <w:tcPr>
            <w:tcW w:w="767" w:type="dxa"/>
          </w:tcPr>
          <w:p w14:paraId="7880AF2F"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w:t>
            </w:r>
            <w:r w:rsidRPr="003810EB">
              <w:rPr>
                <w:rFonts w:ascii="Times New Roman" w:hAnsi="Times New Roman" w:cs="Times New Roman"/>
                <w:sz w:val="16"/>
                <w:szCs w:val="16"/>
                <w:vertAlign w:val="superscript"/>
              </w:rPr>
              <w:t>rd</w:t>
            </w:r>
            <w:r w:rsidRPr="003810EB">
              <w:rPr>
                <w:rFonts w:ascii="Times New Roman" w:hAnsi="Times New Roman" w:cs="Times New Roman"/>
                <w:sz w:val="16"/>
                <w:szCs w:val="16"/>
              </w:rPr>
              <w:t xml:space="preserve"> Quartile</w:t>
            </w:r>
          </w:p>
        </w:tc>
        <w:tc>
          <w:tcPr>
            <w:tcW w:w="917" w:type="dxa"/>
          </w:tcPr>
          <w:p w14:paraId="7BCD930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Maximum</w:t>
            </w:r>
          </w:p>
        </w:tc>
        <w:tc>
          <w:tcPr>
            <w:tcW w:w="510" w:type="dxa"/>
          </w:tcPr>
          <w:p w14:paraId="188EAEF1"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Standard Deviation</w:t>
            </w:r>
          </w:p>
        </w:tc>
      </w:tr>
      <w:tr w:rsidR="00AB193A" w:rsidRPr="003810EB" w14:paraId="47B22F43" w14:textId="77777777" w:rsidTr="00904164">
        <w:tc>
          <w:tcPr>
            <w:tcW w:w="1085" w:type="dxa"/>
          </w:tcPr>
          <w:p w14:paraId="2CF0165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Total Population</w:t>
            </w:r>
          </w:p>
        </w:tc>
        <w:tc>
          <w:tcPr>
            <w:tcW w:w="1020" w:type="dxa"/>
          </w:tcPr>
          <w:p w14:paraId="1195A06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American Community Survey</w:t>
            </w:r>
          </w:p>
        </w:tc>
        <w:tc>
          <w:tcPr>
            <w:tcW w:w="842" w:type="dxa"/>
          </w:tcPr>
          <w:p w14:paraId="3437945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2014-2018 (5-year Annual Average)</w:t>
            </w:r>
          </w:p>
        </w:tc>
        <w:tc>
          <w:tcPr>
            <w:tcW w:w="1103" w:type="dxa"/>
          </w:tcPr>
          <w:p w14:paraId="5342B04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4071C2D3"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75</w:t>
            </w:r>
          </w:p>
        </w:tc>
        <w:tc>
          <w:tcPr>
            <w:tcW w:w="767" w:type="dxa"/>
          </w:tcPr>
          <w:p w14:paraId="674BFE7A"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11002</w:t>
            </w:r>
          </w:p>
        </w:tc>
        <w:tc>
          <w:tcPr>
            <w:tcW w:w="730" w:type="dxa"/>
          </w:tcPr>
          <w:p w14:paraId="696E88C0"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25796</w:t>
            </w:r>
          </w:p>
        </w:tc>
        <w:tc>
          <w:tcPr>
            <w:tcW w:w="720" w:type="dxa"/>
          </w:tcPr>
          <w:p w14:paraId="5081264F"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102987</w:t>
            </w:r>
          </w:p>
        </w:tc>
        <w:tc>
          <w:tcPr>
            <w:tcW w:w="767" w:type="dxa"/>
          </w:tcPr>
          <w:p w14:paraId="05A7888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67443</w:t>
            </w:r>
          </w:p>
        </w:tc>
        <w:tc>
          <w:tcPr>
            <w:tcW w:w="917" w:type="dxa"/>
          </w:tcPr>
          <w:p w14:paraId="072C949C"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10098052</w:t>
            </w:r>
          </w:p>
        </w:tc>
        <w:tc>
          <w:tcPr>
            <w:tcW w:w="510" w:type="dxa"/>
          </w:tcPr>
          <w:p w14:paraId="544DCCAF"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330243.8</w:t>
            </w:r>
          </w:p>
        </w:tc>
      </w:tr>
      <w:tr w:rsidR="00AB193A" w:rsidRPr="003810EB" w14:paraId="54719DDA" w14:textId="77777777" w:rsidTr="00904164">
        <w:tc>
          <w:tcPr>
            <w:tcW w:w="1085" w:type="dxa"/>
          </w:tcPr>
          <w:p w14:paraId="19CC0771"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Percent of Population Aged 25+ with at Least Some College Education</w:t>
            </w:r>
          </w:p>
        </w:tc>
        <w:tc>
          <w:tcPr>
            <w:tcW w:w="1020" w:type="dxa"/>
          </w:tcPr>
          <w:p w14:paraId="4346355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American Community Survey</w:t>
            </w:r>
          </w:p>
        </w:tc>
        <w:tc>
          <w:tcPr>
            <w:tcW w:w="842" w:type="dxa"/>
          </w:tcPr>
          <w:p w14:paraId="77785843"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2014-2018 (5-year Annual Average)</w:t>
            </w:r>
          </w:p>
        </w:tc>
        <w:tc>
          <w:tcPr>
            <w:tcW w:w="1103" w:type="dxa"/>
          </w:tcPr>
          <w:p w14:paraId="5EDEFB7F"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2B632C67"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15.18</w:t>
            </w:r>
          </w:p>
        </w:tc>
        <w:tc>
          <w:tcPr>
            <w:tcW w:w="767" w:type="dxa"/>
          </w:tcPr>
          <w:p w14:paraId="16AB292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49.86</w:t>
            </w:r>
          </w:p>
        </w:tc>
        <w:tc>
          <w:tcPr>
            <w:tcW w:w="730" w:type="dxa"/>
          </w:tcPr>
          <w:p w14:paraId="3F56D725"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57.96</w:t>
            </w:r>
          </w:p>
        </w:tc>
        <w:tc>
          <w:tcPr>
            <w:tcW w:w="720" w:type="dxa"/>
          </w:tcPr>
          <w:p w14:paraId="01888AB3"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57.90</w:t>
            </w:r>
          </w:p>
        </w:tc>
        <w:tc>
          <w:tcPr>
            <w:tcW w:w="767" w:type="dxa"/>
          </w:tcPr>
          <w:p w14:paraId="6E3DA9D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66.48</w:t>
            </w:r>
          </w:p>
        </w:tc>
        <w:tc>
          <w:tcPr>
            <w:tcW w:w="917" w:type="dxa"/>
          </w:tcPr>
          <w:p w14:paraId="4EA9EC35"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100.00</w:t>
            </w:r>
          </w:p>
        </w:tc>
        <w:tc>
          <w:tcPr>
            <w:tcW w:w="510" w:type="dxa"/>
          </w:tcPr>
          <w:p w14:paraId="67D794BA"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11.82</w:t>
            </w:r>
          </w:p>
        </w:tc>
      </w:tr>
      <w:tr w:rsidR="00AB193A" w:rsidRPr="003810EB" w14:paraId="533F9CB8" w14:textId="77777777" w:rsidTr="00904164">
        <w:tc>
          <w:tcPr>
            <w:tcW w:w="1085" w:type="dxa"/>
          </w:tcPr>
          <w:p w14:paraId="25C19ED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Percent of Population Under Age 65 without Health Insurance</w:t>
            </w:r>
          </w:p>
        </w:tc>
        <w:tc>
          <w:tcPr>
            <w:tcW w:w="1020" w:type="dxa"/>
          </w:tcPr>
          <w:p w14:paraId="0FF6A3FA"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American Community Survey</w:t>
            </w:r>
          </w:p>
        </w:tc>
        <w:tc>
          <w:tcPr>
            <w:tcW w:w="842" w:type="dxa"/>
          </w:tcPr>
          <w:p w14:paraId="03FD5E74"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2014-2018 (5-year Annual Average)</w:t>
            </w:r>
          </w:p>
        </w:tc>
        <w:tc>
          <w:tcPr>
            <w:tcW w:w="1103" w:type="dxa"/>
          </w:tcPr>
          <w:p w14:paraId="2A1D373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3DDB55B3"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1.948</w:t>
            </w:r>
          </w:p>
        </w:tc>
        <w:tc>
          <w:tcPr>
            <w:tcW w:w="767" w:type="dxa"/>
          </w:tcPr>
          <w:p w14:paraId="22739A6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7.524</w:t>
            </w:r>
          </w:p>
        </w:tc>
        <w:tc>
          <w:tcPr>
            <w:tcW w:w="730" w:type="dxa"/>
          </w:tcPr>
          <w:p w14:paraId="47F659B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11.089</w:t>
            </w:r>
          </w:p>
        </w:tc>
        <w:tc>
          <w:tcPr>
            <w:tcW w:w="720" w:type="dxa"/>
          </w:tcPr>
          <w:p w14:paraId="50DCE9EB"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12.192</w:t>
            </w:r>
          </w:p>
        </w:tc>
        <w:tc>
          <w:tcPr>
            <w:tcW w:w="767" w:type="dxa"/>
          </w:tcPr>
          <w:p w14:paraId="4606C2CC"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15.483</w:t>
            </w:r>
          </w:p>
        </w:tc>
        <w:tc>
          <w:tcPr>
            <w:tcW w:w="917" w:type="dxa"/>
          </w:tcPr>
          <w:p w14:paraId="0C6BF191"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49.455</w:t>
            </w:r>
          </w:p>
        </w:tc>
        <w:tc>
          <w:tcPr>
            <w:tcW w:w="510" w:type="dxa"/>
          </w:tcPr>
          <w:p w14:paraId="241EF8E8"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6.01</w:t>
            </w:r>
          </w:p>
        </w:tc>
      </w:tr>
      <w:tr w:rsidR="00AB193A" w:rsidRPr="003810EB" w14:paraId="0CBA61E6" w14:textId="77777777" w:rsidTr="00904164">
        <w:tc>
          <w:tcPr>
            <w:tcW w:w="1085" w:type="dxa"/>
          </w:tcPr>
          <w:p w14:paraId="4A6C20C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Percent of Adult Population Currently Married</w:t>
            </w:r>
          </w:p>
        </w:tc>
        <w:tc>
          <w:tcPr>
            <w:tcW w:w="1020" w:type="dxa"/>
          </w:tcPr>
          <w:p w14:paraId="3132354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American Community Survey</w:t>
            </w:r>
          </w:p>
        </w:tc>
        <w:tc>
          <w:tcPr>
            <w:tcW w:w="842" w:type="dxa"/>
          </w:tcPr>
          <w:p w14:paraId="6E32CD77"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2014-2018 (5-year Annual Average)</w:t>
            </w:r>
          </w:p>
        </w:tc>
        <w:tc>
          <w:tcPr>
            <w:tcW w:w="1103" w:type="dxa"/>
          </w:tcPr>
          <w:p w14:paraId="2E0144EB"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01BDBA6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21.52</w:t>
            </w:r>
          </w:p>
        </w:tc>
        <w:tc>
          <w:tcPr>
            <w:tcW w:w="767" w:type="dxa"/>
          </w:tcPr>
          <w:p w14:paraId="66A58CE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49.68</w:t>
            </w:r>
          </w:p>
        </w:tc>
        <w:tc>
          <w:tcPr>
            <w:tcW w:w="730" w:type="dxa"/>
          </w:tcPr>
          <w:p w14:paraId="781BB204"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54.05</w:t>
            </w:r>
          </w:p>
        </w:tc>
        <w:tc>
          <w:tcPr>
            <w:tcW w:w="720" w:type="dxa"/>
          </w:tcPr>
          <w:p w14:paraId="59893F75"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53.42</w:t>
            </w:r>
          </w:p>
        </w:tc>
        <w:tc>
          <w:tcPr>
            <w:tcW w:w="767" w:type="dxa"/>
          </w:tcPr>
          <w:p w14:paraId="01545D0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57.67</w:t>
            </w:r>
          </w:p>
        </w:tc>
        <w:tc>
          <w:tcPr>
            <w:tcW w:w="917" w:type="dxa"/>
          </w:tcPr>
          <w:p w14:paraId="1C8169C7"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78.80</w:t>
            </w:r>
          </w:p>
        </w:tc>
        <w:tc>
          <w:tcPr>
            <w:tcW w:w="510" w:type="dxa"/>
          </w:tcPr>
          <w:p w14:paraId="2BC3AC6B"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6.58</w:t>
            </w:r>
          </w:p>
        </w:tc>
      </w:tr>
      <w:tr w:rsidR="00AB193A" w:rsidRPr="003810EB" w14:paraId="3B1D8AE1" w14:textId="77777777" w:rsidTr="00904164">
        <w:tc>
          <w:tcPr>
            <w:tcW w:w="1085" w:type="dxa"/>
          </w:tcPr>
          <w:p w14:paraId="654A684A"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Median Age of Population</w:t>
            </w:r>
          </w:p>
        </w:tc>
        <w:tc>
          <w:tcPr>
            <w:tcW w:w="1020" w:type="dxa"/>
          </w:tcPr>
          <w:p w14:paraId="728FDC1F"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American Community Survey</w:t>
            </w:r>
          </w:p>
        </w:tc>
        <w:tc>
          <w:tcPr>
            <w:tcW w:w="842" w:type="dxa"/>
          </w:tcPr>
          <w:p w14:paraId="13FC95B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2014-2018 (5-year Annual Average)</w:t>
            </w:r>
          </w:p>
        </w:tc>
        <w:tc>
          <w:tcPr>
            <w:tcW w:w="1103" w:type="dxa"/>
          </w:tcPr>
          <w:p w14:paraId="5C092C8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66FE3213"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21.70</w:t>
            </w:r>
          </w:p>
        </w:tc>
        <w:tc>
          <w:tcPr>
            <w:tcW w:w="767" w:type="dxa"/>
          </w:tcPr>
          <w:p w14:paraId="40D3E67B"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38.00</w:t>
            </w:r>
          </w:p>
        </w:tc>
        <w:tc>
          <w:tcPr>
            <w:tcW w:w="730" w:type="dxa"/>
          </w:tcPr>
          <w:p w14:paraId="1C3DE5E3"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41.20</w:t>
            </w:r>
          </w:p>
        </w:tc>
        <w:tc>
          <w:tcPr>
            <w:tcW w:w="720" w:type="dxa"/>
          </w:tcPr>
          <w:p w14:paraId="0DA8E9D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41.29</w:t>
            </w:r>
          </w:p>
        </w:tc>
        <w:tc>
          <w:tcPr>
            <w:tcW w:w="767" w:type="dxa"/>
          </w:tcPr>
          <w:p w14:paraId="241FB5AC"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44.40</w:t>
            </w:r>
          </w:p>
        </w:tc>
        <w:tc>
          <w:tcPr>
            <w:tcW w:w="917" w:type="dxa"/>
          </w:tcPr>
          <w:p w14:paraId="6F8955C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67.00</w:t>
            </w:r>
          </w:p>
        </w:tc>
        <w:tc>
          <w:tcPr>
            <w:tcW w:w="510" w:type="dxa"/>
          </w:tcPr>
          <w:p w14:paraId="02ACD2BF"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5.40</w:t>
            </w:r>
          </w:p>
        </w:tc>
      </w:tr>
      <w:tr w:rsidR="00AB193A" w:rsidRPr="003810EB" w14:paraId="3373730A" w14:textId="77777777" w:rsidTr="00904164">
        <w:tc>
          <w:tcPr>
            <w:tcW w:w="1085" w:type="dxa"/>
          </w:tcPr>
          <w:p w14:paraId="7765BAFF"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Percent of Population that is Female</w:t>
            </w:r>
          </w:p>
        </w:tc>
        <w:tc>
          <w:tcPr>
            <w:tcW w:w="1020" w:type="dxa"/>
          </w:tcPr>
          <w:p w14:paraId="14C3B0A4"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American Community Survey</w:t>
            </w:r>
          </w:p>
        </w:tc>
        <w:tc>
          <w:tcPr>
            <w:tcW w:w="842" w:type="dxa"/>
          </w:tcPr>
          <w:p w14:paraId="325C3B8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2014-2018 (5-year Annual Average)</w:t>
            </w:r>
          </w:p>
        </w:tc>
        <w:tc>
          <w:tcPr>
            <w:tcW w:w="1103" w:type="dxa"/>
          </w:tcPr>
          <w:p w14:paraId="17655E00"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26D3EE4F"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21.00</w:t>
            </w:r>
          </w:p>
        </w:tc>
        <w:tc>
          <w:tcPr>
            <w:tcW w:w="767" w:type="dxa"/>
          </w:tcPr>
          <w:p w14:paraId="2B6A0B0B"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49.41</w:t>
            </w:r>
          </w:p>
        </w:tc>
        <w:tc>
          <w:tcPr>
            <w:tcW w:w="730" w:type="dxa"/>
          </w:tcPr>
          <w:p w14:paraId="1E365D45"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50.38</w:t>
            </w:r>
          </w:p>
        </w:tc>
        <w:tc>
          <w:tcPr>
            <w:tcW w:w="720" w:type="dxa"/>
          </w:tcPr>
          <w:p w14:paraId="26A4E35B"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49.92</w:t>
            </w:r>
          </w:p>
        </w:tc>
        <w:tc>
          <w:tcPr>
            <w:tcW w:w="767" w:type="dxa"/>
          </w:tcPr>
          <w:p w14:paraId="1EB2D1E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51.11</w:t>
            </w:r>
          </w:p>
        </w:tc>
        <w:tc>
          <w:tcPr>
            <w:tcW w:w="917" w:type="dxa"/>
          </w:tcPr>
          <w:p w14:paraId="4D2A8AF1"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58.61</w:t>
            </w:r>
          </w:p>
        </w:tc>
        <w:tc>
          <w:tcPr>
            <w:tcW w:w="510" w:type="dxa"/>
          </w:tcPr>
          <w:p w14:paraId="74211019"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2.38</w:t>
            </w:r>
          </w:p>
        </w:tc>
      </w:tr>
      <w:tr w:rsidR="00AB193A" w:rsidRPr="003810EB" w14:paraId="39E77EC8" w14:textId="77777777" w:rsidTr="00904164">
        <w:tc>
          <w:tcPr>
            <w:tcW w:w="1085" w:type="dxa"/>
          </w:tcPr>
          <w:p w14:paraId="6F11061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Percent of Population that is Non-Hispanic White</w:t>
            </w:r>
          </w:p>
        </w:tc>
        <w:tc>
          <w:tcPr>
            <w:tcW w:w="1020" w:type="dxa"/>
          </w:tcPr>
          <w:p w14:paraId="7B23C12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American Community Survey</w:t>
            </w:r>
          </w:p>
        </w:tc>
        <w:tc>
          <w:tcPr>
            <w:tcW w:w="842" w:type="dxa"/>
          </w:tcPr>
          <w:p w14:paraId="25B5C784"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2014-2018 (5-year Annual Average)</w:t>
            </w:r>
          </w:p>
        </w:tc>
        <w:tc>
          <w:tcPr>
            <w:tcW w:w="1103" w:type="dxa"/>
          </w:tcPr>
          <w:p w14:paraId="49B3DE6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14681240"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0.7278</w:t>
            </w:r>
          </w:p>
        </w:tc>
        <w:tc>
          <w:tcPr>
            <w:tcW w:w="767" w:type="dxa"/>
          </w:tcPr>
          <w:p w14:paraId="7790EC40"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64.87</w:t>
            </w:r>
          </w:p>
        </w:tc>
        <w:tc>
          <w:tcPr>
            <w:tcW w:w="730" w:type="dxa"/>
          </w:tcPr>
          <w:p w14:paraId="0DC44CA3"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83.99</w:t>
            </w:r>
          </w:p>
        </w:tc>
        <w:tc>
          <w:tcPr>
            <w:tcW w:w="720" w:type="dxa"/>
          </w:tcPr>
          <w:p w14:paraId="3EBCC695"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76.57</w:t>
            </w:r>
          </w:p>
        </w:tc>
        <w:tc>
          <w:tcPr>
            <w:tcW w:w="767" w:type="dxa"/>
          </w:tcPr>
          <w:p w14:paraId="6B1B12E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92.70</w:t>
            </w:r>
          </w:p>
        </w:tc>
        <w:tc>
          <w:tcPr>
            <w:tcW w:w="917" w:type="dxa"/>
          </w:tcPr>
          <w:p w14:paraId="08B0FA6B"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100.00</w:t>
            </w:r>
          </w:p>
        </w:tc>
        <w:tc>
          <w:tcPr>
            <w:tcW w:w="510" w:type="dxa"/>
          </w:tcPr>
          <w:p w14:paraId="08838DE7"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20.10</w:t>
            </w:r>
          </w:p>
        </w:tc>
      </w:tr>
      <w:tr w:rsidR="00AB193A" w:rsidRPr="003810EB" w14:paraId="4A685F38" w14:textId="77777777" w:rsidTr="00904164">
        <w:tc>
          <w:tcPr>
            <w:tcW w:w="1085" w:type="dxa"/>
          </w:tcPr>
          <w:p w14:paraId="00F78A6A"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Percent of Population that is Non-Hispanic Black</w:t>
            </w:r>
          </w:p>
        </w:tc>
        <w:tc>
          <w:tcPr>
            <w:tcW w:w="1020" w:type="dxa"/>
          </w:tcPr>
          <w:p w14:paraId="3385AA1F"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American Community Survey</w:t>
            </w:r>
          </w:p>
        </w:tc>
        <w:tc>
          <w:tcPr>
            <w:tcW w:w="842" w:type="dxa"/>
          </w:tcPr>
          <w:p w14:paraId="29DC482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2014-2018 (5-year Annual Average)</w:t>
            </w:r>
          </w:p>
        </w:tc>
        <w:tc>
          <w:tcPr>
            <w:tcW w:w="1103" w:type="dxa"/>
          </w:tcPr>
          <w:p w14:paraId="02C89377"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63CDFA28" w14:textId="7D2501FB"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0.00</w:t>
            </w:r>
          </w:p>
        </w:tc>
        <w:tc>
          <w:tcPr>
            <w:tcW w:w="767" w:type="dxa"/>
          </w:tcPr>
          <w:p w14:paraId="7002C26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0.64</w:t>
            </w:r>
          </w:p>
        </w:tc>
        <w:tc>
          <w:tcPr>
            <w:tcW w:w="730" w:type="dxa"/>
          </w:tcPr>
          <w:p w14:paraId="34E82DB3"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2.17</w:t>
            </w:r>
          </w:p>
        </w:tc>
        <w:tc>
          <w:tcPr>
            <w:tcW w:w="720" w:type="dxa"/>
          </w:tcPr>
          <w:p w14:paraId="4A2E0EDC"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8.94</w:t>
            </w:r>
          </w:p>
        </w:tc>
        <w:tc>
          <w:tcPr>
            <w:tcW w:w="767" w:type="dxa"/>
          </w:tcPr>
          <w:p w14:paraId="63FCD7C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9.87</w:t>
            </w:r>
          </w:p>
        </w:tc>
        <w:tc>
          <w:tcPr>
            <w:tcW w:w="917" w:type="dxa"/>
          </w:tcPr>
          <w:p w14:paraId="75EFB10E"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87.41</w:t>
            </w:r>
          </w:p>
        </w:tc>
        <w:tc>
          <w:tcPr>
            <w:tcW w:w="510" w:type="dxa"/>
          </w:tcPr>
          <w:p w14:paraId="07686146"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14.48</w:t>
            </w:r>
          </w:p>
        </w:tc>
      </w:tr>
      <w:tr w:rsidR="00AB193A" w:rsidRPr="003810EB" w14:paraId="74EB0D10" w14:textId="77777777" w:rsidTr="00904164">
        <w:tc>
          <w:tcPr>
            <w:tcW w:w="1085" w:type="dxa"/>
          </w:tcPr>
          <w:p w14:paraId="2119C84E"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Percent of Population that is Non-Hispanic American Indian and Alaskan Native</w:t>
            </w:r>
          </w:p>
        </w:tc>
        <w:tc>
          <w:tcPr>
            <w:tcW w:w="1020" w:type="dxa"/>
          </w:tcPr>
          <w:p w14:paraId="75260D75"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American Community Survey</w:t>
            </w:r>
          </w:p>
        </w:tc>
        <w:tc>
          <w:tcPr>
            <w:tcW w:w="842" w:type="dxa"/>
          </w:tcPr>
          <w:p w14:paraId="4FDF3963"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2014-2018 (5-year Annual Average)</w:t>
            </w:r>
          </w:p>
        </w:tc>
        <w:tc>
          <w:tcPr>
            <w:tcW w:w="1103" w:type="dxa"/>
          </w:tcPr>
          <w:p w14:paraId="41A97CC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1E24DB20" w14:textId="517526D9"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0.00</w:t>
            </w:r>
          </w:p>
        </w:tc>
        <w:tc>
          <w:tcPr>
            <w:tcW w:w="767" w:type="dxa"/>
          </w:tcPr>
          <w:p w14:paraId="06F725A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0.13</w:t>
            </w:r>
          </w:p>
        </w:tc>
        <w:tc>
          <w:tcPr>
            <w:tcW w:w="730" w:type="dxa"/>
          </w:tcPr>
          <w:p w14:paraId="526B648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0.28</w:t>
            </w:r>
          </w:p>
        </w:tc>
        <w:tc>
          <w:tcPr>
            <w:tcW w:w="720" w:type="dxa"/>
          </w:tcPr>
          <w:p w14:paraId="7CFBB2F4"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1.74</w:t>
            </w:r>
          </w:p>
        </w:tc>
        <w:tc>
          <w:tcPr>
            <w:tcW w:w="767" w:type="dxa"/>
          </w:tcPr>
          <w:p w14:paraId="5F0D31C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0.67</w:t>
            </w:r>
          </w:p>
        </w:tc>
        <w:tc>
          <w:tcPr>
            <w:tcW w:w="917" w:type="dxa"/>
          </w:tcPr>
          <w:p w14:paraId="183B71F1"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82.48</w:t>
            </w:r>
          </w:p>
        </w:tc>
        <w:tc>
          <w:tcPr>
            <w:tcW w:w="510" w:type="dxa"/>
          </w:tcPr>
          <w:p w14:paraId="3B8EEB70"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7.16</w:t>
            </w:r>
          </w:p>
        </w:tc>
      </w:tr>
      <w:tr w:rsidR="00AB193A" w:rsidRPr="003810EB" w14:paraId="3DB12CC0" w14:textId="77777777" w:rsidTr="00904164">
        <w:tc>
          <w:tcPr>
            <w:tcW w:w="1085" w:type="dxa"/>
          </w:tcPr>
          <w:p w14:paraId="786115CC"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lastRenderedPageBreak/>
              <w:t>Percent of Population that is Hispanic</w:t>
            </w:r>
          </w:p>
        </w:tc>
        <w:tc>
          <w:tcPr>
            <w:tcW w:w="1020" w:type="dxa"/>
          </w:tcPr>
          <w:p w14:paraId="3F8E1E0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American Community Survey</w:t>
            </w:r>
          </w:p>
        </w:tc>
        <w:tc>
          <w:tcPr>
            <w:tcW w:w="842" w:type="dxa"/>
          </w:tcPr>
          <w:p w14:paraId="4A22FA8A"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2014-2018 (5-year Annual Average)</w:t>
            </w:r>
          </w:p>
        </w:tc>
        <w:tc>
          <w:tcPr>
            <w:tcW w:w="1103" w:type="dxa"/>
          </w:tcPr>
          <w:p w14:paraId="3AF24D9C"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7C982C77" w14:textId="03C6A6D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0.00</w:t>
            </w:r>
          </w:p>
        </w:tc>
        <w:tc>
          <w:tcPr>
            <w:tcW w:w="767" w:type="dxa"/>
          </w:tcPr>
          <w:p w14:paraId="74EEC66A"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2.112</w:t>
            </w:r>
          </w:p>
        </w:tc>
        <w:tc>
          <w:tcPr>
            <w:tcW w:w="730" w:type="dxa"/>
          </w:tcPr>
          <w:p w14:paraId="073ED403"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4.101</w:t>
            </w:r>
          </w:p>
        </w:tc>
        <w:tc>
          <w:tcPr>
            <w:tcW w:w="720" w:type="dxa"/>
          </w:tcPr>
          <w:p w14:paraId="1058222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9.272</w:t>
            </w:r>
          </w:p>
        </w:tc>
        <w:tc>
          <w:tcPr>
            <w:tcW w:w="767" w:type="dxa"/>
          </w:tcPr>
          <w:p w14:paraId="2023DCD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9.563</w:t>
            </w:r>
          </w:p>
        </w:tc>
        <w:tc>
          <w:tcPr>
            <w:tcW w:w="917" w:type="dxa"/>
          </w:tcPr>
          <w:p w14:paraId="1ADBB1F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99.069</w:t>
            </w:r>
          </w:p>
        </w:tc>
        <w:tc>
          <w:tcPr>
            <w:tcW w:w="510" w:type="dxa"/>
          </w:tcPr>
          <w:p w14:paraId="794741B8"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13.80</w:t>
            </w:r>
          </w:p>
        </w:tc>
      </w:tr>
      <w:tr w:rsidR="00AB193A" w:rsidRPr="003810EB" w14:paraId="6FAB7611" w14:textId="77777777" w:rsidTr="00904164">
        <w:tc>
          <w:tcPr>
            <w:tcW w:w="1085" w:type="dxa"/>
          </w:tcPr>
          <w:p w14:paraId="510E93CC"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Percent of Population Aged 16+ that is Unemployed but Seeking Work</w:t>
            </w:r>
          </w:p>
        </w:tc>
        <w:tc>
          <w:tcPr>
            <w:tcW w:w="1020" w:type="dxa"/>
          </w:tcPr>
          <w:p w14:paraId="3748CEFA"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American Community Survey</w:t>
            </w:r>
          </w:p>
        </w:tc>
        <w:tc>
          <w:tcPr>
            <w:tcW w:w="842" w:type="dxa"/>
          </w:tcPr>
          <w:p w14:paraId="7F392CC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2014-2018 (5-year Annual Average)</w:t>
            </w:r>
          </w:p>
        </w:tc>
        <w:tc>
          <w:tcPr>
            <w:tcW w:w="1103" w:type="dxa"/>
          </w:tcPr>
          <w:p w14:paraId="4F78A87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3134</w:t>
            </w:r>
          </w:p>
        </w:tc>
        <w:tc>
          <w:tcPr>
            <w:tcW w:w="889" w:type="dxa"/>
          </w:tcPr>
          <w:p w14:paraId="62E39799" w14:textId="1E6CBFD9"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0.00</w:t>
            </w:r>
          </w:p>
        </w:tc>
        <w:tc>
          <w:tcPr>
            <w:tcW w:w="767" w:type="dxa"/>
          </w:tcPr>
          <w:p w14:paraId="503BB587"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2.381</w:t>
            </w:r>
          </w:p>
        </w:tc>
        <w:tc>
          <w:tcPr>
            <w:tcW w:w="730" w:type="dxa"/>
          </w:tcPr>
          <w:p w14:paraId="1DAFD9EE"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3.147</w:t>
            </w:r>
          </w:p>
        </w:tc>
        <w:tc>
          <w:tcPr>
            <w:tcW w:w="720" w:type="dxa"/>
          </w:tcPr>
          <w:p w14:paraId="7E4849C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3.249</w:t>
            </w:r>
          </w:p>
        </w:tc>
        <w:tc>
          <w:tcPr>
            <w:tcW w:w="767" w:type="dxa"/>
          </w:tcPr>
          <w:p w14:paraId="3643AB6A"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3.925</w:t>
            </w:r>
          </w:p>
        </w:tc>
        <w:tc>
          <w:tcPr>
            <w:tcW w:w="917" w:type="dxa"/>
          </w:tcPr>
          <w:p w14:paraId="5D13E40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16.470</w:t>
            </w:r>
          </w:p>
        </w:tc>
        <w:tc>
          <w:tcPr>
            <w:tcW w:w="510" w:type="dxa"/>
          </w:tcPr>
          <w:p w14:paraId="5F202800"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1.43</w:t>
            </w:r>
          </w:p>
        </w:tc>
      </w:tr>
      <w:tr w:rsidR="00AB193A" w:rsidRPr="003810EB" w14:paraId="479EBC6B" w14:textId="77777777" w:rsidTr="00904164">
        <w:tc>
          <w:tcPr>
            <w:tcW w:w="1085" w:type="dxa"/>
          </w:tcPr>
          <w:p w14:paraId="1FDD63D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Percent of Population Living in Rural Areas</w:t>
            </w:r>
          </w:p>
        </w:tc>
        <w:tc>
          <w:tcPr>
            <w:tcW w:w="1020" w:type="dxa"/>
          </w:tcPr>
          <w:p w14:paraId="0B4CC82A"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Decennial Census</w:t>
            </w:r>
          </w:p>
        </w:tc>
        <w:tc>
          <w:tcPr>
            <w:tcW w:w="842" w:type="dxa"/>
          </w:tcPr>
          <w:p w14:paraId="1BA7B38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2010</w:t>
            </w:r>
          </w:p>
        </w:tc>
        <w:tc>
          <w:tcPr>
            <w:tcW w:w="1103" w:type="dxa"/>
          </w:tcPr>
          <w:p w14:paraId="0B9FD5DC"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0DDBFDCA"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0</w:t>
            </w:r>
          </w:p>
        </w:tc>
        <w:tc>
          <w:tcPr>
            <w:tcW w:w="767" w:type="dxa"/>
          </w:tcPr>
          <w:p w14:paraId="4BA3EFF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33.23</w:t>
            </w:r>
          </w:p>
        </w:tc>
        <w:tc>
          <w:tcPr>
            <w:tcW w:w="730" w:type="dxa"/>
          </w:tcPr>
          <w:p w14:paraId="6B38EE47"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59.47</w:t>
            </w:r>
          </w:p>
        </w:tc>
        <w:tc>
          <w:tcPr>
            <w:tcW w:w="720" w:type="dxa"/>
          </w:tcPr>
          <w:p w14:paraId="021A120F"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58.58</w:t>
            </w:r>
          </w:p>
        </w:tc>
        <w:tc>
          <w:tcPr>
            <w:tcW w:w="767" w:type="dxa"/>
          </w:tcPr>
          <w:p w14:paraId="3D336B1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87.78</w:t>
            </w:r>
          </w:p>
        </w:tc>
        <w:tc>
          <w:tcPr>
            <w:tcW w:w="917" w:type="dxa"/>
          </w:tcPr>
          <w:p w14:paraId="78A0408C"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100.00</w:t>
            </w:r>
          </w:p>
        </w:tc>
        <w:tc>
          <w:tcPr>
            <w:tcW w:w="510" w:type="dxa"/>
          </w:tcPr>
          <w:p w14:paraId="36D940FB"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31.48</w:t>
            </w:r>
          </w:p>
        </w:tc>
      </w:tr>
      <w:tr w:rsidR="00AB193A" w:rsidRPr="003810EB" w14:paraId="5B0ED10B" w14:textId="77777777" w:rsidTr="00904164">
        <w:tc>
          <w:tcPr>
            <w:tcW w:w="1085" w:type="dxa"/>
          </w:tcPr>
          <w:p w14:paraId="2FAF298B"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Annual Number of Driving Deaths Per 100,000 Residents</w:t>
            </w:r>
          </w:p>
        </w:tc>
        <w:tc>
          <w:tcPr>
            <w:tcW w:w="1020" w:type="dxa"/>
          </w:tcPr>
          <w:p w14:paraId="6DD976B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County Health Rankings</w:t>
            </w:r>
          </w:p>
        </w:tc>
        <w:tc>
          <w:tcPr>
            <w:tcW w:w="842" w:type="dxa"/>
          </w:tcPr>
          <w:p w14:paraId="4AAC0D51"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2010-2014 (5-year Annual Average)</w:t>
            </w:r>
          </w:p>
        </w:tc>
        <w:tc>
          <w:tcPr>
            <w:tcW w:w="1103" w:type="dxa"/>
          </w:tcPr>
          <w:p w14:paraId="4587B72A"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028A9ED4"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0.00</w:t>
            </w:r>
          </w:p>
        </w:tc>
        <w:tc>
          <w:tcPr>
            <w:tcW w:w="767" w:type="dxa"/>
          </w:tcPr>
          <w:p w14:paraId="1AFBD2F4"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11.28</w:t>
            </w:r>
          </w:p>
        </w:tc>
        <w:tc>
          <w:tcPr>
            <w:tcW w:w="730" w:type="dxa"/>
          </w:tcPr>
          <w:p w14:paraId="49D8AD5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17.49</w:t>
            </w:r>
          </w:p>
        </w:tc>
        <w:tc>
          <w:tcPr>
            <w:tcW w:w="720" w:type="dxa"/>
          </w:tcPr>
          <w:p w14:paraId="187FA7A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22.60</w:t>
            </w:r>
          </w:p>
        </w:tc>
        <w:tc>
          <w:tcPr>
            <w:tcW w:w="767" w:type="dxa"/>
          </w:tcPr>
          <w:p w14:paraId="744F3D21"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26.40</w:t>
            </w:r>
          </w:p>
        </w:tc>
        <w:tc>
          <w:tcPr>
            <w:tcW w:w="917" w:type="dxa"/>
          </w:tcPr>
          <w:p w14:paraId="1EE9132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725.08</w:t>
            </w:r>
          </w:p>
        </w:tc>
        <w:tc>
          <w:tcPr>
            <w:tcW w:w="510" w:type="dxa"/>
          </w:tcPr>
          <w:p w14:paraId="6E91664F"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25.99</w:t>
            </w:r>
          </w:p>
        </w:tc>
      </w:tr>
      <w:tr w:rsidR="00AB193A" w:rsidRPr="003810EB" w14:paraId="523CF396" w14:textId="77777777" w:rsidTr="00904164">
        <w:tc>
          <w:tcPr>
            <w:tcW w:w="1085" w:type="dxa"/>
          </w:tcPr>
          <w:p w14:paraId="6276860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Percent of Adult Population that is Obese</w:t>
            </w:r>
          </w:p>
        </w:tc>
        <w:tc>
          <w:tcPr>
            <w:tcW w:w="1020" w:type="dxa"/>
          </w:tcPr>
          <w:p w14:paraId="77FFF3F5"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County Health Rankings</w:t>
            </w:r>
          </w:p>
        </w:tc>
        <w:tc>
          <w:tcPr>
            <w:tcW w:w="842" w:type="dxa"/>
          </w:tcPr>
          <w:p w14:paraId="313EFA2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2012</w:t>
            </w:r>
          </w:p>
        </w:tc>
        <w:tc>
          <w:tcPr>
            <w:tcW w:w="1103" w:type="dxa"/>
          </w:tcPr>
          <w:p w14:paraId="580FCFFC"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71AACF4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10.70</w:t>
            </w:r>
          </w:p>
        </w:tc>
        <w:tc>
          <w:tcPr>
            <w:tcW w:w="767" w:type="dxa"/>
          </w:tcPr>
          <w:p w14:paraId="40DE1994"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28.50</w:t>
            </w:r>
          </w:p>
        </w:tc>
        <w:tc>
          <w:tcPr>
            <w:tcW w:w="730" w:type="dxa"/>
          </w:tcPr>
          <w:p w14:paraId="23880D52"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31.20</w:t>
            </w:r>
          </w:p>
        </w:tc>
        <w:tc>
          <w:tcPr>
            <w:tcW w:w="720" w:type="dxa"/>
          </w:tcPr>
          <w:p w14:paraId="3573D25D"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30.94</w:t>
            </w:r>
          </w:p>
        </w:tc>
        <w:tc>
          <w:tcPr>
            <w:tcW w:w="767" w:type="dxa"/>
          </w:tcPr>
          <w:p w14:paraId="375A0FE1"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33.70</w:t>
            </w:r>
          </w:p>
        </w:tc>
        <w:tc>
          <w:tcPr>
            <w:tcW w:w="917" w:type="dxa"/>
          </w:tcPr>
          <w:p w14:paraId="151FF944"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46.60</w:t>
            </w:r>
          </w:p>
        </w:tc>
        <w:tc>
          <w:tcPr>
            <w:tcW w:w="510" w:type="dxa"/>
          </w:tcPr>
          <w:p w14:paraId="06AA66F8"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4.46</w:t>
            </w:r>
          </w:p>
        </w:tc>
      </w:tr>
      <w:tr w:rsidR="00AB193A" w:rsidRPr="003810EB" w14:paraId="673915CE" w14:textId="77777777" w:rsidTr="00904164">
        <w:tc>
          <w:tcPr>
            <w:tcW w:w="1085" w:type="dxa"/>
          </w:tcPr>
          <w:p w14:paraId="0759A3E0"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Percent of Adult Population that Smokes</w:t>
            </w:r>
          </w:p>
        </w:tc>
        <w:tc>
          <w:tcPr>
            <w:tcW w:w="1020" w:type="dxa"/>
          </w:tcPr>
          <w:p w14:paraId="14F08ED0"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County Health Rankings</w:t>
            </w:r>
          </w:p>
        </w:tc>
        <w:tc>
          <w:tcPr>
            <w:tcW w:w="842" w:type="dxa"/>
          </w:tcPr>
          <w:p w14:paraId="6BA36B25"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2014</w:t>
            </w:r>
          </w:p>
        </w:tc>
        <w:tc>
          <w:tcPr>
            <w:tcW w:w="1103" w:type="dxa"/>
          </w:tcPr>
          <w:p w14:paraId="7752635F"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3135</w:t>
            </w:r>
          </w:p>
        </w:tc>
        <w:tc>
          <w:tcPr>
            <w:tcW w:w="889" w:type="dxa"/>
          </w:tcPr>
          <w:p w14:paraId="2EBB3A4F"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6.90</w:t>
            </w:r>
          </w:p>
        </w:tc>
        <w:tc>
          <w:tcPr>
            <w:tcW w:w="767" w:type="dxa"/>
          </w:tcPr>
          <w:p w14:paraId="5FB8B9D8"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15.70</w:t>
            </w:r>
          </w:p>
        </w:tc>
        <w:tc>
          <w:tcPr>
            <w:tcW w:w="730" w:type="dxa"/>
          </w:tcPr>
          <w:p w14:paraId="4CBE88CE"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17.80</w:t>
            </w:r>
          </w:p>
        </w:tc>
        <w:tc>
          <w:tcPr>
            <w:tcW w:w="720" w:type="dxa"/>
          </w:tcPr>
          <w:p w14:paraId="449331E9"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18.38</w:t>
            </w:r>
          </w:p>
        </w:tc>
        <w:tc>
          <w:tcPr>
            <w:tcW w:w="767" w:type="dxa"/>
          </w:tcPr>
          <w:p w14:paraId="5DEE80C6"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20.70</w:t>
            </w:r>
          </w:p>
        </w:tc>
        <w:tc>
          <w:tcPr>
            <w:tcW w:w="917" w:type="dxa"/>
          </w:tcPr>
          <w:p w14:paraId="21CF1090" w14:textId="77777777" w:rsidR="00AB193A" w:rsidRPr="003810EB" w:rsidRDefault="00AB193A" w:rsidP="00904164">
            <w:pPr>
              <w:rPr>
                <w:rFonts w:ascii="Times New Roman" w:hAnsi="Times New Roman" w:cs="Times New Roman"/>
                <w:sz w:val="16"/>
                <w:szCs w:val="16"/>
              </w:rPr>
            </w:pPr>
            <w:r w:rsidRPr="003810EB">
              <w:rPr>
                <w:rFonts w:ascii="Times New Roman" w:hAnsi="Times New Roman" w:cs="Times New Roman"/>
                <w:sz w:val="16"/>
                <w:szCs w:val="16"/>
              </w:rPr>
              <w:t>40.00</w:t>
            </w:r>
          </w:p>
        </w:tc>
        <w:tc>
          <w:tcPr>
            <w:tcW w:w="510" w:type="dxa"/>
          </w:tcPr>
          <w:p w14:paraId="1FBB159E" w14:textId="77777777" w:rsidR="00AB193A" w:rsidRPr="003810EB" w:rsidRDefault="00AB193A" w:rsidP="00904164">
            <w:pPr>
              <w:rPr>
                <w:rFonts w:ascii="Times New Roman" w:hAnsi="Times New Roman" w:cs="Times New Roman"/>
                <w:sz w:val="16"/>
                <w:szCs w:val="16"/>
              </w:rPr>
            </w:pPr>
            <w:r>
              <w:rPr>
                <w:rFonts w:ascii="Times New Roman" w:hAnsi="Times New Roman" w:cs="Times New Roman"/>
                <w:sz w:val="16"/>
                <w:szCs w:val="16"/>
              </w:rPr>
              <w:t>3.75</w:t>
            </w:r>
          </w:p>
        </w:tc>
      </w:tr>
    </w:tbl>
    <w:p w14:paraId="78018FF7" w14:textId="77777777" w:rsidR="00AB193A" w:rsidRDefault="00AB193A" w:rsidP="000D2022">
      <w:pPr>
        <w:ind w:firstLine="720"/>
        <w:rPr>
          <w:rFonts w:ascii="Times New Roman" w:hAnsi="Times New Roman" w:cs="Times New Roman"/>
          <w:sz w:val="22"/>
          <w:szCs w:val="22"/>
        </w:rPr>
      </w:pPr>
    </w:p>
    <w:p w14:paraId="63D4A7D0" w14:textId="611661D5" w:rsidR="00661240" w:rsidRDefault="00661240" w:rsidP="000D2022">
      <w:pPr>
        <w:ind w:firstLine="720"/>
        <w:rPr>
          <w:rFonts w:ascii="Times New Roman" w:hAnsi="Times New Roman" w:cs="Times New Roman"/>
          <w:sz w:val="22"/>
          <w:szCs w:val="22"/>
        </w:rPr>
      </w:pPr>
      <w:r>
        <w:rPr>
          <w:rFonts w:ascii="Times New Roman" w:hAnsi="Times New Roman" w:cs="Times New Roman"/>
          <w:sz w:val="22"/>
          <w:szCs w:val="22"/>
        </w:rPr>
        <w:t>We can see that, for most of these variables</w:t>
      </w:r>
      <w:r w:rsidR="006E65E2">
        <w:rPr>
          <w:rFonts w:ascii="Times New Roman" w:hAnsi="Times New Roman" w:cs="Times New Roman"/>
          <w:sz w:val="22"/>
          <w:szCs w:val="22"/>
        </w:rPr>
        <w:t xml:space="preserve"> (with the major exception of total population)</w:t>
      </w:r>
      <w:r>
        <w:rPr>
          <w:rFonts w:ascii="Times New Roman" w:hAnsi="Times New Roman" w:cs="Times New Roman"/>
          <w:sz w:val="22"/>
          <w:szCs w:val="22"/>
        </w:rPr>
        <w:t xml:space="preserve">, </w:t>
      </w:r>
      <w:r w:rsidR="006E65E2">
        <w:rPr>
          <w:rFonts w:ascii="Times New Roman" w:hAnsi="Times New Roman" w:cs="Times New Roman"/>
          <w:sz w:val="22"/>
          <w:szCs w:val="22"/>
        </w:rPr>
        <w:t>the mean is relatively close to the median, providing evidence that these variables may be approximately normally distributed. However, the minimum and maximum values provide evidence of extreme outliers</w:t>
      </w:r>
      <w:r w:rsidR="005007AC">
        <w:rPr>
          <w:rFonts w:ascii="Times New Roman" w:hAnsi="Times New Roman" w:cs="Times New Roman"/>
          <w:sz w:val="22"/>
          <w:szCs w:val="22"/>
        </w:rPr>
        <w:t xml:space="preserve"> in the data. For instance, there appears to be a county that is only 21 percent female, </w:t>
      </w:r>
      <w:r w:rsidR="00C76450">
        <w:rPr>
          <w:rFonts w:ascii="Times New Roman" w:hAnsi="Times New Roman" w:cs="Times New Roman"/>
          <w:sz w:val="22"/>
          <w:szCs w:val="22"/>
        </w:rPr>
        <w:t xml:space="preserve">roughly 12 standard deviations below the median! </w:t>
      </w:r>
      <w:r w:rsidR="00664DAC">
        <w:rPr>
          <w:rFonts w:ascii="Times New Roman" w:hAnsi="Times New Roman" w:cs="Times New Roman"/>
          <w:sz w:val="22"/>
          <w:szCs w:val="22"/>
        </w:rPr>
        <w:t xml:space="preserve">This is </w:t>
      </w:r>
      <w:r w:rsidR="00287F74">
        <w:rPr>
          <w:rFonts w:ascii="Times New Roman" w:hAnsi="Times New Roman" w:cs="Times New Roman"/>
          <w:sz w:val="22"/>
          <w:szCs w:val="22"/>
        </w:rPr>
        <w:t>likely</w:t>
      </w:r>
      <w:r w:rsidR="00664DAC">
        <w:rPr>
          <w:rFonts w:ascii="Times New Roman" w:hAnsi="Times New Roman" w:cs="Times New Roman"/>
          <w:sz w:val="22"/>
          <w:szCs w:val="22"/>
        </w:rPr>
        <w:t xml:space="preserve"> </w:t>
      </w:r>
      <w:r w:rsidR="00287F74">
        <w:rPr>
          <w:rFonts w:ascii="Times New Roman" w:hAnsi="Times New Roman" w:cs="Times New Roman"/>
          <w:sz w:val="22"/>
          <w:szCs w:val="22"/>
        </w:rPr>
        <w:t xml:space="preserve">very </w:t>
      </w:r>
      <w:r w:rsidR="00664DAC">
        <w:rPr>
          <w:rFonts w:ascii="Times New Roman" w:hAnsi="Times New Roman" w:cs="Times New Roman"/>
          <w:sz w:val="22"/>
          <w:szCs w:val="22"/>
        </w:rPr>
        <w:t xml:space="preserve">problematic because we know that </w:t>
      </w:r>
      <w:r w:rsidR="00287F74">
        <w:rPr>
          <w:rFonts w:ascii="Times New Roman" w:hAnsi="Times New Roman" w:cs="Times New Roman"/>
          <w:sz w:val="22"/>
          <w:szCs w:val="22"/>
        </w:rPr>
        <w:t xml:space="preserve">some clustering methods, including </w:t>
      </w:r>
      <w:r w:rsidR="00287F74">
        <w:rPr>
          <w:rFonts w:ascii="Times New Roman" w:hAnsi="Times New Roman" w:cs="Times New Roman"/>
          <w:i/>
          <w:iCs/>
          <w:sz w:val="22"/>
          <w:szCs w:val="22"/>
        </w:rPr>
        <w:t>k</w:t>
      </w:r>
      <w:r w:rsidR="00287F74">
        <w:rPr>
          <w:rFonts w:ascii="Times New Roman" w:hAnsi="Times New Roman" w:cs="Times New Roman"/>
          <w:sz w:val="22"/>
          <w:szCs w:val="22"/>
        </w:rPr>
        <w:t>-means, can be very sensitive to outliers (</w:t>
      </w:r>
      <w:proofErr w:type="spellStart"/>
      <w:r w:rsidR="00287F74">
        <w:rPr>
          <w:rFonts w:ascii="Times New Roman" w:hAnsi="Times New Roman" w:cs="Times New Roman"/>
          <w:sz w:val="22"/>
          <w:szCs w:val="22"/>
        </w:rPr>
        <w:t>Jin</w:t>
      </w:r>
      <w:proofErr w:type="spellEnd"/>
      <w:r w:rsidR="00287F74">
        <w:rPr>
          <w:rFonts w:ascii="Times New Roman" w:hAnsi="Times New Roman" w:cs="Times New Roman"/>
          <w:sz w:val="22"/>
          <w:szCs w:val="22"/>
        </w:rPr>
        <w:t xml:space="preserve"> and Han, 2010). </w:t>
      </w:r>
      <w:r w:rsidR="00142FF6">
        <w:rPr>
          <w:rFonts w:ascii="Times New Roman" w:hAnsi="Times New Roman" w:cs="Times New Roman"/>
          <w:sz w:val="22"/>
          <w:szCs w:val="22"/>
        </w:rPr>
        <w:t>Thus, we may want to remove values with outliers</w:t>
      </w:r>
      <w:r w:rsidR="00A14558">
        <w:rPr>
          <w:rFonts w:ascii="Times New Roman" w:hAnsi="Times New Roman" w:cs="Times New Roman"/>
          <w:sz w:val="22"/>
          <w:szCs w:val="22"/>
        </w:rPr>
        <w:t xml:space="preserve"> before conducting our clustering analysis. Visual inspection of the data reveals that almost </w:t>
      </w:r>
      <w:r w:rsidR="0073414A">
        <w:rPr>
          <w:rFonts w:ascii="Times New Roman" w:hAnsi="Times New Roman" w:cs="Times New Roman"/>
          <w:sz w:val="22"/>
          <w:szCs w:val="22"/>
        </w:rPr>
        <w:t xml:space="preserve">all outliers result from counties with extremely small populations (under a few thousand residents). </w:t>
      </w:r>
      <w:r w:rsidR="00895294">
        <w:rPr>
          <w:rFonts w:ascii="Times New Roman" w:hAnsi="Times New Roman" w:cs="Times New Roman"/>
          <w:sz w:val="22"/>
          <w:szCs w:val="22"/>
        </w:rPr>
        <w:t>Examples</w:t>
      </w:r>
      <w:r w:rsidR="0073414A">
        <w:rPr>
          <w:rFonts w:ascii="Times New Roman" w:hAnsi="Times New Roman" w:cs="Times New Roman"/>
          <w:sz w:val="22"/>
          <w:szCs w:val="22"/>
        </w:rPr>
        <w:t xml:space="preserve"> </w:t>
      </w:r>
      <w:r w:rsidR="00895294">
        <w:rPr>
          <w:rFonts w:ascii="Times New Roman" w:hAnsi="Times New Roman" w:cs="Times New Roman"/>
          <w:sz w:val="22"/>
          <w:szCs w:val="22"/>
        </w:rPr>
        <w:t>are</w:t>
      </w:r>
      <w:r w:rsidR="0073414A">
        <w:rPr>
          <w:rFonts w:ascii="Times New Roman" w:hAnsi="Times New Roman" w:cs="Times New Roman"/>
          <w:sz w:val="22"/>
          <w:szCs w:val="22"/>
        </w:rPr>
        <w:t xml:space="preserve"> provided </w:t>
      </w:r>
      <w:r w:rsidR="0006455B">
        <w:rPr>
          <w:rFonts w:ascii="Times New Roman" w:hAnsi="Times New Roman" w:cs="Times New Roman"/>
          <w:sz w:val="22"/>
          <w:szCs w:val="22"/>
        </w:rPr>
        <w:t>in the scatterplot</w:t>
      </w:r>
      <w:r w:rsidR="00895294">
        <w:rPr>
          <w:rFonts w:ascii="Times New Roman" w:hAnsi="Times New Roman" w:cs="Times New Roman"/>
          <w:sz w:val="22"/>
          <w:szCs w:val="22"/>
        </w:rPr>
        <w:t>s</w:t>
      </w:r>
      <w:r w:rsidR="0006455B">
        <w:rPr>
          <w:rFonts w:ascii="Times New Roman" w:hAnsi="Times New Roman" w:cs="Times New Roman"/>
          <w:sz w:val="22"/>
          <w:szCs w:val="22"/>
        </w:rPr>
        <w:t xml:space="preserve"> </w:t>
      </w:r>
      <w:r w:rsidR="0073414A">
        <w:rPr>
          <w:rFonts w:ascii="Times New Roman" w:hAnsi="Times New Roman" w:cs="Times New Roman"/>
          <w:sz w:val="22"/>
          <w:szCs w:val="22"/>
        </w:rPr>
        <w:t xml:space="preserve">below, where we can see that </w:t>
      </w:r>
      <w:r w:rsidR="0006455B">
        <w:rPr>
          <w:rFonts w:ascii="Times New Roman" w:hAnsi="Times New Roman" w:cs="Times New Roman"/>
          <w:sz w:val="22"/>
          <w:szCs w:val="22"/>
        </w:rPr>
        <w:t>all counties that are less than 40 percent female have under 60,000 residents, with most having well under 10,000.</w:t>
      </w:r>
      <w:r w:rsidR="00895294">
        <w:rPr>
          <w:rFonts w:ascii="Times New Roman" w:hAnsi="Times New Roman" w:cs="Times New Roman"/>
          <w:sz w:val="22"/>
          <w:szCs w:val="22"/>
        </w:rPr>
        <w:t xml:space="preserve"> Likewise, all counties with over 200 annual driving deaths per 100,000 residents have a population below 5,000.</w:t>
      </w:r>
      <w:r w:rsidR="007E7636">
        <w:rPr>
          <w:rFonts w:ascii="Times New Roman" w:hAnsi="Times New Roman" w:cs="Times New Roman"/>
          <w:sz w:val="22"/>
          <w:szCs w:val="22"/>
        </w:rPr>
        <w:t xml:space="preserve"> (Note that total population is shown on a log scale.)</w:t>
      </w:r>
    </w:p>
    <w:p w14:paraId="3A5D7904" w14:textId="77777777" w:rsidR="00AB193A" w:rsidRDefault="00AB193A" w:rsidP="000D2022">
      <w:pPr>
        <w:ind w:firstLine="720"/>
        <w:rPr>
          <w:rFonts w:ascii="Times New Roman" w:hAnsi="Times New Roman" w:cs="Times New Roman"/>
          <w:sz w:val="22"/>
          <w:szCs w:val="22"/>
        </w:rPr>
      </w:pPr>
    </w:p>
    <w:p w14:paraId="55038728" w14:textId="61787D1E" w:rsidR="00895294" w:rsidRDefault="00AB193A" w:rsidP="00895294">
      <w:pPr>
        <w:rPr>
          <w:rFonts w:ascii="Times New Roman" w:hAnsi="Times New Roman" w:cs="Times New Roman"/>
          <w:sz w:val="22"/>
          <w:szCs w:val="22"/>
        </w:rPr>
      </w:pPr>
      <w:r w:rsidRPr="00AB193A">
        <w:rPr>
          <w:rFonts w:ascii="Times New Roman" w:hAnsi="Times New Roman" w:cs="Times New Roman"/>
          <w:noProof/>
          <w:sz w:val="22"/>
          <w:szCs w:val="22"/>
        </w:rPr>
        <w:drawing>
          <wp:inline distT="0" distB="0" distL="0" distR="0" wp14:anchorId="284F5787" wp14:editId="005D0196">
            <wp:extent cx="2932578" cy="2023108"/>
            <wp:effectExtent l="0" t="0" r="127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90394" cy="2062993"/>
                    </a:xfrm>
                    <a:prstGeom prst="rect">
                      <a:avLst/>
                    </a:prstGeom>
                  </pic:spPr>
                </pic:pic>
              </a:graphicData>
            </a:graphic>
          </wp:inline>
        </w:drawing>
      </w:r>
      <w:r w:rsidR="00895294" w:rsidRPr="00895294">
        <w:rPr>
          <w:rFonts w:ascii="Times New Roman" w:hAnsi="Times New Roman" w:cs="Times New Roman"/>
          <w:noProof/>
          <w:sz w:val="22"/>
          <w:szCs w:val="22"/>
        </w:rPr>
        <w:drawing>
          <wp:inline distT="0" distB="0" distL="0" distR="0" wp14:anchorId="691610C5" wp14:editId="35315E37">
            <wp:extent cx="2932082" cy="2022766"/>
            <wp:effectExtent l="0" t="0" r="190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5"/>
                    <a:stretch>
                      <a:fillRect/>
                    </a:stretch>
                  </pic:blipFill>
                  <pic:spPr>
                    <a:xfrm>
                      <a:off x="0" y="0"/>
                      <a:ext cx="2969947" cy="2048888"/>
                    </a:xfrm>
                    <a:prstGeom prst="rect">
                      <a:avLst/>
                    </a:prstGeom>
                  </pic:spPr>
                </pic:pic>
              </a:graphicData>
            </a:graphic>
          </wp:inline>
        </w:drawing>
      </w:r>
    </w:p>
    <w:p w14:paraId="75F27FE2" w14:textId="51A29E9F" w:rsidR="00AB193A" w:rsidRDefault="0006455B" w:rsidP="00895294">
      <w:pPr>
        <w:ind w:firstLine="720"/>
        <w:rPr>
          <w:rFonts w:ascii="Times New Roman" w:hAnsi="Times New Roman" w:cs="Times New Roman"/>
          <w:sz w:val="22"/>
          <w:szCs w:val="22"/>
        </w:rPr>
      </w:pPr>
      <w:r>
        <w:rPr>
          <w:rFonts w:ascii="Times New Roman" w:hAnsi="Times New Roman" w:cs="Times New Roman"/>
          <w:sz w:val="22"/>
          <w:szCs w:val="22"/>
        </w:rPr>
        <w:lastRenderedPageBreak/>
        <w:t xml:space="preserve">Finally, the scatterplot below </w:t>
      </w:r>
      <w:r w:rsidR="005E7BEC">
        <w:rPr>
          <w:rFonts w:ascii="Times New Roman" w:hAnsi="Times New Roman" w:cs="Times New Roman"/>
          <w:sz w:val="22"/>
          <w:szCs w:val="22"/>
        </w:rPr>
        <w:t>provides shows the prevalence of smoking and obesity by county, two of our three county health outcomes. We can see that these two variables are highly positively correlated, with a correlation of 0.61. However, both of these variables are very weakly correlated with our other health outcome, population-adjusted driving deaths.</w:t>
      </w:r>
    </w:p>
    <w:p w14:paraId="66AC2D00" w14:textId="660A86A5" w:rsidR="00425D62" w:rsidRDefault="00425D62" w:rsidP="00425D62">
      <w:pPr>
        <w:jc w:val="center"/>
        <w:rPr>
          <w:rFonts w:ascii="Times New Roman" w:hAnsi="Times New Roman" w:cs="Times New Roman"/>
          <w:sz w:val="22"/>
          <w:szCs w:val="22"/>
        </w:rPr>
      </w:pPr>
      <w:r w:rsidRPr="00425D62">
        <w:rPr>
          <w:rFonts w:ascii="Times New Roman" w:hAnsi="Times New Roman" w:cs="Times New Roman"/>
          <w:noProof/>
          <w:sz w:val="22"/>
          <w:szCs w:val="22"/>
        </w:rPr>
        <w:drawing>
          <wp:inline distT="0" distB="0" distL="0" distR="0" wp14:anchorId="3CDC4BF9" wp14:editId="50E07768">
            <wp:extent cx="3035508" cy="2094116"/>
            <wp:effectExtent l="0" t="0" r="0" b="190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a:stretch>
                      <a:fillRect/>
                    </a:stretch>
                  </pic:blipFill>
                  <pic:spPr>
                    <a:xfrm>
                      <a:off x="0" y="0"/>
                      <a:ext cx="3062627" cy="2112825"/>
                    </a:xfrm>
                    <a:prstGeom prst="rect">
                      <a:avLst/>
                    </a:prstGeom>
                  </pic:spPr>
                </pic:pic>
              </a:graphicData>
            </a:graphic>
          </wp:inline>
        </w:drawing>
      </w:r>
    </w:p>
    <w:p w14:paraId="399B0DFC" w14:textId="1F0A2F99" w:rsidR="005E7BEC" w:rsidRPr="005E7BEC" w:rsidRDefault="00A815E3" w:rsidP="00A815E3">
      <w:pPr>
        <w:rPr>
          <w:rFonts w:ascii="Times New Roman" w:hAnsi="Times New Roman" w:cs="Times New Roman"/>
          <w:b/>
          <w:bCs/>
          <w:sz w:val="22"/>
          <w:szCs w:val="22"/>
        </w:rPr>
      </w:pPr>
      <w:r>
        <w:rPr>
          <w:rFonts w:ascii="Times New Roman" w:hAnsi="Times New Roman" w:cs="Times New Roman"/>
          <w:b/>
          <w:bCs/>
          <w:sz w:val="22"/>
          <w:szCs w:val="22"/>
        </w:rPr>
        <w:t>Analytical Technique:</w:t>
      </w:r>
    </w:p>
    <w:p w14:paraId="56B294D2" w14:textId="00CB80C5" w:rsidR="00A815E3" w:rsidRDefault="00A815E3" w:rsidP="00A815E3">
      <w:pPr>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sz w:val="22"/>
          <w:szCs w:val="22"/>
        </w:rPr>
        <w:t xml:space="preserve">As mentioned </w:t>
      </w:r>
      <w:r w:rsidR="00B46ED8">
        <w:rPr>
          <w:rFonts w:ascii="Times New Roman" w:hAnsi="Times New Roman" w:cs="Times New Roman"/>
          <w:sz w:val="22"/>
          <w:szCs w:val="22"/>
        </w:rPr>
        <w:t>above</w:t>
      </w:r>
      <w:r>
        <w:rPr>
          <w:rFonts w:ascii="Times New Roman" w:hAnsi="Times New Roman" w:cs="Times New Roman"/>
          <w:sz w:val="22"/>
          <w:szCs w:val="22"/>
        </w:rPr>
        <w:t xml:space="preserve">, the authors use </w:t>
      </w:r>
      <w:r>
        <w:rPr>
          <w:rFonts w:ascii="Times New Roman" w:hAnsi="Times New Roman" w:cs="Times New Roman"/>
          <w:i/>
          <w:iCs/>
          <w:sz w:val="22"/>
          <w:szCs w:val="22"/>
        </w:rPr>
        <w:t>k</w:t>
      </w:r>
      <w:r>
        <w:rPr>
          <w:rFonts w:ascii="Times New Roman" w:hAnsi="Times New Roman" w:cs="Times New Roman"/>
          <w:sz w:val="22"/>
          <w:szCs w:val="22"/>
        </w:rPr>
        <w:t>-means clustering to identify eight clusters of counties.</w:t>
      </w:r>
      <w:r w:rsidR="005E7BEC">
        <w:rPr>
          <w:rFonts w:ascii="Times New Roman" w:hAnsi="Times New Roman" w:cs="Times New Roman"/>
          <w:sz w:val="22"/>
          <w:szCs w:val="22"/>
        </w:rPr>
        <w:t xml:space="preserve"> Clustering models are unsupervised learning techniques that attempt to find similar groups of observations using information on features (Tan, Steinbach, </w:t>
      </w:r>
      <w:proofErr w:type="spellStart"/>
      <w:r w:rsidR="005E7BEC">
        <w:rPr>
          <w:rFonts w:ascii="Times New Roman" w:hAnsi="Times New Roman" w:cs="Times New Roman"/>
          <w:sz w:val="22"/>
          <w:szCs w:val="22"/>
        </w:rPr>
        <w:t>Karpatne</w:t>
      </w:r>
      <w:proofErr w:type="spellEnd"/>
      <w:r w:rsidR="005E7BEC">
        <w:rPr>
          <w:rFonts w:ascii="Times New Roman" w:hAnsi="Times New Roman" w:cs="Times New Roman"/>
          <w:sz w:val="22"/>
          <w:szCs w:val="22"/>
        </w:rPr>
        <w:t xml:space="preserve">, and Kumar, 2019), with no dependent or outcome variables. </w:t>
      </w:r>
      <w:r w:rsidR="005E7BEC">
        <w:rPr>
          <w:rFonts w:ascii="Times New Roman" w:hAnsi="Times New Roman" w:cs="Times New Roman"/>
          <w:i/>
          <w:iCs/>
          <w:sz w:val="22"/>
          <w:szCs w:val="22"/>
        </w:rPr>
        <w:t>K</w:t>
      </w:r>
      <w:r w:rsidR="005E7BEC">
        <w:rPr>
          <w:rFonts w:ascii="Times New Roman" w:hAnsi="Times New Roman" w:cs="Times New Roman"/>
          <w:sz w:val="22"/>
          <w:szCs w:val="22"/>
        </w:rPr>
        <w:t xml:space="preserve">-means clustering is a centroid-based technique that calculates the </w:t>
      </w:r>
      <w:r w:rsidR="00B46ED8">
        <w:rPr>
          <w:rFonts w:ascii="Times New Roman" w:hAnsi="Times New Roman" w:cs="Times New Roman"/>
          <w:sz w:val="22"/>
          <w:szCs w:val="22"/>
        </w:rPr>
        <w:t xml:space="preserve">Euclidean </w:t>
      </w:r>
      <w:r w:rsidR="005E7BEC">
        <w:rPr>
          <w:rFonts w:ascii="Times New Roman" w:hAnsi="Times New Roman" w:cs="Times New Roman"/>
          <w:sz w:val="22"/>
          <w:szCs w:val="22"/>
        </w:rPr>
        <w:t>distance of each data point from a centroid</w:t>
      </w:r>
      <w:r w:rsidR="00B46ED8">
        <w:rPr>
          <w:rFonts w:ascii="Times New Roman" w:hAnsi="Times New Roman" w:cs="Times New Roman"/>
          <w:sz w:val="22"/>
          <w:szCs w:val="22"/>
        </w:rPr>
        <w:t>, with the number of clusters (</w:t>
      </w:r>
      <w:r w:rsidR="00B46ED8">
        <w:rPr>
          <w:rFonts w:ascii="Times New Roman" w:hAnsi="Times New Roman" w:cs="Times New Roman"/>
          <w:i/>
          <w:iCs/>
          <w:sz w:val="22"/>
          <w:szCs w:val="22"/>
        </w:rPr>
        <w:t>k</w:t>
      </w:r>
      <w:r w:rsidR="00B46ED8">
        <w:rPr>
          <w:rFonts w:ascii="Times New Roman" w:hAnsi="Times New Roman" w:cs="Times New Roman"/>
          <w:sz w:val="22"/>
          <w:szCs w:val="22"/>
        </w:rPr>
        <w:t xml:space="preserve">) pre-specified by the user (Tan et al., 2019). I plan to replicate the analysis along several dimensions. First, I plan to determine the optimal number of clusters using </w:t>
      </w:r>
      <w:r w:rsidR="00E46CAC">
        <w:rPr>
          <w:rFonts w:ascii="Times New Roman" w:hAnsi="Times New Roman" w:cs="Times New Roman"/>
          <w:sz w:val="22"/>
          <w:szCs w:val="22"/>
        </w:rPr>
        <w:t xml:space="preserve">the sum of squared errors for different values of </w:t>
      </w:r>
      <w:r w:rsidR="00E46CAC">
        <w:rPr>
          <w:rFonts w:ascii="Times New Roman" w:hAnsi="Times New Roman" w:cs="Times New Roman"/>
          <w:i/>
          <w:iCs/>
          <w:sz w:val="22"/>
          <w:szCs w:val="22"/>
        </w:rPr>
        <w:t>k</w:t>
      </w:r>
      <w:r w:rsidR="00E46CAC">
        <w:rPr>
          <w:rFonts w:ascii="Times New Roman" w:hAnsi="Times New Roman" w:cs="Times New Roman"/>
          <w:sz w:val="22"/>
          <w:szCs w:val="22"/>
        </w:rPr>
        <w:t>, as discussed in class</w:t>
      </w:r>
      <w:r w:rsidR="001B14FE">
        <w:rPr>
          <w:rFonts w:ascii="Times New Roman" w:hAnsi="Times New Roman" w:cs="Times New Roman"/>
          <w:sz w:val="22"/>
          <w:szCs w:val="22"/>
        </w:rPr>
        <w:t xml:space="preserve">, and compare it to the </w:t>
      </w:r>
      <w:r w:rsidR="001B14FE">
        <w:rPr>
          <w:rFonts w:ascii="Times New Roman" w:hAnsi="Times New Roman" w:cs="Times New Roman"/>
          <w:i/>
          <w:iCs/>
          <w:sz w:val="22"/>
          <w:szCs w:val="22"/>
        </w:rPr>
        <w:t>k</w:t>
      </w:r>
      <w:r w:rsidR="001B14FE">
        <w:rPr>
          <w:rFonts w:ascii="Times New Roman" w:hAnsi="Times New Roman" w:cs="Times New Roman"/>
          <w:sz w:val="22"/>
          <w:szCs w:val="22"/>
        </w:rPr>
        <w:t>=8 in the paper I am replicating. (The authors provide no information as to why they chose this number of clusters</w:t>
      </w:r>
      <w:r w:rsidR="00E46CAC">
        <w:rPr>
          <w:rFonts w:ascii="Times New Roman" w:hAnsi="Times New Roman" w:cs="Times New Roman"/>
          <w:sz w:val="22"/>
          <w:szCs w:val="22"/>
        </w:rPr>
        <w:t>.</w:t>
      </w:r>
      <w:r w:rsidR="001B14FE">
        <w:rPr>
          <w:rFonts w:ascii="Times New Roman" w:hAnsi="Times New Roman" w:cs="Times New Roman"/>
          <w:sz w:val="22"/>
          <w:szCs w:val="22"/>
        </w:rPr>
        <w:t>)</w:t>
      </w:r>
      <w:r w:rsidR="00E46CAC">
        <w:rPr>
          <w:rFonts w:ascii="Times New Roman" w:hAnsi="Times New Roman" w:cs="Times New Roman"/>
          <w:sz w:val="22"/>
          <w:szCs w:val="22"/>
        </w:rPr>
        <w:t xml:space="preserve"> Second, I plan to evaluate the similarity of my clusters to the clusters obtained in </w:t>
      </w:r>
      <w:r w:rsidR="00E46CAC" w:rsidRPr="00F42ABD">
        <w:rPr>
          <w:rFonts w:ascii="Times New Roman" w:hAnsi="Times New Roman" w:cs="Times New Roman"/>
          <w:sz w:val="22"/>
          <w:szCs w:val="22"/>
        </w:rPr>
        <w:t xml:space="preserve">Wallace, </w:t>
      </w:r>
      <w:proofErr w:type="spellStart"/>
      <w:r w:rsidR="00E46CAC" w:rsidRPr="00F42ABD">
        <w:rPr>
          <w:rFonts w:ascii="Times New Roman" w:hAnsi="Times New Roman" w:cs="Times New Roman"/>
          <w:sz w:val="22"/>
          <w:szCs w:val="22"/>
        </w:rPr>
        <w:t>Sharfstein</w:t>
      </w:r>
      <w:proofErr w:type="spellEnd"/>
      <w:r w:rsidR="00E46CAC" w:rsidRPr="00F42ABD">
        <w:rPr>
          <w:rFonts w:ascii="Times New Roman" w:hAnsi="Times New Roman" w:cs="Times New Roman"/>
          <w:sz w:val="22"/>
          <w:szCs w:val="22"/>
        </w:rPr>
        <w:t>, and Kaminsky (2019).</w:t>
      </w:r>
      <w:r w:rsidR="00854F1C">
        <w:rPr>
          <w:rFonts w:ascii="Times New Roman" w:hAnsi="Times New Roman" w:cs="Times New Roman"/>
          <w:sz w:val="22"/>
          <w:szCs w:val="22"/>
        </w:rPr>
        <w:t xml:space="preserve"> Third, the authors report using 3,135 counties, with no mention of outliers</w:t>
      </w:r>
      <w:r w:rsidR="008D0465">
        <w:rPr>
          <w:rFonts w:ascii="Times New Roman" w:hAnsi="Times New Roman" w:cs="Times New Roman"/>
          <w:sz w:val="22"/>
          <w:szCs w:val="22"/>
        </w:rPr>
        <w:t xml:space="preserve">; this is particularly troublesome as </w:t>
      </w:r>
      <w:r w:rsidR="0014364D">
        <w:rPr>
          <w:rFonts w:ascii="Times New Roman" w:hAnsi="Times New Roman" w:cs="Times New Roman"/>
          <w:sz w:val="22"/>
          <w:szCs w:val="22"/>
        </w:rPr>
        <w:t xml:space="preserve">we know outliers can substantially distort the result of </w:t>
      </w:r>
      <w:r w:rsidR="0014364D">
        <w:rPr>
          <w:rFonts w:ascii="Times New Roman" w:hAnsi="Times New Roman" w:cs="Times New Roman"/>
          <w:i/>
          <w:iCs/>
          <w:sz w:val="22"/>
          <w:szCs w:val="22"/>
        </w:rPr>
        <w:t>k</w:t>
      </w:r>
      <w:r w:rsidR="0014364D">
        <w:rPr>
          <w:rFonts w:ascii="Times New Roman" w:hAnsi="Times New Roman" w:cs="Times New Roman"/>
          <w:sz w:val="22"/>
          <w:szCs w:val="22"/>
        </w:rPr>
        <w:t>-means clustering . Thus, I plan to conduct this clustering both including and excluding counties with very small populations (perhaps below 5,000), to see how much the authors’ results are affected by these counties.</w:t>
      </w:r>
    </w:p>
    <w:p w14:paraId="53DEDFD5" w14:textId="5B1D747A" w:rsidR="0014364D" w:rsidRDefault="0014364D" w:rsidP="00A815E3">
      <w:pPr>
        <w:rPr>
          <w:rFonts w:ascii="Times New Roman" w:hAnsi="Times New Roman" w:cs="Times New Roman"/>
          <w:sz w:val="22"/>
          <w:szCs w:val="22"/>
        </w:rPr>
      </w:pPr>
      <w:r>
        <w:rPr>
          <w:rFonts w:ascii="Times New Roman" w:hAnsi="Times New Roman" w:cs="Times New Roman"/>
          <w:sz w:val="22"/>
          <w:szCs w:val="22"/>
        </w:rPr>
        <w:tab/>
        <w:t xml:space="preserve">Additionally, I plan to use two other clustering techniques, hierarchical clustering and density-based clustering. Hierarchical clustering produces a tree-based structure of the data and does not </w:t>
      </w:r>
      <w:r w:rsidR="001B14FE">
        <w:rPr>
          <w:rFonts w:ascii="Times New Roman" w:hAnsi="Times New Roman" w:cs="Times New Roman"/>
          <w:sz w:val="22"/>
          <w:szCs w:val="22"/>
        </w:rPr>
        <w:t xml:space="preserve">require a pre-specified number of clusters, while density-based clustering finds regions of high-density points and also does not require a pre-specified number of clusters (Tan et al., 2019). A key advantage of both methods over </w:t>
      </w:r>
      <w:r w:rsidR="001B14FE">
        <w:rPr>
          <w:rFonts w:ascii="Times New Roman" w:hAnsi="Times New Roman" w:cs="Times New Roman"/>
          <w:i/>
          <w:iCs/>
          <w:sz w:val="22"/>
          <w:szCs w:val="22"/>
        </w:rPr>
        <w:t>k</w:t>
      </w:r>
      <w:r w:rsidR="001B14FE">
        <w:rPr>
          <w:rFonts w:ascii="Times New Roman" w:hAnsi="Times New Roman" w:cs="Times New Roman"/>
          <w:sz w:val="22"/>
          <w:szCs w:val="22"/>
        </w:rPr>
        <w:t xml:space="preserve">-means clustering is that they can be much less susceptible to outliers, which makes it less likely that counties with very small populations will skew our clusters. </w:t>
      </w:r>
      <w:r w:rsidR="00BE78FA">
        <w:rPr>
          <w:rFonts w:ascii="Times New Roman" w:hAnsi="Times New Roman" w:cs="Times New Roman"/>
          <w:sz w:val="22"/>
          <w:szCs w:val="22"/>
        </w:rPr>
        <w:t xml:space="preserve">Thus, I plan to apply both forms of clustering to this </w:t>
      </w:r>
      <w:proofErr w:type="gramStart"/>
      <w:r w:rsidR="00BE78FA">
        <w:rPr>
          <w:rFonts w:ascii="Times New Roman" w:hAnsi="Times New Roman" w:cs="Times New Roman"/>
          <w:sz w:val="22"/>
          <w:szCs w:val="22"/>
        </w:rPr>
        <w:t>data, and</w:t>
      </w:r>
      <w:proofErr w:type="gramEnd"/>
      <w:r w:rsidR="00BE78FA">
        <w:rPr>
          <w:rFonts w:ascii="Times New Roman" w:hAnsi="Times New Roman" w:cs="Times New Roman"/>
          <w:sz w:val="22"/>
          <w:szCs w:val="22"/>
        </w:rPr>
        <w:t xml:space="preserve"> compare the results to </w:t>
      </w:r>
      <w:r w:rsidR="00BE78FA">
        <w:rPr>
          <w:rFonts w:ascii="Times New Roman" w:hAnsi="Times New Roman" w:cs="Times New Roman"/>
          <w:i/>
          <w:iCs/>
          <w:sz w:val="22"/>
          <w:szCs w:val="22"/>
        </w:rPr>
        <w:t>k</w:t>
      </w:r>
      <w:r w:rsidR="00BE78FA">
        <w:rPr>
          <w:rFonts w:ascii="Times New Roman" w:hAnsi="Times New Roman" w:cs="Times New Roman"/>
          <w:sz w:val="22"/>
          <w:szCs w:val="22"/>
        </w:rPr>
        <w:t xml:space="preserve">-means clustering. </w:t>
      </w:r>
    </w:p>
    <w:p w14:paraId="140A5C1E" w14:textId="489B9A51" w:rsidR="00BE78FA" w:rsidRPr="00BE78FA" w:rsidRDefault="00BE78FA" w:rsidP="00A815E3">
      <w:pPr>
        <w:rPr>
          <w:rFonts w:ascii="Times New Roman" w:hAnsi="Times New Roman" w:cs="Times New Roman"/>
          <w:sz w:val="22"/>
          <w:szCs w:val="22"/>
        </w:rPr>
      </w:pPr>
      <w:r>
        <w:rPr>
          <w:rFonts w:ascii="Times New Roman" w:hAnsi="Times New Roman" w:cs="Times New Roman"/>
          <w:sz w:val="22"/>
          <w:szCs w:val="22"/>
        </w:rPr>
        <w:tab/>
        <w:t>Once I have applied these three clustering techniques, I plan to see how similar the results are across techniques and then determine which clustering technique performs best on the data. One way to do so is to use a “</w:t>
      </w:r>
      <w:r w:rsidR="00544685">
        <w:rPr>
          <w:rFonts w:ascii="Times New Roman" w:hAnsi="Times New Roman" w:cs="Times New Roman"/>
          <w:sz w:val="22"/>
          <w:szCs w:val="22"/>
        </w:rPr>
        <w:t>smell</w:t>
      </w:r>
      <w:r>
        <w:rPr>
          <w:rFonts w:ascii="Times New Roman" w:hAnsi="Times New Roman" w:cs="Times New Roman"/>
          <w:sz w:val="22"/>
          <w:szCs w:val="22"/>
        </w:rPr>
        <w:t xml:space="preserve"> test” – for instance, a technique that puts Manhattan in the same cluster as most counties in Wyoming is likely to be highly suspect. Additionally, the Hopkins statistic can be used to compare the clusters to those produced from randomly generated data (Tan et al., 2019). The overall similarity of the clustering techniques will provide a measure of robustness or validity of the results</w:t>
      </w:r>
      <w:r w:rsidR="00AB193A">
        <w:rPr>
          <w:rFonts w:ascii="Times New Roman" w:hAnsi="Times New Roman" w:cs="Times New Roman"/>
          <w:sz w:val="22"/>
          <w:szCs w:val="22"/>
        </w:rPr>
        <w:t xml:space="preserve"> obtained in my analysis and in </w:t>
      </w:r>
      <w:r w:rsidR="00AB193A" w:rsidRPr="00F42ABD">
        <w:rPr>
          <w:rFonts w:ascii="Times New Roman" w:hAnsi="Times New Roman" w:cs="Times New Roman"/>
          <w:sz w:val="22"/>
          <w:szCs w:val="22"/>
        </w:rPr>
        <w:t xml:space="preserve">Wallace, </w:t>
      </w:r>
      <w:proofErr w:type="spellStart"/>
      <w:r w:rsidR="00AB193A" w:rsidRPr="00F42ABD">
        <w:rPr>
          <w:rFonts w:ascii="Times New Roman" w:hAnsi="Times New Roman" w:cs="Times New Roman"/>
          <w:sz w:val="22"/>
          <w:szCs w:val="22"/>
        </w:rPr>
        <w:t>Sharfstein</w:t>
      </w:r>
      <w:proofErr w:type="spellEnd"/>
      <w:r w:rsidR="00AB193A" w:rsidRPr="00F42ABD">
        <w:rPr>
          <w:rFonts w:ascii="Times New Roman" w:hAnsi="Times New Roman" w:cs="Times New Roman"/>
          <w:sz w:val="22"/>
          <w:szCs w:val="22"/>
        </w:rPr>
        <w:t>, and Kaminsky (2019).</w:t>
      </w:r>
    </w:p>
    <w:p w14:paraId="238B543B" w14:textId="77777777" w:rsidR="00F62D7E" w:rsidRDefault="00F62D7E" w:rsidP="000D2915">
      <w:pPr>
        <w:rPr>
          <w:rFonts w:ascii="Times New Roman" w:hAnsi="Times New Roman" w:cs="Times New Roman"/>
        </w:rPr>
      </w:pPr>
    </w:p>
    <w:p w14:paraId="59EDDFF9" w14:textId="4728CE9D" w:rsidR="00A72169" w:rsidRDefault="00B51CC7" w:rsidP="00895294">
      <w:pPr>
        <w:rPr>
          <w:rFonts w:ascii="Times New Roman" w:hAnsi="Times New Roman" w:cs="Times New Roman"/>
          <w:b/>
          <w:bCs/>
        </w:rPr>
      </w:pPr>
      <w:r>
        <w:rPr>
          <w:rFonts w:ascii="Times New Roman" w:hAnsi="Times New Roman" w:cs="Times New Roman"/>
        </w:rPr>
        <w:t xml:space="preserve"> </w:t>
      </w:r>
    </w:p>
    <w:p w14:paraId="742E8650" w14:textId="37E39A7B" w:rsidR="004A55A3" w:rsidRDefault="004A55A3" w:rsidP="00895294">
      <w:pPr>
        <w:rPr>
          <w:rFonts w:ascii="Times New Roman" w:hAnsi="Times New Roman" w:cs="Times New Roman"/>
          <w:b/>
          <w:bCs/>
        </w:rPr>
      </w:pPr>
    </w:p>
    <w:p w14:paraId="31AA3E6C" w14:textId="77777777" w:rsidR="004A55A3" w:rsidRDefault="004A55A3" w:rsidP="00895294">
      <w:pPr>
        <w:rPr>
          <w:rFonts w:ascii="Times New Roman" w:hAnsi="Times New Roman" w:cs="Times New Roman"/>
        </w:rPr>
      </w:pPr>
    </w:p>
    <w:p w14:paraId="399A9CFB" w14:textId="15B6322B" w:rsidR="005E5C36" w:rsidRPr="00E44771" w:rsidRDefault="005E5C36" w:rsidP="00A72169">
      <w:pPr>
        <w:jc w:val="center"/>
        <w:rPr>
          <w:rFonts w:ascii="Times New Roman" w:hAnsi="Times New Roman" w:cs="Times New Roman"/>
          <w:sz w:val="22"/>
          <w:szCs w:val="22"/>
        </w:rPr>
      </w:pPr>
      <w:r w:rsidRPr="00E44771">
        <w:rPr>
          <w:rFonts w:ascii="Times New Roman" w:hAnsi="Times New Roman" w:cs="Times New Roman"/>
          <w:sz w:val="22"/>
          <w:szCs w:val="22"/>
        </w:rPr>
        <w:lastRenderedPageBreak/>
        <w:t>Works Cited</w:t>
      </w:r>
    </w:p>
    <w:p w14:paraId="4C0ED0BF" w14:textId="6F6B1D01" w:rsidR="009D5A58" w:rsidRPr="00E44771" w:rsidRDefault="009D5A58">
      <w:pPr>
        <w:rPr>
          <w:rFonts w:ascii="Times New Roman" w:eastAsia="Times New Roman" w:hAnsi="Times New Roman" w:cs="Times New Roman"/>
          <w:sz w:val="22"/>
          <w:szCs w:val="22"/>
        </w:rPr>
      </w:pPr>
    </w:p>
    <w:p w14:paraId="110504B5" w14:textId="7529741F" w:rsidR="00895294" w:rsidRPr="00E44771" w:rsidRDefault="00893B74" w:rsidP="00D34EB2">
      <w:pPr>
        <w:rPr>
          <w:rFonts w:ascii="Times New Roman" w:hAnsi="Times New Roman" w:cs="Times New Roman"/>
          <w:sz w:val="22"/>
          <w:szCs w:val="22"/>
        </w:rPr>
      </w:pPr>
      <w:r w:rsidRPr="00E44771">
        <w:rPr>
          <w:rFonts w:ascii="Times New Roman" w:eastAsia="Times New Roman" w:hAnsi="Times New Roman" w:cs="Times New Roman"/>
          <w:sz w:val="22"/>
          <w:szCs w:val="22"/>
        </w:rPr>
        <w:t xml:space="preserve">American Communities Project. American Communities Project. Retrieved October 7, 2020, from </w:t>
      </w:r>
      <w:r w:rsidR="00D34EB2">
        <w:rPr>
          <w:rFonts w:ascii="Times New Roman" w:eastAsia="Times New Roman" w:hAnsi="Times New Roman" w:cs="Times New Roman"/>
          <w:sz w:val="22"/>
          <w:szCs w:val="22"/>
        </w:rPr>
        <w:tab/>
      </w:r>
      <w:r w:rsidRPr="00E44771">
        <w:rPr>
          <w:rFonts w:ascii="Times New Roman" w:eastAsia="Times New Roman" w:hAnsi="Times New Roman" w:cs="Times New Roman"/>
          <w:sz w:val="22"/>
          <w:szCs w:val="22"/>
        </w:rPr>
        <w:t>https://www.americancommunities.org/</w:t>
      </w:r>
      <w:r w:rsidRPr="00E44771">
        <w:rPr>
          <w:rFonts w:ascii="Times New Roman" w:hAnsi="Times New Roman" w:cs="Times New Roman"/>
          <w:sz w:val="22"/>
          <w:szCs w:val="22"/>
        </w:rPr>
        <w:t xml:space="preserve"> </w:t>
      </w:r>
    </w:p>
    <w:p w14:paraId="6F646CDC" w14:textId="34424423" w:rsidR="00895294" w:rsidRPr="00E44771" w:rsidRDefault="00895294" w:rsidP="009D5A58">
      <w:pPr>
        <w:pStyle w:val="NormalWeb"/>
        <w:shd w:val="clear" w:color="auto" w:fill="FFFFFF"/>
        <w:rPr>
          <w:sz w:val="22"/>
          <w:szCs w:val="22"/>
        </w:rPr>
      </w:pPr>
      <w:proofErr w:type="spellStart"/>
      <w:r w:rsidRPr="00895294">
        <w:rPr>
          <w:sz w:val="22"/>
          <w:szCs w:val="22"/>
        </w:rPr>
        <w:t>Jin</w:t>
      </w:r>
      <w:proofErr w:type="spellEnd"/>
      <w:r w:rsidRPr="00895294">
        <w:rPr>
          <w:sz w:val="22"/>
          <w:szCs w:val="22"/>
        </w:rPr>
        <w:t xml:space="preserve"> X., Han J. (2011) </w:t>
      </w:r>
      <w:r w:rsidRPr="00895294">
        <w:rPr>
          <w:i/>
          <w:iCs/>
          <w:sz w:val="22"/>
          <w:szCs w:val="22"/>
        </w:rPr>
        <w:t>K</w:t>
      </w:r>
      <w:r w:rsidRPr="00895294">
        <w:rPr>
          <w:sz w:val="22"/>
          <w:szCs w:val="22"/>
        </w:rPr>
        <w:t xml:space="preserve">-Medoids Clustering. In: </w:t>
      </w:r>
      <w:proofErr w:type="spellStart"/>
      <w:r w:rsidRPr="00895294">
        <w:rPr>
          <w:sz w:val="22"/>
          <w:szCs w:val="22"/>
        </w:rPr>
        <w:t>Sammut</w:t>
      </w:r>
      <w:proofErr w:type="spellEnd"/>
      <w:r w:rsidRPr="00895294">
        <w:rPr>
          <w:sz w:val="22"/>
          <w:szCs w:val="22"/>
        </w:rPr>
        <w:t xml:space="preserve"> C., Webb G.I. (eds) Encyclopedia of Machine </w:t>
      </w:r>
      <w:r w:rsidR="00D34EB2">
        <w:rPr>
          <w:sz w:val="22"/>
          <w:szCs w:val="22"/>
        </w:rPr>
        <w:tab/>
      </w:r>
      <w:r w:rsidRPr="00895294">
        <w:rPr>
          <w:sz w:val="22"/>
          <w:szCs w:val="22"/>
        </w:rPr>
        <w:t xml:space="preserve">Learning. Springer, Boston, MA. </w:t>
      </w:r>
      <w:hyperlink r:id="rId7" w:history="1">
        <w:r w:rsidR="00D34EB2" w:rsidRPr="00895294">
          <w:rPr>
            <w:rStyle w:val="Hyperlink"/>
            <w:sz w:val="22"/>
            <w:szCs w:val="22"/>
          </w:rPr>
          <w:t>https://doi.org/10.1007/978-0-387-30164-8_426</w:t>
        </w:r>
      </w:hyperlink>
      <w:r w:rsidR="00D34EB2">
        <w:rPr>
          <w:sz w:val="22"/>
          <w:szCs w:val="22"/>
        </w:rPr>
        <w:t xml:space="preserve"> </w:t>
      </w:r>
    </w:p>
    <w:p w14:paraId="0EFB5FA3" w14:textId="6D3CC5E2" w:rsidR="004E2349" w:rsidRPr="00E44771" w:rsidRDefault="004E2349" w:rsidP="004E2349">
      <w:pPr>
        <w:pStyle w:val="NormalWeb"/>
        <w:shd w:val="clear" w:color="auto" w:fill="FFFFFF"/>
        <w:rPr>
          <w:sz w:val="22"/>
          <w:szCs w:val="22"/>
        </w:rPr>
      </w:pPr>
      <w:r w:rsidRPr="00E44771">
        <w:rPr>
          <w:sz w:val="22"/>
          <w:szCs w:val="22"/>
        </w:rPr>
        <w:t xml:space="preserve">Robert Wood Johnson Foundation. (2020). Explore Health Rankings. Retrieved October 7, 2020, </w:t>
      </w:r>
      <w:r w:rsidRPr="00E44771">
        <w:rPr>
          <w:sz w:val="22"/>
          <w:szCs w:val="22"/>
        </w:rPr>
        <w:tab/>
        <w:t xml:space="preserve">from </w:t>
      </w:r>
      <w:r w:rsidR="00D34EB2">
        <w:rPr>
          <w:sz w:val="22"/>
          <w:szCs w:val="22"/>
        </w:rPr>
        <w:tab/>
      </w:r>
      <w:r w:rsidRPr="00E44771">
        <w:rPr>
          <w:sz w:val="22"/>
          <w:szCs w:val="22"/>
        </w:rPr>
        <w:t>https://www.countyhealthrankings.org/explore-health-rankings</w:t>
      </w:r>
    </w:p>
    <w:p w14:paraId="33CB28F3" w14:textId="0B0D2E2D" w:rsidR="00893B74" w:rsidRPr="00E44771" w:rsidRDefault="00893B74" w:rsidP="009D5A58">
      <w:pPr>
        <w:pStyle w:val="NormalWeb"/>
        <w:shd w:val="clear" w:color="auto" w:fill="FFFFFF"/>
        <w:rPr>
          <w:sz w:val="22"/>
          <w:szCs w:val="22"/>
        </w:rPr>
      </w:pPr>
      <w:r w:rsidRPr="00E44771">
        <w:rPr>
          <w:sz w:val="22"/>
          <w:szCs w:val="22"/>
        </w:rPr>
        <w:t xml:space="preserve">Tan, P., Steinbach, M., </w:t>
      </w:r>
      <w:proofErr w:type="spellStart"/>
      <w:r w:rsidRPr="00E44771">
        <w:rPr>
          <w:sz w:val="22"/>
          <w:szCs w:val="22"/>
        </w:rPr>
        <w:t>Karpatne</w:t>
      </w:r>
      <w:proofErr w:type="spellEnd"/>
      <w:r w:rsidRPr="00E44771">
        <w:rPr>
          <w:sz w:val="22"/>
          <w:szCs w:val="22"/>
        </w:rPr>
        <w:t xml:space="preserve">, A., &amp; Kumar, V. (2019). </w:t>
      </w:r>
      <w:r w:rsidRPr="00E44771">
        <w:rPr>
          <w:i/>
          <w:iCs/>
          <w:sz w:val="22"/>
          <w:szCs w:val="22"/>
        </w:rPr>
        <w:t>Introduction to data mining</w:t>
      </w:r>
      <w:r w:rsidRPr="00E44771">
        <w:rPr>
          <w:sz w:val="22"/>
          <w:szCs w:val="22"/>
        </w:rPr>
        <w:t xml:space="preserve">. New York: </w:t>
      </w:r>
      <w:r w:rsidR="00D34EB2">
        <w:rPr>
          <w:sz w:val="22"/>
          <w:szCs w:val="22"/>
        </w:rPr>
        <w:tab/>
      </w:r>
      <w:r w:rsidRPr="00E44771">
        <w:rPr>
          <w:sz w:val="22"/>
          <w:szCs w:val="22"/>
        </w:rPr>
        <w:t xml:space="preserve">Pearson Education. </w:t>
      </w:r>
    </w:p>
    <w:p w14:paraId="2C04D32D" w14:textId="0E5FFAAE" w:rsidR="00E44771" w:rsidRPr="00E44771" w:rsidRDefault="009D5A58" w:rsidP="00E44771">
      <w:pPr>
        <w:pStyle w:val="NormalWeb"/>
        <w:shd w:val="clear" w:color="auto" w:fill="FFFFFF"/>
        <w:rPr>
          <w:color w:val="0000FF"/>
          <w:sz w:val="22"/>
          <w:szCs w:val="22"/>
        </w:rPr>
      </w:pPr>
      <w:r w:rsidRPr="00E44771">
        <w:rPr>
          <w:sz w:val="22"/>
          <w:szCs w:val="22"/>
        </w:rPr>
        <w:t xml:space="preserve">US Census Bureau. (2020, March 20). American Community Survey Data. Retrieved October 7, 2020, </w:t>
      </w:r>
      <w:r w:rsidR="00D34EB2">
        <w:rPr>
          <w:sz w:val="22"/>
          <w:szCs w:val="22"/>
        </w:rPr>
        <w:tab/>
      </w:r>
      <w:r w:rsidRPr="00E44771">
        <w:rPr>
          <w:sz w:val="22"/>
          <w:szCs w:val="22"/>
        </w:rPr>
        <w:t>from https://www.census.gov/programs-surveys/acs/data.html</w:t>
      </w:r>
      <w:r w:rsidRPr="00E44771">
        <w:rPr>
          <w:color w:val="0000FF"/>
          <w:sz w:val="22"/>
          <w:szCs w:val="22"/>
        </w:rPr>
        <w:t xml:space="preserve"> </w:t>
      </w:r>
    </w:p>
    <w:p w14:paraId="502631B3" w14:textId="77777777" w:rsidR="00E44771" w:rsidRPr="00E44771" w:rsidRDefault="00E44771" w:rsidP="00E44771">
      <w:pPr>
        <w:pStyle w:val="NormalWeb"/>
        <w:ind w:left="567" w:hanging="567"/>
        <w:rPr>
          <w:sz w:val="22"/>
          <w:szCs w:val="22"/>
        </w:rPr>
      </w:pPr>
      <w:r w:rsidRPr="00E44771">
        <w:rPr>
          <w:sz w:val="22"/>
          <w:szCs w:val="22"/>
        </w:rPr>
        <w:t>US Census Bureau. (2018, April 30). By Decade. Retrieved November 09, 2020, from https://www.census.gov/programs-surveys/decennial-census/decade.html</w:t>
      </w:r>
    </w:p>
    <w:p w14:paraId="1B6B0E6E" w14:textId="1F21C7FE" w:rsidR="00DF5761" w:rsidRDefault="00DF5761" w:rsidP="00DF5761">
      <w:pPr>
        <w:pStyle w:val="NormalWeb"/>
        <w:rPr>
          <w:sz w:val="22"/>
          <w:szCs w:val="22"/>
        </w:rPr>
      </w:pPr>
      <w:r w:rsidRPr="00E44771">
        <w:rPr>
          <w:sz w:val="22"/>
          <w:szCs w:val="22"/>
        </w:rPr>
        <w:t>US Census Bureau</w:t>
      </w:r>
      <w:r w:rsidRPr="00DF5761">
        <w:rPr>
          <w:sz w:val="22"/>
          <w:szCs w:val="22"/>
        </w:rPr>
        <w:t xml:space="preserve">. (2020, October 16). Population. Retrieved November 09, 2020, from </w:t>
      </w:r>
      <w:r>
        <w:rPr>
          <w:sz w:val="22"/>
          <w:szCs w:val="22"/>
        </w:rPr>
        <w:tab/>
      </w:r>
      <w:r w:rsidRPr="00DF5761">
        <w:rPr>
          <w:sz w:val="22"/>
          <w:szCs w:val="22"/>
        </w:rPr>
        <w:t>https://www.census.gov/topics/population.html</w:t>
      </w:r>
    </w:p>
    <w:p w14:paraId="644D7D63" w14:textId="152083C0" w:rsidR="00E44771" w:rsidRPr="00E44771" w:rsidRDefault="00E44771" w:rsidP="00E44771">
      <w:pPr>
        <w:pStyle w:val="NormalWeb"/>
        <w:ind w:left="567" w:hanging="567"/>
        <w:rPr>
          <w:sz w:val="22"/>
          <w:szCs w:val="22"/>
        </w:rPr>
      </w:pPr>
      <w:r w:rsidRPr="00E44771">
        <w:rPr>
          <w:sz w:val="22"/>
          <w:szCs w:val="22"/>
        </w:rPr>
        <w:t>US Census Bureau. (2019, July 01). Reference Files. Retrieved November 09, 2020, from https://www.census.gov/geographies/reference-files.html</w:t>
      </w:r>
    </w:p>
    <w:p w14:paraId="15850B07" w14:textId="087C15D1" w:rsidR="00E44771" w:rsidRDefault="00E44771" w:rsidP="00E44771">
      <w:pPr>
        <w:pStyle w:val="NormalWeb"/>
        <w:ind w:left="567" w:hanging="567"/>
        <w:rPr>
          <w:sz w:val="22"/>
          <w:szCs w:val="22"/>
        </w:rPr>
      </w:pPr>
      <w:r w:rsidRPr="00E44771">
        <w:rPr>
          <w:sz w:val="22"/>
          <w:szCs w:val="22"/>
        </w:rPr>
        <w:t>US Census Bureau. (2020, February 24). Urban and Rural. Retrieved November 09, 2020, from https://www.census.gov/programs-surveys/geography/guidance/geo-areas/urban-rural.html</w:t>
      </w:r>
    </w:p>
    <w:p w14:paraId="1B5DB7CA" w14:textId="2A462A35" w:rsidR="004B09F1" w:rsidRPr="00E44771" w:rsidRDefault="004B09F1" w:rsidP="004B09F1">
      <w:pPr>
        <w:pStyle w:val="NormalWeb"/>
        <w:ind w:left="567" w:hanging="567"/>
        <w:rPr>
          <w:sz w:val="22"/>
          <w:szCs w:val="22"/>
        </w:rPr>
      </w:pPr>
      <w:r w:rsidRPr="004B09F1">
        <w:rPr>
          <w:sz w:val="22"/>
          <w:szCs w:val="22"/>
        </w:rPr>
        <w:t>US Census Bureau. (2019, September 17). When to Use 1-year, 3-year, or 5-year Estimates. Retrieved February 17, 2020, from https://www.census.gov/programs- surveys/</w:t>
      </w:r>
      <w:proofErr w:type="spellStart"/>
      <w:r w:rsidRPr="004B09F1">
        <w:rPr>
          <w:sz w:val="22"/>
          <w:szCs w:val="22"/>
        </w:rPr>
        <w:t>acs</w:t>
      </w:r>
      <w:proofErr w:type="spellEnd"/>
      <w:r w:rsidRPr="004B09F1">
        <w:rPr>
          <w:sz w:val="22"/>
          <w:szCs w:val="22"/>
        </w:rPr>
        <w:t xml:space="preserve">/guidance/estimates.html </w:t>
      </w:r>
    </w:p>
    <w:p w14:paraId="538469BA" w14:textId="400615E1" w:rsidR="001928E7" w:rsidRPr="00E44771" w:rsidRDefault="004365F8" w:rsidP="00A72169">
      <w:pPr>
        <w:shd w:val="clear" w:color="auto" w:fill="FFFFFF"/>
        <w:rPr>
          <w:rFonts w:ascii="Times New Roman" w:eastAsia="Times New Roman" w:hAnsi="Times New Roman" w:cs="Times New Roman"/>
          <w:sz w:val="22"/>
          <w:szCs w:val="22"/>
        </w:rPr>
      </w:pPr>
      <w:r w:rsidRPr="00E44771">
        <w:rPr>
          <w:rFonts w:ascii="Times New Roman" w:eastAsia="Times New Roman" w:hAnsi="Times New Roman" w:cs="Times New Roman"/>
          <w:sz w:val="22"/>
          <w:szCs w:val="22"/>
        </w:rPr>
        <w:t>Wallace</w:t>
      </w:r>
      <w:r w:rsidR="001928E7" w:rsidRPr="00E44771">
        <w:rPr>
          <w:rFonts w:ascii="Times New Roman" w:eastAsia="Times New Roman" w:hAnsi="Times New Roman" w:cs="Times New Roman"/>
          <w:sz w:val="22"/>
          <w:szCs w:val="22"/>
        </w:rPr>
        <w:t xml:space="preserve">, </w:t>
      </w:r>
      <w:r w:rsidRPr="00E44771">
        <w:rPr>
          <w:rFonts w:ascii="Times New Roman" w:eastAsia="Times New Roman" w:hAnsi="Times New Roman" w:cs="Times New Roman"/>
          <w:sz w:val="22"/>
          <w:szCs w:val="22"/>
        </w:rPr>
        <w:t>M</w:t>
      </w:r>
      <w:r w:rsidR="001928E7" w:rsidRPr="00E44771">
        <w:rPr>
          <w:rFonts w:ascii="Times New Roman" w:eastAsia="Times New Roman" w:hAnsi="Times New Roman" w:cs="Times New Roman"/>
          <w:sz w:val="22"/>
          <w:szCs w:val="22"/>
        </w:rPr>
        <w:t xml:space="preserve">., </w:t>
      </w:r>
      <w:proofErr w:type="spellStart"/>
      <w:r w:rsidRPr="00E44771">
        <w:rPr>
          <w:rFonts w:ascii="Times New Roman" w:eastAsia="Times New Roman" w:hAnsi="Times New Roman" w:cs="Times New Roman"/>
          <w:sz w:val="22"/>
          <w:szCs w:val="22"/>
        </w:rPr>
        <w:t>Sharfstein</w:t>
      </w:r>
      <w:proofErr w:type="spellEnd"/>
      <w:r w:rsidR="001928E7" w:rsidRPr="00E44771">
        <w:rPr>
          <w:rFonts w:ascii="Times New Roman" w:eastAsia="Times New Roman" w:hAnsi="Times New Roman" w:cs="Times New Roman"/>
          <w:sz w:val="22"/>
          <w:szCs w:val="22"/>
        </w:rPr>
        <w:t xml:space="preserve">, </w:t>
      </w:r>
      <w:r w:rsidRPr="00E44771">
        <w:rPr>
          <w:rFonts w:ascii="Times New Roman" w:eastAsia="Times New Roman" w:hAnsi="Times New Roman" w:cs="Times New Roman"/>
          <w:sz w:val="22"/>
          <w:szCs w:val="22"/>
        </w:rPr>
        <w:t>J</w:t>
      </w:r>
      <w:r w:rsidR="001928E7" w:rsidRPr="00E44771">
        <w:rPr>
          <w:rFonts w:ascii="Times New Roman" w:eastAsia="Times New Roman" w:hAnsi="Times New Roman" w:cs="Times New Roman"/>
          <w:sz w:val="22"/>
          <w:szCs w:val="22"/>
        </w:rPr>
        <w:t xml:space="preserve">., &amp; </w:t>
      </w:r>
      <w:r w:rsidRPr="00E44771">
        <w:rPr>
          <w:rFonts w:ascii="Times New Roman" w:eastAsia="Times New Roman" w:hAnsi="Times New Roman" w:cs="Times New Roman"/>
          <w:sz w:val="22"/>
          <w:szCs w:val="22"/>
        </w:rPr>
        <w:t>Kaminsky</w:t>
      </w:r>
      <w:r w:rsidR="001928E7" w:rsidRPr="00E44771">
        <w:rPr>
          <w:rFonts w:ascii="Times New Roman" w:eastAsia="Times New Roman" w:hAnsi="Times New Roman" w:cs="Times New Roman"/>
          <w:sz w:val="22"/>
          <w:szCs w:val="22"/>
        </w:rPr>
        <w:t xml:space="preserve">, </w:t>
      </w:r>
      <w:r w:rsidRPr="00E44771">
        <w:rPr>
          <w:rFonts w:ascii="Times New Roman" w:eastAsia="Times New Roman" w:hAnsi="Times New Roman" w:cs="Times New Roman"/>
          <w:sz w:val="22"/>
          <w:szCs w:val="22"/>
        </w:rPr>
        <w:t>J</w:t>
      </w:r>
      <w:r w:rsidR="001928E7" w:rsidRPr="00E44771">
        <w:rPr>
          <w:rFonts w:ascii="Times New Roman" w:eastAsia="Times New Roman" w:hAnsi="Times New Roman" w:cs="Times New Roman"/>
          <w:sz w:val="22"/>
          <w:szCs w:val="22"/>
        </w:rPr>
        <w:t>. (</w:t>
      </w:r>
      <w:r w:rsidRPr="00E44771">
        <w:rPr>
          <w:rFonts w:ascii="Times New Roman" w:eastAsia="Times New Roman" w:hAnsi="Times New Roman" w:cs="Times New Roman"/>
          <w:sz w:val="22"/>
          <w:szCs w:val="22"/>
        </w:rPr>
        <w:t>2019</w:t>
      </w:r>
      <w:r w:rsidR="001928E7" w:rsidRPr="00E44771">
        <w:rPr>
          <w:rFonts w:ascii="Times New Roman" w:eastAsia="Times New Roman" w:hAnsi="Times New Roman" w:cs="Times New Roman"/>
          <w:sz w:val="22"/>
          <w:szCs w:val="22"/>
        </w:rPr>
        <w:t xml:space="preserve">). </w:t>
      </w:r>
      <w:r w:rsidRPr="00E44771">
        <w:rPr>
          <w:rFonts w:ascii="Times New Roman" w:eastAsia="Times New Roman" w:hAnsi="Times New Roman" w:cs="Times New Roman"/>
          <w:sz w:val="22"/>
          <w:szCs w:val="22"/>
        </w:rPr>
        <w:t xml:space="preserve">Comparison of US County-Level Public Health </w:t>
      </w:r>
      <w:r w:rsidR="00D34EB2">
        <w:rPr>
          <w:rFonts w:ascii="Times New Roman" w:eastAsia="Times New Roman" w:hAnsi="Times New Roman" w:cs="Times New Roman"/>
          <w:sz w:val="22"/>
          <w:szCs w:val="22"/>
        </w:rPr>
        <w:tab/>
      </w:r>
      <w:r w:rsidRPr="00E44771">
        <w:rPr>
          <w:rFonts w:ascii="Times New Roman" w:eastAsia="Times New Roman" w:hAnsi="Times New Roman" w:cs="Times New Roman"/>
          <w:sz w:val="22"/>
          <w:szCs w:val="22"/>
        </w:rPr>
        <w:t xml:space="preserve">Performance Rankings </w:t>
      </w:r>
      <w:proofErr w:type="gramStart"/>
      <w:r w:rsidRPr="00E44771">
        <w:rPr>
          <w:rFonts w:ascii="Times New Roman" w:eastAsia="Times New Roman" w:hAnsi="Times New Roman" w:cs="Times New Roman"/>
          <w:sz w:val="22"/>
          <w:szCs w:val="22"/>
        </w:rPr>
        <w:t>With</w:t>
      </w:r>
      <w:proofErr w:type="gramEnd"/>
      <w:r w:rsidRPr="00E44771">
        <w:rPr>
          <w:rFonts w:ascii="Times New Roman" w:eastAsia="Times New Roman" w:hAnsi="Times New Roman" w:cs="Times New Roman"/>
          <w:sz w:val="22"/>
          <w:szCs w:val="22"/>
        </w:rPr>
        <w:t xml:space="preserve"> County Cluster and National Rankings</w:t>
      </w:r>
      <w:r w:rsidR="001928E7" w:rsidRPr="00E44771">
        <w:rPr>
          <w:rFonts w:ascii="Times New Roman" w:eastAsia="Times New Roman" w:hAnsi="Times New Roman" w:cs="Times New Roman"/>
          <w:sz w:val="22"/>
          <w:szCs w:val="22"/>
        </w:rPr>
        <w:t>. </w:t>
      </w:r>
      <w:r w:rsidRPr="00E44771">
        <w:rPr>
          <w:rFonts w:ascii="Times New Roman" w:eastAsia="Times New Roman" w:hAnsi="Times New Roman" w:cs="Times New Roman"/>
          <w:i/>
          <w:iCs/>
          <w:sz w:val="22"/>
          <w:szCs w:val="22"/>
        </w:rPr>
        <w:t>JAMA Network Open</w:t>
      </w:r>
      <w:r w:rsidR="001928E7" w:rsidRPr="00E44771">
        <w:rPr>
          <w:rFonts w:ascii="Times New Roman" w:eastAsia="Times New Roman" w:hAnsi="Times New Roman" w:cs="Times New Roman"/>
          <w:sz w:val="22"/>
          <w:szCs w:val="22"/>
        </w:rPr>
        <w:t>, </w:t>
      </w:r>
      <w:r w:rsidRPr="00E44771">
        <w:rPr>
          <w:rFonts w:ascii="Times New Roman" w:eastAsia="Times New Roman" w:hAnsi="Times New Roman" w:cs="Times New Roman"/>
          <w:i/>
          <w:iCs/>
          <w:sz w:val="22"/>
          <w:szCs w:val="22"/>
        </w:rPr>
        <w:t>2(1)</w:t>
      </w:r>
      <w:r w:rsidR="001928E7" w:rsidRPr="00E44771">
        <w:rPr>
          <w:rFonts w:ascii="Times New Roman" w:eastAsia="Times New Roman" w:hAnsi="Times New Roman" w:cs="Times New Roman"/>
          <w:sz w:val="22"/>
          <w:szCs w:val="22"/>
        </w:rPr>
        <w:t xml:space="preserve">. </w:t>
      </w:r>
      <w:r w:rsidR="00D34EB2">
        <w:rPr>
          <w:rFonts w:ascii="Times New Roman" w:eastAsia="Times New Roman" w:hAnsi="Times New Roman" w:cs="Times New Roman"/>
          <w:sz w:val="22"/>
          <w:szCs w:val="22"/>
        </w:rPr>
        <w:tab/>
      </w:r>
      <w:proofErr w:type="spellStart"/>
      <w:r w:rsidR="001928E7" w:rsidRPr="00E44771">
        <w:rPr>
          <w:rFonts w:ascii="Times New Roman" w:eastAsia="Times New Roman" w:hAnsi="Times New Roman" w:cs="Times New Roman"/>
          <w:sz w:val="22"/>
          <w:szCs w:val="22"/>
        </w:rPr>
        <w:t>doi</w:t>
      </w:r>
      <w:proofErr w:type="spellEnd"/>
      <w:r w:rsidR="001928E7" w:rsidRPr="00E44771">
        <w:rPr>
          <w:rFonts w:ascii="Times New Roman" w:eastAsia="Times New Roman" w:hAnsi="Times New Roman" w:cs="Times New Roman"/>
          <w:sz w:val="22"/>
          <w:szCs w:val="22"/>
        </w:rPr>
        <w:t xml:space="preserve">: </w:t>
      </w:r>
      <w:r w:rsidRPr="00E44771">
        <w:rPr>
          <w:rFonts w:ascii="Times New Roman" w:eastAsia="Times New Roman" w:hAnsi="Times New Roman" w:cs="Times New Roman"/>
          <w:sz w:val="22"/>
          <w:szCs w:val="22"/>
        </w:rPr>
        <w:t>10.1001/jamanetworkopen.2018.6816</w:t>
      </w:r>
    </w:p>
    <w:p w14:paraId="547FBFA3" w14:textId="43E7B525" w:rsidR="004365F8" w:rsidRDefault="004365F8" w:rsidP="00A72169">
      <w:pPr>
        <w:shd w:val="clear" w:color="auto" w:fill="FFFFFF"/>
        <w:rPr>
          <w:rFonts w:ascii="Times New Roman" w:eastAsia="Times New Roman" w:hAnsi="Times New Roman" w:cs="Times New Roman"/>
        </w:rPr>
      </w:pPr>
    </w:p>
    <w:p w14:paraId="3DDE2B93" w14:textId="77777777" w:rsidR="001928E7" w:rsidRDefault="001928E7">
      <w:pPr>
        <w:rPr>
          <w:rFonts w:ascii="Times New Roman" w:hAnsi="Times New Roman" w:cs="Times New Roman"/>
        </w:rPr>
      </w:pPr>
    </w:p>
    <w:p w14:paraId="0E5E7B39" w14:textId="59A9E1CB" w:rsidR="003A23EB" w:rsidRDefault="003A23EB">
      <w:pPr>
        <w:rPr>
          <w:rFonts w:ascii="Times New Roman" w:hAnsi="Times New Roman" w:cs="Times New Roman"/>
        </w:rPr>
      </w:pPr>
    </w:p>
    <w:p w14:paraId="5ADEB4B3" w14:textId="0CE91579" w:rsidR="00287F74" w:rsidRPr="001F7C41" w:rsidRDefault="00287F74">
      <w:pPr>
        <w:rPr>
          <w:rFonts w:ascii="Times New Roman" w:hAnsi="Times New Roman" w:cs="Times New Roman"/>
        </w:rPr>
      </w:pPr>
    </w:p>
    <w:sectPr w:rsidR="00287F74" w:rsidRPr="001F7C41" w:rsidSect="00A721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31B"/>
    <w:rsid w:val="00000C32"/>
    <w:rsid w:val="0001271A"/>
    <w:rsid w:val="00017479"/>
    <w:rsid w:val="00035947"/>
    <w:rsid w:val="00037A7D"/>
    <w:rsid w:val="00045691"/>
    <w:rsid w:val="00045DFF"/>
    <w:rsid w:val="0005683E"/>
    <w:rsid w:val="00062769"/>
    <w:rsid w:val="0006455B"/>
    <w:rsid w:val="00081CEA"/>
    <w:rsid w:val="00081EB4"/>
    <w:rsid w:val="000A35CC"/>
    <w:rsid w:val="000B2E11"/>
    <w:rsid w:val="000C1F34"/>
    <w:rsid w:val="000D2022"/>
    <w:rsid w:val="000D2915"/>
    <w:rsid w:val="000D61F7"/>
    <w:rsid w:val="0011149F"/>
    <w:rsid w:val="00142FF6"/>
    <w:rsid w:val="0014364D"/>
    <w:rsid w:val="001772E5"/>
    <w:rsid w:val="001928E7"/>
    <w:rsid w:val="001A6B72"/>
    <w:rsid w:val="001B0ED4"/>
    <w:rsid w:val="001B14FE"/>
    <w:rsid w:val="001B3538"/>
    <w:rsid w:val="001C7FB3"/>
    <w:rsid w:val="001F15CC"/>
    <w:rsid w:val="001F7C41"/>
    <w:rsid w:val="00207ABF"/>
    <w:rsid w:val="002123E8"/>
    <w:rsid w:val="00251C0C"/>
    <w:rsid w:val="0025217D"/>
    <w:rsid w:val="0027252C"/>
    <w:rsid w:val="00282FE6"/>
    <w:rsid w:val="00287F74"/>
    <w:rsid w:val="002A05B2"/>
    <w:rsid w:val="002E005D"/>
    <w:rsid w:val="002F16CE"/>
    <w:rsid w:val="00311A1C"/>
    <w:rsid w:val="0031608C"/>
    <w:rsid w:val="00317EC6"/>
    <w:rsid w:val="0032038A"/>
    <w:rsid w:val="0032645A"/>
    <w:rsid w:val="003647C7"/>
    <w:rsid w:val="0037083B"/>
    <w:rsid w:val="003772C6"/>
    <w:rsid w:val="003810EB"/>
    <w:rsid w:val="00386EB6"/>
    <w:rsid w:val="003A23EB"/>
    <w:rsid w:val="003B4899"/>
    <w:rsid w:val="003F7421"/>
    <w:rsid w:val="00422EF5"/>
    <w:rsid w:val="00425D62"/>
    <w:rsid w:val="004365F8"/>
    <w:rsid w:val="00461322"/>
    <w:rsid w:val="004658FF"/>
    <w:rsid w:val="00493D72"/>
    <w:rsid w:val="004943F3"/>
    <w:rsid w:val="004A0AC1"/>
    <w:rsid w:val="004A55A3"/>
    <w:rsid w:val="004B09F1"/>
    <w:rsid w:val="004B7AF1"/>
    <w:rsid w:val="004D49A7"/>
    <w:rsid w:val="004D538F"/>
    <w:rsid w:val="004E0BB1"/>
    <w:rsid w:val="004E2349"/>
    <w:rsid w:val="004F69A6"/>
    <w:rsid w:val="005007AC"/>
    <w:rsid w:val="0052382D"/>
    <w:rsid w:val="00541A87"/>
    <w:rsid w:val="00544685"/>
    <w:rsid w:val="00567BC7"/>
    <w:rsid w:val="0057004B"/>
    <w:rsid w:val="00574CBE"/>
    <w:rsid w:val="005855DB"/>
    <w:rsid w:val="005A64D2"/>
    <w:rsid w:val="005E0933"/>
    <w:rsid w:val="005E5C36"/>
    <w:rsid w:val="005E67F5"/>
    <w:rsid w:val="005E7BEC"/>
    <w:rsid w:val="00631F37"/>
    <w:rsid w:val="00647167"/>
    <w:rsid w:val="00661240"/>
    <w:rsid w:val="00664DAC"/>
    <w:rsid w:val="00681B87"/>
    <w:rsid w:val="006E65E2"/>
    <w:rsid w:val="007000F5"/>
    <w:rsid w:val="00725937"/>
    <w:rsid w:val="0073414A"/>
    <w:rsid w:val="007E7636"/>
    <w:rsid w:val="007F1AB5"/>
    <w:rsid w:val="00813B25"/>
    <w:rsid w:val="00820050"/>
    <w:rsid w:val="00832736"/>
    <w:rsid w:val="008502D6"/>
    <w:rsid w:val="00854F1C"/>
    <w:rsid w:val="00857B60"/>
    <w:rsid w:val="00861640"/>
    <w:rsid w:val="00886C22"/>
    <w:rsid w:val="008937F9"/>
    <w:rsid w:val="00893B74"/>
    <w:rsid w:val="00895294"/>
    <w:rsid w:val="008A6FDE"/>
    <w:rsid w:val="008B444C"/>
    <w:rsid w:val="008C274F"/>
    <w:rsid w:val="008C2C1F"/>
    <w:rsid w:val="008D0465"/>
    <w:rsid w:val="008D69E4"/>
    <w:rsid w:val="008F7937"/>
    <w:rsid w:val="00911A11"/>
    <w:rsid w:val="00927745"/>
    <w:rsid w:val="0093158A"/>
    <w:rsid w:val="0095704E"/>
    <w:rsid w:val="00971BCA"/>
    <w:rsid w:val="009840AB"/>
    <w:rsid w:val="00997CA4"/>
    <w:rsid w:val="009B2D11"/>
    <w:rsid w:val="009C41E9"/>
    <w:rsid w:val="009D5A58"/>
    <w:rsid w:val="00A102E1"/>
    <w:rsid w:val="00A14558"/>
    <w:rsid w:val="00A22D30"/>
    <w:rsid w:val="00A333A1"/>
    <w:rsid w:val="00A34A24"/>
    <w:rsid w:val="00A36FF8"/>
    <w:rsid w:val="00A47CD1"/>
    <w:rsid w:val="00A50F1E"/>
    <w:rsid w:val="00A56710"/>
    <w:rsid w:val="00A56934"/>
    <w:rsid w:val="00A62F6F"/>
    <w:rsid w:val="00A66E90"/>
    <w:rsid w:val="00A72169"/>
    <w:rsid w:val="00A815E3"/>
    <w:rsid w:val="00A8571D"/>
    <w:rsid w:val="00A91615"/>
    <w:rsid w:val="00A93BD0"/>
    <w:rsid w:val="00AB193A"/>
    <w:rsid w:val="00AE6D3B"/>
    <w:rsid w:val="00B23539"/>
    <w:rsid w:val="00B46ED8"/>
    <w:rsid w:val="00B51CC7"/>
    <w:rsid w:val="00B5631B"/>
    <w:rsid w:val="00B566C8"/>
    <w:rsid w:val="00B710DC"/>
    <w:rsid w:val="00B73BF6"/>
    <w:rsid w:val="00B82BC8"/>
    <w:rsid w:val="00BA1942"/>
    <w:rsid w:val="00BC3265"/>
    <w:rsid w:val="00BC71C9"/>
    <w:rsid w:val="00BD1101"/>
    <w:rsid w:val="00BE78FA"/>
    <w:rsid w:val="00C06F4B"/>
    <w:rsid w:val="00C137DD"/>
    <w:rsid w:val="00C17638"/>
    <w:rsid w:val="00C262CA"/>
    <w:rsid w:val="00C36342"/>
    <w:rsid w:val="00C62F58"/>
    <w:rsid w:val="00C73D5E"/>
    <w:rsid w:val="00C76450"/>
    <w:rsid w:val="00C912E7"/>
    <w:rsid w:val="00CA439D"/>
    <w:rsid w:val="00CC0960"/>
    <w:rsid w:val="00CC4D18"/>
    <w:rsid w:val="00CC5CD3"/>
    <w:rsid w:val="00CF6B37"/>
    <w:rsid w:val="00D2771F"/>
    <w:rsid w:val="00D34EB2"/>
    <w:rsid w:val="00D42A80"/>
    <w:rsid w:val="00D46DC4"/>
    <w:rsid w:val="00D715C1"/>
    <w:rsid w:val="00D8161C"/>
    <w:rsid w:val="00D94FA3"/>
    <w:rsid w:val="00DB0AF9"/>
    <w:rsid w:val="00DB3322"/>
    <w:rsid w:val="00DC327E"/>
    <w:rsid w:val="00DC4199"/>
    <w:rsid w:val="00DD6A74"/>
    <w:rsid w:val="00DF5761"/>
    <w:rsid w:val="00E074B7"/>
    <w:rsid w:val="00E14E99"/>
    <w:rsid w:val="00E34ABA"/>
    <w:rsid w:val="00E36F6F"/>
    <w:rsid w:val="00E42582"/>
    <w:rsid w:val="00E44771"/>
    <w:rsid w:val="00E46CAC"/>
    <w:rsid w:val="00E80C50"/>
    <w:rsid w:val="00E81E94"/>
    <w:rsid w:val="00E87BB6"/>
    <w:rsid w:val="00E97F97"/>
    <w:rsid w:val="00EA472F"/>
    <w:rsid w:val="00F049B1"/>
    <w:rsid w:val="00F06F86"/>
    <w:rsid w:val="00F1068D"/>
    <w:rsid w:val="00F10CF3"/>
    <w:rsid w:val="00F35A90"/>
    <w:rsid w:val="00F42ABD"/>
    <w:rsid w:val="00F62D7E"/>
    <w:rsid w:val="00F969A9"/>
    <w:rsid w:val="00FE5BDD"/>
    <w:rsid w:val="00FF6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A73A7"/>
  <w15:chartTrackingRefBased/>
  <w15:docId w15:val="{43A35D2F-1FFE-7044-AAA6-60344475F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A439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C36"/>
    <w:rPr>
      <w:color w:val="0000FF"/>
      <w:u w:val="single"/>
    </w:rPr>
  </w:style>
  <w:style w:type="character" w:styleId="UnresolvedMention">
    <w:name w:val="Unresolved Mention"/>
    <w:basedOn w:val="DefaultParagraphFont"/>
    <w:uiPriority w:val="99"/>
    <w:semiHidden/>
    <w:unhideWhenUsed/>
    <w:rsid w:val="001B3538"/>
    <w:rPr>
      <w:color w:val="605E5C"/>
      <w:shd w:val="clear" w:color="auto" w:fill="E1DFDD"/>
    </w:rPr>
  </w:style>
  <w:style w:type="character" w:customStyle="1" w:styleId="Heading1Char">
    <w:name w:val="Heading 1 Char"/>
    <w:basedOn w:val="DefaultParagraphFont"/>
    <w:link w:val="Heading1"/>
    <w:uiPriority w:val="9"/>
    <w:rsid w:val="001F15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439D"/>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E80C50"/>
    <w:rPr>
      <w:color w:val="954F72" w:themeColor="followedHyperlink"/>
      <w:u w:val="single"/>
    </w:rPr>
  </w:style>
  <w:style w:type="paragraph" w:styleId="BalloonText">
    <w:name w:val="Balloon Text"/>
    <w:basedOn w:val="Normal"/>
    <w:link w:val="BalloonTextChar"/>
    <w:uiPriority w:val="99"/>
    <w:semiHidden/>
    <w:unhideWhenUsed/>
    <w:rsid w:val="000127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1271A"/>
    <w:rPr>
      <w:rFonts w:ascii="Times New Roman" w:hAnsi="Times New Roman" w:cs="Times New Roman"/>
      <w:sz w:val="18"/>
      <w:szCs w:val="18"/>
    </w:rPr>
  </w:style>
  <w:style w:type="paragraph" w:styleId="NormalWeb">
    <w:name w:val="Normal (Web)"/>
    <w:basedOn w:val="Normal"/>
    <w:uiPriority w:val="99"/>
    <w:unhideWhenUsed/>
    <w:rsid w:val="009D5A58"/>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F62D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058421">
      <w:bodyDiv w:val="1"/>
      <w:marLeft w:val="0"/>
      <w:marRight w:val="0"/>
      <w:marTop w:val="0"/>
      <w:marBottom w:val="0"/>
      <w:divBdr>
        <w:top w:val="none" w:sz="0" w:space="0" w:color="auto"/>
        <w:left w:val="none" w:sz="0" w:space="0" w:color="auto"/>
        <w:bottom w:val="none" w:sz="0" w:space="0" w:color="auto"/>
        <w:right w:val="none" w:sz="0" w:space="0" w:color="auto"/>
      </w:divBdr>
    </w:div>
    <w:div w:id="190343939">
      <w:bodyDiv w:val="1"/>
      <w:marLeft w:val="0"/>
      <w:marRight w:val="0"/>
      <w:marTop w:val="0"/>
      <w:marBottom w:val="0"/>
      <w:divBdr>
        <w:top w:val="none" w:sz="0" w:space="0" w:color="auto"/>
        <w:left w:val="none" w:sz="0" w:space="0" w:color="auto"/>
        <w:bottom w:val="none" w:sz="0" w:space="0" w:color="auto"/>
        <w:right w:val="none" w:sz="0" w:space="0" w:color="auto"/>
      </w:divBdr>
    </w:div>
    <w:div w:id="212739432">
      <w:bodyDiv w:val="1"/>
      <w:marLeft w:val="0"/>
      <w:marRight w:val="0"/>
      <w:marTop w:val="0"/>
      <w:marBottom w:val="0"/>
      <w:divBdr>
        <w:top w:val="none" w:sz="0" w:space="0" w:color="auto"/>
        <w:left w:val="none" w:sz="0" w:space="0" w:color="auto"/>
        <w:bottom w:val="none" w:sz="0" w:space="0" w:color="auto"/>
        <w:right w:val="none" w:sz="0" w:space="0" w:color="auto"/>
      </w:divBdr>
    </w:div>
    <w:div w:id="316224150">
      <w:bodyDiv w:val="1"/>
      <w:marLeft w:val="0"/>
      <w:marRight w:val="0"/>
      <w:marTop w:val="0"/>
      <w:marBottom w:val="0"/>
      <w:divBdr>
        <w:top w:val="none" w:sz="0" w:space="0" w:color="auto"/>
        <w:left w:val="none" w:sz="0" w:space="0" w:color="auto"/>
        <w:bottom w:val="none" w:sz="0" w:space="0" w:color="auto"/>
        <w:right w:val="none" w:sz="0" w:space="0" w:color="auto"/>
      </w:divBdr>
    </w:div>
    <w:div w:id="338506591">
      <w:bodyDiv w:val="1"/>
      <w:marLeft w:val="0"/>
      <w:marRight w:val="0"/>
      <w:marTop w:val="0"/>
      <w:marBottom w:val="0"/>
      <w:divBdr>
        <w:top w:val="none" w:sz="0" w:space="0" w:color="auto"/>
        <w:left w:val="none" w:sz="0" w:space="0" w:color="auto"/>
        <w:bottom w:val="none" w:sz="0" w:space="0" w:color="auto"/>
        <w:right w:val="none" w:sz="0" w:space="0" w:color="auto"/>
      </w:divBdr>
      <w:divsChild>
        <w:div w:id="103500078">
          <w:marLeft w:val="0"/>
          <w:marRight w:val="0"/>
          <w:marTop w:val="0"/>
          <w:marBottom w:val="0"/>
          <w:divBdr>
            <w:top w:val="none" w:sz="0" w:space="0" w:color="auto"/>
            <w:left w:val="none" w:sz="0" w:space="0" w:color="auto"/>
            <w:bottom w:val="none" w:sz="0" w:space="0" w:color="auto"/>
            <w:right w:val="none" w:sz="0" w:space="0" w:color="auto"/>
          </w:divBdr>
          <w:divsChild>
            <w:div w:id="1594625675">
              <w:marLeft w:val="0"/>
              <w:marRight w:val="0"/>
              <w:marTop w:val="0"/>
              <w:marBottom w:val="0"/>
              <w:divBdr>
                <w:top w:val="none" w:sz="0" w:space="0" w:color="auto"/>
                <w:left w:val="none" w:sz="0" w:space="0" w:color="auto"/>
                <w:bottom w:val="none" w:sz="0" w:space="0" w:color="auto"/>
                <w:right w:val="none" w:sz="0" w:space="0" w:color="auto"/>
              </w:divBdr>
              <w:divsChild>
                <w:div w:id="713383925">
                  <w:marLeft w:val="0"/>
                  <w:marRight w:val="0"/>
                  <w:marTop w:val="0"/>
                  <w:marBottom w:val="0"/>
                  <w:divBdr>
                    <w:top w:val="none" w:sz="0" w:space="0" w:color="auto"/>
                    <w:left w:val="none" w:sz="0" w:space="0" w:color="auto"/>
                    <w:bottom w:val="none" w:sz="0" w:space="0" w:color="auto"/>
                    <w:right w:val="none" w:sz="0" w:space="0" w:color="auto"/>
                  </w:divBdr>
                  <w:divsChild>
                    <w:div w:id="100074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310593">
      <w:bodyDiv w:val="1"/>
      <w:marLeft w:val="0"/>
      <w:marRight w:val="0"/>
      <w:marTop w:val="0"/>
      <w:marBottom w:val="0"/>
      <w:divBdr>
        <w:top w:val="none" w:sz="0" w:space="0" w:color="auto"/>
        <w:left w:val="none" w:sz="0" w:space="0" w:color="auto"/>
        <w:bottom w:val="none" w:sz="0" w:space="0" w:color="auto"/>
        <w:right w:val="none" w:sz="0" w:space="0" w:color="auto"/>
      </w:divBdr>
      <w:divsChild>
        <w:div w:id="906841654">
          <w:marLeft w:val="0"/>
          <w:marRight w:val="0"/>
          <w:marTop w:val="0"/>
          <w:marBottom w:val="0"/>
          <w:divBdr>
            <w:top w:val="none" w:sz="0" w:space="0" w:color="auto"/>
            <w:left w:val="none" w:sz="0" w:space="0" w:color="auto"/>
            <w:bottom w:val="none" w:sz="0" w:space="0" w:color="auto"/>
            <w:right w:val="none" w:sz="0" w:space="0" w:color="auto"/>
          </w:divBdr>
          <w:divsChild>
            <w:div w:id="1396315339">
              <w:marLeft w:val="0"/>
              <w:marRight w:val="0"/>
              <w:marTop w:val="0"/>
              <w:marBottom w:val="0"/>
              <w:divBdr>
                <w:top w:val="none" w:sz="0" w:space="0" w:color="auto"/>
                <w:left w:val="none" w:sz="0" w:space="0" w:color="auto"/>
                <w:bottom w:val="none" w:sz="0" w:space="0" w:color="auto"/>
                <w:right w:val="none" w:sz="0" w:space="0" w:color="auto"/>
              </w:divBdr>
              <w:divsChild>
                <w:div w:id="179575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441696">
      <w:bodyDiv w:val="1"/>
      <w:marLeft w:val="0"/>
      <w:marRight w:val="0"/>
      <w:marTop w:val="0"/>
      <w:marBottom w:val="0"/>
      <w:divBdr>
        <w:top w:val="none" w:sz="0" w:space="0" w:color="auto"/>
        <w:left w:val="none" w:sz="0" w:space="0" w:color="auto"/>
        <w:bottom w:val="none" w:sz="0" w:space="0" w:color="auto"/>
        <w:right w:val="none" w:sz="0" w:space="0" w:color="auto"/>
      </w:divBdr>
    </w:div>
    <w:div w:id="385298705">
      <w:bodyDiv w:val="1"/>
      <w:marLeft w:val="0"/>
      <w:marRight w:val="0"/>
      <w:marTop w:val="0"/>
      <w:marBottom w:val="0"/>
      <w:divBdr>
        <w:top w:val="none" w:sz="0" w:space="0" w:color="auto"/>
        <w:left w:val="none" w:sz="0" w:space="0" w:color="auto"/>
        <w:bottom w:val="none" w:sz="0" w:space="0" w:color="auto"/>
        <w:right w:val="none" w:sz="0" w:space="0" w:color="auto"/>
      </w:divBdr>
    </w:div>
    <w:div w:id="396249712">
      <w:bodyDiv w:val="1"/>
      <w:marLeft w:val="0"/>
      <w:marRight w:val="0"/>
      <w:marTop w:val="0"/>
      <w:marBottom w:val="0"/>
      <w:divBdr>
        <w:top w:val="none" w:sz="0" w:space="0" w:color="auto"/>
        <w:left w:val="none" w:sz="0" w:space="0" w:color="auto"/>
        <w:bottom w:val="none" w:sz="0" w:space="0" w:color="auto"/>
        <w:right w:val="none" w:sz="0" w:space="0" w:color="auto"/>
      </w:divBdr>
    </w:div>
    <w:div w:id="429392058">
      <w:bodyDiv w:val="1"/>
      <w:marLeft w:val="0"/>
      <w:marRight w:val="0"/>
      <w:marTop w:val="0"/>
      <w:marBottom w:val="0"/>
      <w:divBdr>
        <w:top w:val="none" w:sz="0" w:space="0" w:color="auto"/>
        <w:left w:val="none" w:sz="0" w:space="0" w:color="auto"/>
        <w:bottom w:val="none" w:sz="0" w:space="0" w:color="auto"/>
        <w:right w:val="none" w:sz="0" w:space="0" w:color="auto"/>
      </w:divBdr>
    </w:div>
    <w:div w:id="446584207">
      <w:bodyDiv w:val="1"/>
      <w:marLeft w:val="0"/>
      <w:marRight w:val="0"/>
      <w:marTop w:val="0"/>
      <w:marBottom w:val="0"/>
      <w:divBdr>
        <w:top w:val="none" w:sz="0" w:space="0" w:color="auto"/>
        <w:left w:val="none" w:sz="0" w:space="0" w:color="auto"/>
        <w:bottom w:val="none" w:sz="0" w:space="0" w:color="auto"/>
        <w:right w:val="none" w:sz="0" w:space="0" w:color="auto"/>
      </w:divBdr>
    </w:div>
    <w:div w:id="486288440">
      <w:bodyDiv w:val="1"/>
      <w:marLeft w:val="0"/>
      <w:marRight w:val="0"/>
      <w:marTop w:val="0"/>
      <w:marBottom w:val="0"/>
      <w:divBdr>
        <w:top w:val="none" w:sz="0" w:space="0" w:color="auto"/>
        <w:left w:val="none" w:sz="0" w:space="0" w:color="auto"/>
        <w:bottom w:val="none" w:sz="0" w:space="0" w:color="auto"/>
        <w:right w:val="none" w:sz="0" w:space="0" w:color="auto"/>
      </w:divBdr>
    </w:div>
    <w:div w:id="634071270">
      <w:bodyDiv w:val="1"/>
      <w:marLeft w:val="0"/>
      <w:marRight w:val="0"/>
      <w:marTop w:val="0"/>
      <w:marBottom w:val="0"/>
      <w:divBdr>
        <w:top w:val="none" w:sz="0" w:space="0" w:color="auto"/>
        <w:left w:val="none" w:sz="0" w:space="0" w:color="auto"/>
        <w:bottom w:val="none" w:sz="0" w:space="0" w:color="auto"/>
        <w:right w:val="none" w:sz="0" w:space="0" w:color="auto"/>
      </w:divBdr>
    </w:div>
    <w:div w:id="660430567">
      <w:bodyDiv w:val="1"/>
      <w:marLeft w:val="0"/>
      <w:marRight w:val="0"/>
      <w:marTop w:val="0"/>
      <w:marBottom w:val="0"/>
      <w:divBdr>
        <w:top w:val="none" w:sz="0" w:space="0" w:color="auto"/>
        <w:left w:val="none" w:sz="0" w:space="0" w:color="auto"/>
        <w:bottom w:val="none" w:sz="0" w:space="0" w:color="auto"/>
        <w:right w:val="none" w:sz="0" w:space="0" w:color="auto"/>
      </w:divBdr>
    </w:div>
    <w:div w:id="662657823">
      <w:bodyDiv w:val="1"/>
      <w:marLeft w:val="0"/>
      <w:marRight w:val="0"/>
      <w:marTop w:val="0"/>
      <w:marBottom w:val="0"/>
      <w:divBdr>
        <w:top w:val="none" w:sz="0" w:space="0" w:color="auto"/>
        <w:left w:val="none" w:sz="0" w:space="0" w:color="auto"/>
        <w:bottom w:val="none" w:sz="0" w:space="0" w:color="auto"/>
        <w:right w:val="none" w:sz="0" w:space="0" w:color="auto"/>
      </w:divBdr>
    </w:div>
    <w:div w:id="754859599">
      <w:bodyDiv w:val="1"/>
      <w:marLeft w:val="0"/>
      <w:marRight w:val="0"/>
      <w:marTop w:val="0"/>
      <w:marBottom w:val="0"/>
      <w:divBdr>
        <w:top w:val="none" w:sz="0" w:space="0" w:color="auto"/>
        <w:left w:val="none" w:sz="0" w:space="0" w:color="auto"/>
        <w:bottom w:val="none" w:sz="0" w:space="0" w:color="auto"/>
        <w:right w:val="none" w:sz="0" w:space="0" w:color="auto"/>
      </w:divBdr>
    </w:div>
    <w:div w:id="834882026">
      <w:bodyDiv w:val="1"/>
      <w:marLeft w:val="0"/>
      <w:marRight w:val="0"/>
      <w:marTop w:val="0"/>
      <w:marBottom w:val="0"/>
      <w:divBdr>
        <w:top w:val="none" w:sz="0" w:space="0" w:color="auto"/>
        <w:left w:val="none" w:sz="0" w:space="0" w:color="auto"/>
        <w:bottom w:val="none" w:sz="0" w:space="0" w:color="auto"/>
        <w:right w:val="none" w:sz="0" w:space="0" w:color="auto"/>
      </w:divBdr>
    </w:div>
    <w:div w:id="868683538">
      <w:bodyDiv w:val="1"/>
      <w:marLeft w:val="0"/>
      <w:marRight w:val="0"/>
      <w:marTop w:val="0"/>
      <w:marBottom w:val="0"/>
      <w:divBdr>
        <w:top w:val="none" w:sz="0" w:space="0" w:color="auto"/>
        <w:left w:val="none" w:sz="0" w:space="0" w:color="auto"/>
        <w:bottom w:val="none" w:sz="0" w:space="0" w:color="auto"/>
        <w:right w:val="none" w:sz="0" w:space="0" w:color="auto"/>
      </w:divBdr>
    </w:div>
    <w:div w:id="874386645">
      <w:bodyDiv w:val="1"/>
      <w:marLeft w:val="0"/>
      <w:marRight w:val="0"/>
      <w:marTop w:val="0"/>
      <w:marBottom w:val="0"/>
      <w:divBdr>
        <w:top w:val="none" w:sz="0" w:space="0" w:color="auto"/>
        <w:left w:val="none" w:sz="0" w:space="0" w:color="auto"/>
        <w:bottom w:val="none" w:sz="0" w:space="0" w:color="auto"/>
        <w:right w:val="none" w:sz="0" w:space="0" w:color="auto"/>
      </w:divBdr>
    </w:div>
    <w:div w:id="881018910">
      <w:bodyDiv w:val="1"/>
      <w:marLeft w:val="0"/>
      <w:marRight w:val="0"/>
      <w:marTop w:val="0"/>
      <w:marBottom w:val="0"/>
      <w:divBdr>
        <w:top w:val="none" w:sz="0" w:space="0" w:color="auto"/>
        <w:left w:val="none" w:sz="0" w:space="0" w:color="auto"/>
        <w:bottom w:val="none" w:sz="0" w:space="0" w:color="auto"/>
        <w:right w:val="none" w:sz="0" w:space="0" w:color="auto"/>
      </w:divBdr>
      <w:divsChild>
        <w:div w:id="1984582997">
          <w:marLeft w:val="0"/>
          <w:marRight w:val="0"/>
          <w:marTop w:val="0"/>
          <w:marBottom w:val="0"/>
          <w:divBdr>
            <w:top w:val="none" w:sz="0" w:space="0" w:color="auto"/>
            <w:left w:val="none" w:sz="0" w:space="0" w:color="auto"/>
            <w:bottom w:val="none" w:sz="0" w:space="0" w:color="auto"/>
            <w:right w:val="none" w:sz="0" w:space="0" w:color="auto"/>
          </w:divBdr>
          <w:divsChild>
            <w:div w:id="1542133331">
              <w:marLeft w:val="0"/>
              <w:marRight w:val="0"/>
              <w:marTop w:val="0"/>
              <w:marBottom w:val="0"/>
              <w:divBdr>
                <w:top w:val="none" w:sz="0" w:space="0" w:color="auto"/>
                <w:left w:val="none" w:sz="0" w:space="0" w:color="auto"/>
                <w:bottom w:val="none" w:sz="0" w:space="0" w:color="auto"/>
                <w:right w:val="none" w:sz="0" w:space="0" w:color="auto"/>
              </w:divBdr>
              <w:divsChild>
                <w:div w:id="329794163">
                  <w:marLeft w:val="0"/>
                  <w:marRight w:val="0"/>
                  <w:marTop w:val="0"/>
                  <w:marBottom w:val="0"/>
                  <w:divBdr>
                    <w:top w:val="none" w:sz="0" w:space="0" w:color="auto"/>
                    <w:left w:val="none" w:sz="0" w:space="0" w:color="auto"/>
                    <w:bottom w:val="none" w:sz="0" w:space="0" w:color="auto"/>
                    <w:right w:val="none" w:sz="0" w:space="0" w:color="auto"/>
                  </w:divBdr>
                  <w:divsChild>
                    <w:div w:id="1091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558546">
      <w:bodyDiv w:val="1"/>
      <w:marLeft w:val="0"/>
      <w:marRight w:val="0"/>
      <w:marTop w:val="0"/>
      <w:marBottom w:val="0"/>
      <w:divBdr>
        <w:top w:val="none" w:sz="0" w:space="0" w:color="auto"/>
        <w:left w:val="none" w:sz="0" w:space="0" w:color="auto"/>
        <w:bottom w:val="none" w:sz="0" w:space="0" w:color="auto"/>
        <w:right w:val="none" w:sz="0" w:space="0" w:color="auto"/>
      </w:divBdr>
    </w:div>
    <w:div w:id="1002775220">
      <w:bodyDiv w:val="1"/>
      <w:marLeft w:val="0"/>
      <w:marRight w:val="0"/>
      <w:marTop w:val="0"/>
      <w:marBottom w:val="0"/>
      <w:divBdr>
        <w:top w:val="none" w:sz="0" w:space="0" w:color="auto"/>
        <w:left w:val="none" w:sz="0" w:space="0" w:color="auto"/>
        <w:bottom w:val="none" w:sz="0" w:space="0" w:color="auto"/>
        <w:right w:val="none" w:sz="0" w:space="0" w:color="auto"/>
      </w:divBdr>
    </w:div>
    <w:div w:id="1033261993">
      <w:bodyDiv w:val="1"/>
      <w:marLeft w:val="0"/>
      <w:marRight w:val="0"/>
      <w:marTop w:val="0"/>
      <w:marBottom w:val="0"/>
      <w:divBdr>
        <w:top w:val="none" w:sz="0" w:space="0" w:color="auto"/>
        <w:left w:val="none" w:sz="0" w:space="0" w:color="auto"/>
        <w:bottom w:val="none" w:sz="0" w:space="0" w:color="auto"/>
        <w:right w:val="none" w:sz="0" w:space="0" w:color="auto"/>
      </w:divBdr>
    </w:div>
    <w:div w:id="1035159500">
      <w:bodyDiv w:val="1"/>
      <w:marLeft w:val="0"/>
      <w:marRight w:val="0"/>
      <w:marTop w:val="0"/>
      <w:marBottom w:val="0"/>
      <w:divBdr>
        <w:top w:val="none" w:sz="0" w:space="0" w:color="auto"/>
        <w:left w:val="none" w:sz="0" w:space="0" w:color="auto"/>
        <w:bottom w:val="none" w:sz="0" w:space="0" w:color="auto"/>
        <w:right w:val="none" w:sz="0" w:space="0" w:color="auto"/>
      </w:divBdr>
    </w:div>
    <w:div w:id="1041512001">
      <w:bodyDiv w:val="1"/>
      <w:marLeft w:val="0"/>
      <w:marRight w:val="0"/>
      <w:marTop w:val="0"/>
      <w:marBottom w:val="0"/>
      <w:divBdr>
        <w:top w:val="none" w:sz="0" w:space="0" w:color="auto"/>
        <w:left w:val="none" w:sz="0" w:space="0" w:color="auto"/>
        <w:bottom w:val="none" w:sz="0" w:space="0" w:color="auto"/>
        <w:right w:val="none" w:sz="0" w:space="0" w:color="auto"/>
      </w:divBdr>
      <w:divsChild>
        <w:div w:id="1104111298">
          <w:marLeft w:val="0"/>
          <w:marRight w:val="0"/>
          <w:marTop w:val="0"/>
          <w:marBottom w:val="0"/>
          <w:divBdr>
            <w:top w:val="none" w:sz="0" w:space="0" w:color="auto"/>
            <w:left w:val="none" w:sz="0" w:space="0" w:color="auto"/>
            <w:bottom w:val="none" w:sz="0" w:space="0" w:color="auto"/>
            <w:right w:val="none" w:sz="0" w:space="0" w:color="auto"/>
          </w:divBdr>
          <w:divsChild>
            <w:div w:id="1573810809">
              <w:marLeft w:val="0"/>
              <w:marRight w:val="0"/>
              <w:marTop w:val="0"/>
              <w:marBottom w:val="0"/>
              <w:divBdr>
                <w:top w:val="none" w:sz="0" w:space="0" w:color="auto"/>
                <w:left w:val="none" w:sz="0" w:space="0" w:color="auto"/>
                <w:bottom w:val="none" w:sz="0" w:space="0" w:color="auto"/>
                <w:right w:val="none" w:sz="0" w:space="0" w:color="auto"/>
              </w:divBdr>
              <w:divsChild>
                <w:div w:id="235240713">
                  <w:marLeft w:val="0"/>
                  <w:marRight w:val="0"/>
                  <w:marTop w:val="0"/>
                  <w:marBottom w:val="0"/>
                  <w:divBdr>
                    <w:top w:val="none" w:sz="0" w:space="0" w:color="auto"/>
                    <w:left w:val="none" w:sz="0" w:space="0" w:color="auto"/>
                    <w:bottom w:val="none" w:sz="0" w:space="0" w:color="auto"/>
                    <w:right w:val="none" w:sz="0" w:space="0" w:color="auto"/>
                  </w:divBdr>
                  <w:divsChild>
                    <w:div w:id="5668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54425">
      <w:bodyDiv w:val="1"/>
      <w:marLeft w:val="0"/>
      <w:marRight w:val="0"/>
      <w:marTop w:val="0"/>
      <w:marBottom w:val="0"/>
      <w:divBdr>
        <w:top w:val="none" w:sz="0" w:space="0" w:color="auto"/>
        <w:left w:val="none" w:sz="0" w:space="0" w:color="auto"/>
        <w:bottom w:val="none" w:sz="0" w:space="0" w:color="auto"/>
        <w:right w:val="none" w:sz="0" w:space="0" w:color="auto"/>
      </w:divBdr>
    </w:div>
    <w:div w:id="1101681132">
      <w:bodyDiv w:val="1"/>
      <w:marLeft w:val="0"/>
      <w:marRight w:val="0"/>
      <w:marTop w:val="0"/>
      <w:marBottom w:val="0"/>
      <w:divBdr>
        <w:top w:val="none" w:sz="0" w:space="0" w:color="auto"/>
        <w:left w:val="none" w:sz="0" w:space="0" w:color="auto"/>
        <w:bottom w:val="none" w:sz="0" w:space="0" w:color="auto"/>
        <w:right w:val="none" w:sz="0" w:space="0" w:color="auto"/>
      </w:divBdr>
    </w:div>
    <w:div w:id="1102803091">
      <w:bodyDiv w:val="1"/>
      <w:marLeft w:val="0"/>
      <w:marRight w:val="0"/>
      <w:marTop w:val="0"/>
      <w:marBottom w:val="0"/>
      <w:divBdr>
        <w:top w:val="none" w:sz="0" w:space="0" w:color="auto"/>
        <w:left w:val="none" w:sz="0" w:space="0" w:color="auto"/>
        <w:bottom w:val="none" w:sz="0" w:space="0" w:color="auto"/>
        <w:right w:val="none" w:sz="0" w:space="0" w:color="auto"/>
      </w:divBdr>
    </w:div>
    <w:div w:id="1180126615">
      <w:bodyDiv w:val="1"/>
      <w:marLeft w:val="0"/>
      <w:marRight w:val="0"/>
      <w:marTop w:val="0"/>
      <w:marBottom w:val="0"/>
      <w:divBdr>
        <w:top w:val="none" w:sz="0" w:space="0" w:color="auto"/>
        <w:left w:val="none" w:sz="0" w:space="0" w:color="auto"/>
        <w:bottom w:val="none" w:sz="0" w:space="0" w:color="auto"/>
        <w:right w:val="none" w:sz="0" w:space="0" w:color="auto"/>
      </w:divBdr>
    </w:div>
    <w:div w:id="1187938060">
      <w:bodyDiv w:val="1"/>
      <w:marLeft w:val="0"/>
      <w:marRight w:val="0"/>
      <w:marTop w:val="0"/>
      <w:marBottom w:val="0"/>
      <w:divBdr>
        <w:top w:val="none" w:sz="0" w:space="0" w:color="auto"/>
        <w:left w:val="none" w:sz="0" w:space="0" w:color="auto"/>
        <w:bottom w:val="none" w:sz="0" w:space="0" w:color="auto"/>
        <w:right w:val="none" w:sz="0" w:space="0" w:color="auto"/>
      </w:divBdr>
      <w:divsChild>
        <w:div w:id="403066430">
          <w:marLeft w:val="0"/>
          <w:marRight w:val="0"/>
          <w:marTop w:val="0"/>
          <w:marBottom w:val="0"/>
          <w:divBdr>
            <w:top w:val="none" w:sz="0" w:space="0" w:color="auto"/>
            <w:left w:val="none" w:sz="0" w:space="0" w:color="auto"/>
            <w:bottom w:val="none" w:sz="0" w:space="0" w:color="auto"/>
            <w:right w:val="none" w:sz="0" w:space="0" w:color="auto"/>
          </w:divBdr>
          <w:divsChild>
            <w:div w:id="1875921082">
              <w:marLeft w:val="0"/>
              <w:marRight w:val="0"/>
              <w:marTop w:val="0"/>
              <w:marBottom w:val="0"/>
              <w:divBdr>
                <w:top w:val="none" w:sz="0" w:space="0" w:color="auto"/>
                <w:left w:val="none" w:sz="0" w:space="0" w:color="auto"/>
                <w:bottom w:val="none" w:sz="0" w:space="0" w:color="auto"/>
                <w:right w:val="none" w:sz="0" w:space="0" w:color="auto"/>
              </w:divBdr>
              <w:divsChild>
                <w:div w:id="1901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880689">
      <w:bodyDiv w:val="1"/>
      <w:marLeft w:val="0"/>
      <w:marRight w:val="0"/>
      <w:marTop w:val="0"/>
      <w:marBottom w:val="0"/>
      <w:divBdr>
        <w:top w:val="none" w:sz="0" w:space="0" w:color="auto"/>
        <w:left w:val="none" w:sz="0" w:space="0" w:color="auto"/>
        <w:bottom w:val="none" w:sz="0" w:space="0" w:color="auto"/>
        <w:right w:val="none" w:sz="0" w:space="0" w:color="auto"/>
      </w:divBdr>
      <w:divsChild>
        <w:div w:id="1801920253">
          <w:marLeft w:val="0"/>
          <w:marRight w:val="0"/>
          <w:marTop w:val="0"/>
          <w:marBottom w:val="0"/>
          <w:divBdr>
            <w:top w:val="none" w:sz="0" w:space="0" w:color="auto"/>
            <w:left w:val="none" w:sz="0" w:space="0" w:color="auto"/>
            <w:bottom w:val="none" w:sz="0" w:space="0" w:color="auto"/>
            <w:right w:val="none" w:sz="0" w:space="0" w:color="auto"/>
          </w:divBdr>
          <w:divsChild>
            <w:div w:id="2021470214">
              <w:marLeft w:val="0"/>
              <w:marRight w:val="0"/>
              <w:marTop w:val="0"/>
              <w:marBottom w:val="0"/>
              <w:divBdr>
                <w:top w:val="none" w:sz="0" w:space="0" w:color="auto"/>
                <w:left w:val="none" w:sz="0" w:space="0" w:color="auto"/>
                <w:bottom w:val="none" w:sz="0" w:space="0" w:color="auto"/>
                <w:right w:val="none" w:sz="0" w:space="0" w:color="auto"/>
              </w:divBdr>
              <w:divsChild>
                <w:div w:id="20684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9020">
          <w:marLeft w:val="0"/>
          <w:marRight w:val="0"/>
          <w:marTop w:val="0"/>
          <w:marBottom w:val="0"/>
          <w:divBdr>
            <w:top w:val="none" w:sz="0" w:space="0" w:color="auto"/>
            <w:left w:val="none" w:sz="0" w:space="0" w:color="auto"/>
            <w:bottom w:val="none" w:sz="0" w:space="0" w:color="auto"/>
            <w:right w:val="none" w:sz="0" w:space="0" w:color="auto"/>
          </w:divBdr>
          <w:divsChild>
            <w:div w:id="416024493">
              <w:marLeft w:val="0"/>
              <w:marRight w:val="0"/>
              <w:marTop w:val="0"/>
              <w:marBottom w:val="0"/>
              <w:divBdr>
                <w:top w:val="none" w:sz="0" w:space="0" w:color="auto"/>
                <w:left w:val="none" w:sz="0" w:space="0" w:color="auto"/>
                <w:bottom w:val="none" w:sz="0" w:space="0" w:color="auto"/>
                <w:right w:val="none" w:sz="0" w:space="0" w:color="auto"/>
              </w:divBdr>
              <w:divsChild>
                <w:div w:id="172367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967283">
      <w:bodyDiv w:val="1"/>
      <w:marLeft w:val="0"/>
      <w:marRight w:val="0"/>
      <w:marTop w:val="0"/>
      <w:marBottom w:val="0"/>
      <w:divBdr>
        <w:top w:val="none" w:sz="0" w:space="0" w:color="auto"/>
        <w:left w:val="none" w:sz="0" w:space="0" w:color="auto"/>
        <w:bottom w:val="none" w:sz="0" w:space="0" w:color="auto"/>
        <w:right w:val="none" w:sz="0" w:space="0" w:color="auto"/>
      </w:divBdr>
    </w:div>
    <w:div w:id="1328245315">
      <w:bodyDiv w:val="1"/>
      <w:marLeft w:val="0"/>
      <w:marRight w:val="0"/>
      <w:marTop w:val="0"/>
      <w:marBottom w:val="0"/>
      <w:divBdr>
        <w:top w:val="none" w:sz="0" w:space="0" w:color="auto"/>
        <w:left w:val="none" w:sz="0" w:space="0" w:color="auto"/>
        <w:bottom w:val="none" w:sz="0" w:space="0" w:color="auto"/>
        <w:right w:val="none" w:sz="0" w:space="0" w:color="auto"/>
      </w:divBdr>
    </w:div>
    <w:div w:id="1328634484">
      <w:bodyDiv w:val="1"/>
      <w:marLeft w:val="0"/>
      <w:marRight w:val="0"/>
      <w:marTop w:val="0"/>
      <w:marBottom w:val="0"/>
      <w:divBdr>
        <w:top w:val="none" w:sz="0" w:space="0" w:color="auto"/>
        <w:left w:val="none" w:sz="0" w:space="0" w:color="auto"/>
        <w:bottom w:val="none" w:sz="0" w:space="0" w:color="auto"/>
        <w:right w:val="none" w:sz="0" w:space="0" w:color="auto"/>
      </w:divBdr>
    </w:div>
    <w:div w:id="1339888649">
      <w:bodyDiv w:val="1"/>
      <w:marLeft w:val="0"/>
      <w:marRight w:val="0"/>
      <w:marTop w:val="0"/>
      <w:marBottom w:val="0"/>
      <w:divBdr>
        <w:top w:val="none" w:sz="0" w:space="0" w:color="auto"/>
        <w:left w:val="none" w:sz="0" w:space="0" w:color="auto"/>
        <w:bottom w:val="none" w:sz="0" w:space="0" w:color="auto"/>
        <w:right w:val="none" w:sz="0" w:space="0" w:color="auto"/>
      </w:divBdr>
    </w:div>
    <w:div w:id="1444303175">
      <w:bodyDiv w:val="1"/>
      <w:marLeft w:val="0"/>
      <w:marRight w:val="0"/>
      <w:marTop w:val="0"/>
      <w:marBottom w:val="0"/>
      <w:divBdr>
        <w:top w:val="none" w:sz="0" w:space="0" w:color="auto"/>
        <w:left w:val="none" w:sz="0" w:space="0" w:color="auto"/>
        <w:bottom w:val="none" w:sz="0" w:space="0" w:color="auto"/>
        <w:right w:val="none" w:sz="0" w:space="0" w:color="auto"/>
      </w:divBdr>
      <w:divsChild>
        <w:div w:id="1647589494">
          <w:marLeft w:val="300"/>
          <w:marRight w:val="0"/>
          <w:marTop w:val="90"/>
          <w:marBottom w:val="300"/>
          <w:divBdr>
            <w:top w:val="none" w:sz="0" w:space="0" w:color="auto"/>
            <w:left w:val="none" w:sz="0" w:space="0" w:color="auto"/>
            <w:bottom w:val="none" w:sz="0" w:space="0" w:color="auto"/>
            <w:right w:val="none" w:sz="0" w:space="0" w:color="auto"/>
          </w:divBdr>
        </w:div>
        <w:div w:id="333191525">
          <w:marLeft w:val="300"/>
          <w:marRight w:val="0"/>
          <w:marTop w:val="90"/>
          <w:marBottom w:val="300"/>
          <w:divBdr>
            <w:top w:val="none" w:sz="0" w:space="0" w:color="auto"/>
            <w:left w:val="none" w:sz="0" w:space="0" w:color="auto"/>
            <w:bottom w:val="none" w:sz="0" w:space="0" w:color="auto"/>
            <w:right w:val="none" w:sz="0" w:space="0" w:color="auto"/>
          </w:divBdr>
        </w:div>
        <w:div w:id="1183086493">
          <w:marLeft w:val="300"/>
          <w:marRight w:val="0"/>
          <w:marTop w:val="90"/>
          <w:marBottom w:val="300"/>
          <w:divBdr>
            <w:top w:val="none" w:sz="0" w:space="0" w:color="auto"/>
            <w:left w:val="none" w:sz="0" w:space="0" w:color="auto"/>
            <w:bottom w:val="none" w:sz="0" w:space="0" w:color="auto"/>
            <w:right w:val="none" w:sz="0" w:space="0" w:color="auto"/>
          </w:divBdr>
        </w:div>
        <w:div w:id="1958174172">
          <w:marLeft w:val="300"/>
          <w:marRight w:val="0"/>
          <w:marTop w:val="90"/>
          <w:marBottom w:val="300"/>
          <w:divBdr>
            <w:top w:val="none" w:sz="0" w:space="0" w:color="auto"/>
            <w:left w:val="none" w:sz="0" w:space="0" w:color="auto"/>
            <w:bottom w:val="none" w:sz="0" w:space="0" w:color="auto"/>
            <w:right w:val="none" w:sz="0" w:space="0" w:color="auto"/>
          </w:divBdr>
        </w:div>
        <w:div w:id="1496991739">
          <w:marLeft w:val="300"/>
          <w:marRight w:val="0"/>
          <w:marTop w:val="90"/>
          <w:marBottom w:val="300"/>
          <w:divBdr>
            <w:top w:val="none" w:sz="0" w:space="0" w:color="auto"/>
            <w:left w:val="none" w:sz="0" w:space="0" w:color="auto"/>
            <w:bottom w:val="none" w:sz="0" w:space="0" w:color="auto"/>
            <w:right w:val="none" w:sz="0" w:space="0" w:color="auto"/>
          </w:divBdr>
        </w:div>
        <w:div w:id="2033913172">
          <w:marLeft w:val="300"/>
          <w:marRight w:val="0"/>
          <w:marTop w:val="90"/>
          <w:marBottom w:val="300"/>
          <w:divBdr>
            <w:top w:val="none" w:sz="0" w:space="0" w:color="auto"/>
            <w:left w:val="none" w:sz="0" w:space="0" w:color="auto"/>
            <w:bottom w:val="none" w:sz="0" w:space="0" w:color="auto"/>
            <w:right w:val="none" w:sz="0" w:space="0" w:color="auto"/>
          </w:divBdr>
        </w:div>
        <w:div w:id="1423795334">
          <w:marLeft w:val="300"/>
          <w:marRight w:val="0"/>
          <w:marTop w:val="90"/>
          <w:marBottom w:val="300"/>
          <w:divBdr>
            <w:top w:val="none" w:sz="0" w:space="0" w:color="auto"/>
            <w:left w:val="none" w:sz="0" w:space="0" w:color="auto"/>
            <w:bottom w:val="none" w:sz="0" w:space="0" w:color="auto"/>
            <w:right w:val="none" w:sz="0" w:space="0" w:color="auto"/>
          </w:divBdr>
        </w:div>
        <w:div w:id="371341832">
          <w:marLeft w:val="300"/>
          <w:marRight w:val="0"/>
          <w:marTop w:val="90"/>
          <w:marBottom w:val="300"/>
          <w:divBdr>
            <w:top w:val="none" w:sz="0" w:space="0" w:color="auto"/>
            <w:left w:val="none" w:sz="0" w:space="0" w:color="auto"/>
            <w:bottom w:val="none" w:sz="0" w:space="0" w:color="auto"/>
            <w:right w:val="none" w:sz="0" w:space="0" w:color="auto"/>
          </w:divBdr>
        </w:div>
        <w:div w:id="1488016994">
          <w:marLeft w:val="300"/>
          <w:marRight w:val="0"/>
          <w:marTop w:val="90"/>
          <w:marBottom w:val="300"/>
          <w:divBdr>
            <w:top w:val="none" w:sz="0" w:space="0" w:color="auto"/>
            <w:left w:val="none" w:sz="0" w:space="0" w:color="auto"/>
            <w:bottom w:val="none" w:sz="0" w:space="0" w:color="auto"/>
            <w:right w:val="none" w:sz="0" w:space="0" w:color="auto"/>
          </w:divBdr>
        </w:div>
        <w:div w:id="2111312733">
          <w:marLeft w:val="300"/>
          <w:marRight w:val="0"/>
          <w:marTop w:val="90"/>
          <w:marBottom w:val="300"/>
          <w:divBdr>
            <w:top w:val="none" w:sz="0" w:space="0" w:color="auto"/>
            <w:left w:val="none" w:sz="0" w:space="0" w:color="auto"/>
            <w:bottom w:val="none" w:sz="0" w:space="0" w:color="auto"/>
            <w:right w:val="none" w:sz="0" w:space="0" w:color="auto"/>
          </w:divBdr>
        </w:div>
        <w:div w:id="1584415707">
          <w:marLeft w:val="300"/>
          <w:marRight w:val="0"/>
          <w:marTop w:val="90"/>
          <w:marBottom w:val="300"/>
          <w:divBdr>
            <w:top w:val="none" w:sz="0" w:space="0" w:color="auto"/>
            <w:left w:val="none" w:sz="0" w:space="0" w:color="auto"/>
            <w:bottom w:val="none" w:sz="0" w:space="0" w:color="auto"/>
            <w:right w:val="none" w:sz="0" w:space="0" w:color="auto"/>
          </w:divBdr>
        </w:div>
        <w:div w:id="1321426621">
          <w:marLeft w:val="300"/>
          <w:marRight w:val="0"/>
          <w:marTop w:val="90"/>
          <w:marBottom w:val="300"/>
          <w:divBdr>
            <w:top w:val="none" w:sz="0" w:space="0" w:color="auto"/>
            <w:left w:val="none" w:sz="0" w:space="0" w:color="auto"/>
            <w:bottom w:val="none" w:sz="0" w:space="0" w:color="auto"/>
            <w:right w:val="none" w:sz="0" w:space="0" w:color="auto"/>
          </w:divBdr>
        </w:div>
        <w:div w:id="503515294">
          <w:marLeft w:val="300"/>
          <w:marRight w:val="0"/>
          <w:marTop w:val="90"/>
          <w:marBottom w:val="300"/>
          <w:divBdr>
            <w:top w:val="none" w:sz="0" w:space="0" w:color="auto"/>
            <w:left w:val="none" w:sz="0" w:space="0" w:color="auto"/>
            <w:bottom w:val="none" w:sz="0" w:space="0" w:color="auto"/>
            <w:right w:val="none" w:sz="0" w:space="0" w:color="auto"/>
          </w:divBdr>
        </w:div>
        <w:div w:id="646782479">
          <w:marLeft w:val="300"/>
          <w:marRight w:val="0"/>
          <w:marTop w:val="90"/>
          <w:marBottom w:val="300"/>
          <w:divBdr>
            <w:top w:val="none" w:sz="0" w:space="0" w:color="auto"/>
            <w:left w:val="none" w:sz="0" w:space="0" w:color="auto"/>
            <w:bottom w:val="none" w:sz="0" w:space="0" w:color="auto"/>
            <w:right w:val="none" w:sz="0" w:space="0" w:color="auto"/>
          </w:divBdr>
        </w:div>
        <w:div w:id="853572166">
          <w:marLeft w:val="300"/>
          <w:marRight w:val="0"/>
          <w:marTop w:val="90"/>
          <w:marBottom w:val="300"/>
          <w:divBdr>
            <w:top w:val="none" w:sz="0" w:space="0" w:color="auto"/>
            <w:left w:val="none" w:sz="0" w:space="0" w:color="auto"/>
            <w:bottom w:val="none" w:sz="0" w:space="0" w:color="auto"/>
            <w:right w:val="none" w:sz="0" w:space="0" w:color="auto"/>
          </w:divBdr>
        </w:div>
        <w:div w:id="1961257180">
          <w:marLeft w:val="300"/>
          <w:marRight w:val="0"/>
          <w:marTop w:val="90"/>
          <w:marBottom w:val="300"/>
          <w:divBdr>
            <w:top w:val="none" w:sz="0" w:space="0" w:color="auto"/>
            <w:left w:val="none" w:sz="0" w:space="0" w:color="auto"/>
            <w:bottom w:val="none" w:sz="0" w:space="0" w:color="auto"/>
            <w:right w:val="none" w:sz="0" w:space="0" w:color="auto"/>
          </w:divBdr>
        </w:div>
      </w:divsChild>
    </w:div>
    <w:div w:id="1587109995">
      <w:bodyDiv w:val="1"/>
      <w:marLeft w:val="0"/>
      <w:marRight w:val="0"/>
      <w:marTop w:val="0"/>
      <w:marBottom w:val="0"/>
      <w:divBdr>
        <w:top w:val="none" w:sz="0" w:space="0" w:color="auto"/>
        <w:left w:val="none" w:sz="0" w:space="0" w:color="auto"/>
        <w:bottom w:val="none" w:sz="0" w:space="0" w:color="auto"/>
        <w:right w:val="none" w:sz="0" w:space="0" w:color="auto"/>
      </w:divBdr>
    </w:div>
    <w:div w:id="1750880789">
      <w:bodyDiv w:val="1"/>
      <w:marLeft w:val="0"/>
      <w:marRight w:val="0"/>
      <w:marTop w:val="0"/>
      <w:marBottom w:val="0"/>
      <w:divBdr>
        <w:top w:val="none" w:sz="0" w:space="0" w:color="auto"/>
        <w:left w:val="none" w:sz="0" w:space="0" w:color="auto"/>
        <w:bottom w:val="none" w:sz="0" w:space="0" w:color="auto"/>
        <w:right w:val="none" w:sz="0" w:space="0" w:color="auto"/>
      </w:divBdr>
    </w:div>
    <w:div w:id="1800493276">
      <w:bodyDiv w:val="1"/>
      <w:marLeft w:val="0"/>
      <w:marRight w:val="0"/>
      <w:marTop w:val="0"/>
      <w:marBottom w:val="0"/>
      <w:divBdr>
        <w:top w:val="none" w:sz="0" w:space="0" w:color="auto"/>
        <w:left w:val="none" w:sz="0" w:space="0" w:color="auto"/>
        <w:bottom w:val="none" w:sz="0" w:space="0" w:color="auto"/>
        <w:right w:val="none" w:sz="0" w:space="0" w:color="auto"/>
      </w:divBdr>
    </w:div>
    <w:div w:id="1848328886">
      <w:bodyDiv w:val="1"/>
      <w:marLeft w:val="0"/>
      <w:marRight w:val="0"/>
      <w:marTop w:val="0"/>
      <w:marBottom w:val="0"/>
      <w:divBdr>
        <w:top w:val="none" w:sz="0" w:space="0" w:color="auto"/>
        <w:left w:val="none" w:sz="0" w:space="0" w:color="auto"/>
        <w:bottom w:val="none" w:sz="0" w:space="0" w:color="auto"/>
        <w:right w:val="none" w:sz="0" w:space="0" w:color="auto"/>
      </w:divBdr>
    </w:div>
    <w:div w:id="1909073352">
      <w:bodyDiv w:val="1"/>
      <w:marLeft w:val="0"/>
      <w:marRight w:val="0"/>
      <w:marTop w:val="0"/>
      <w:marBottom w:val="0"/>
      <w:divBdr>
        <w:top w:val="none" w:sz="0" w:space="0" w:color="auto"/>
        <w:left w:val="none" w:sz="0" w:space="0" w:color="auto"/>
        <w:bottom w:val="none" w:sz="0" w:space="0" w:color="auto"/>
        <w:right w:val="none" w:sz="0" w:space="0" w:color="auto"/>
      </w:divBdr>
    </w:div>
    <w:div w:id="1978416939">
      <w:bodyDiv w:val="1"/>
      <w:marLeft w:val="0"/>
      <w:marRight w:val="0"/>
      <w:marTop w:val="0"/>
      <w:marBottom w:val="0"/>
      <w:divBdr>
        <w:top w:val="none" w:sz="0" w:space="0" w:color="auto"/>
        <w:left w:val="none" w:sz="0" w:space="0" w:color="auto"/>
        <w:bottom w:val="none" w:sz="0" w:space="0" w:color="auto"/>
        <w:right w:val="none" w:sz="0" w:space="0" w:color="auto"/>
      </w:divBdr>
    </w:div>
    <w:div w:id="2054841049">
      <w:bodyDiv w:val="1"/>
      <w:marLeft w:val="0"/>
      <w:marRight w:val="0"/>
      <w:marTop w:val="0"/>
      <w:marBottom w:val="0"/>
      <w:divBdr>
        <w:top w:val="none" w:sz="0" w:space="0" w:color="auto"/>
        <w:left w:val="none" w:sz="0" w:space="0" w:color="auto"/>
        <w:bottom w:val="none" w:sz="0" w:space="0" w:color="auto"/>
        <w:right w:val="none" w:sz="0" w:space="0" w:color="auto"/>
      </w:divBdr>
    </w:div>
    <w:div w:id="2073236895">
      <w:bodyDiv w:val="1"/>
      <w:marLeft w:val="0"/>
      <w:marRight w:val="0"/>
      <w:marTop w:val="0"/>
      <w:marBottom w:val="0"/>
      <w:divBdr>
        <w:top w:val="none" w:sz="0" w:space="0" w:color="auto"/>
        <w:left w:val="none" w:sz="0" w:space="0" w:color="auto"/>
        <w:bottom w:val="none" w:sz="0" w:space="0" w:color="auto"/>
        <w:right w:val="none" w:sz="0" w:space="0" w:color="auto"/>
      </w:divBdr>
      <w:divsChild>
        <w:div w:id="297611824">
          <w:marLeft w:val="0"/>
          <w:marRight w:val="0"/>
          <w:marTop w:val="0"/>
          <w:marBottom w:val="0"/>
          <w:divBdr>
            <w:top w:val="none" w:sz="0" w:space="0" w:color="auto"/>
            <w:left w:val="none" w:sz="0" w:space="0" w:color="auto"/>
            <w:bottom w:val="none" w:sz="0" w:space="0" w:color="auto"/>
            <w:right w:val="none" w:sz="0" w:space="0" w:color="auto"/>
          </w:divBdr>
          <w:divsChild>
            <w:div w:id="1258248412">
              <w:marLeft w:val="0"/>
              <w:marRight w:val="0"/>
              <w:marTop w:val="0"/>
              <w:marBottom w:val="0"/>
              <w:divBdr>
                <w:top w:val="none" w:sz="0" w:space="0" w:color="auto"/>
                <w:left w:val="none" w:sz="0" w:space="0" w:color="auto"/>
                <w:bottom w:val="none" w:sz="0" w:space="0" w:color="auto"/>
                <w:right w:val="none" w:sz="0" w:space="0" w:color="auto"/>
              </w:divBdr>
              <w:divsChild>
                <w:div w:id="1526556371">
                  <w:marLeft w:val="0"/>
                  <w:marRight w:val="0"/>
                  <w:marTop w:val="0"/>
                  <w:marBottom w:val="0"/>
                  <w:divBdr>
                    <w:top w:val="none" w:sz="0" w:space="0" w:color="auto"/>
                    <w:left w:val="none" w:sz="0" w:space="0" w:color="auto"/>
                    <w:bottom w:val="none" w:sz="0" w:space="0" w:color="auto"/>
                    <w:right w:val="none" w:sz="0" w:space="0" w:color="auto"/>
                  </w:divBdr>
                  <w:divsChild>
                    <w:div w:id="18249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639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i.org/10.1007/978-0-387-30164-8_426"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2033</Words>
  <Characters>11592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LaRose</dc:creator>
  <cp:keywords/>
  <dc:description/>
  <cp:lastModifiedBy>Eric LaRose</cp:lastModifiedBy>
  <cp:revision>7</cp:revision>
  <cp:lastPrinted>2020-11-09T02:15:00Z</cp:lastPrinted>
  <dcterms:created xsi:type="dcterms:W3CDTF">2020-11-09T02:15:00Z</dcterms:created>
  <dcterms:modified xsi:type="dcterms:W3CDTF">2020-12-16T00:36:00Z</dcterms:modified>
</cp:coreProperties>
</file>