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2970"/>
        <w:gridCol w:w="2610"/>
        <w:gridCol w:w="1255"/>
      </w:tblGrid>
      <w:tr w:rsidR="00960D71" w14:paraId="7A30E68A" w14:textId="77777777" w:rsidTr="00960D71">
        <w:tc>
          <w:tcPr>
            <w:tcW w:w="7555" w:type="dxa"/>
            <w:shd w:val="clear" w:color="auto" w:fill="BFBFBF" w:themeFill="background1" w:themeFillShade="BF"/>
          </w:tcPr>
          <w:p w14:paraId="0947FD0A" w14:textId="2384784D" w:rsidR="00960D71" w:rsidRDefault="00960D71" w:rsidP="00960D71">
            <w:r>
              <w:t>Context</w:t>
            </w:r>
          </w:p>
        </w:tc>
        <w:tc>
          <w:tcPr>
            <w:tcW w:w="2970" w:type="dxa"/>
            <w:shd w:val="clear" w:color="auto" w:fill="BFBFBF" w:themeFill="background1" w:themeFillShade="BF"/>
          </w:tcPr>
          <w:p w14:paraId="29C3216E" w14:textId="2C07F96A" w:rsidR="00960D71" w:rsidRDefault="00960D71" w:rsidP="00960D71">
            <w:r>
              <w:t>Question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3DE646A9" w14:textId="48F8305F" w:rsidR="00960D71" w:rsidRDefault="00960D71" w:rsidP="00960D71">
            <w:r>
              <w:t>Prediction</w:t>
            </w:r>
          </w:p>
        </w:tc>
        <w:tc>
          <w:tcPr>
            <w:tcW w:w="1255" w:type="dxa"/>
            <w:shd w:val="clear" w:color="auto" w:fill="BFBFBF" w:themeFill="background1" w:themeFillShade="BF"/>
          </w:tcPr>
          <w:p w14:paraId="4631A918" w14:textId="746496AF" w:rsidR="00960D71" w:rsidRDefault="00960D71" w:rsidP="00960D71">
            <w:r>
              <w:t>Answer</w:t>
            </w:r>
          </w:p>
        </w:tc>
      </w:tr>
      <w:tr w:rsidR="00960D71" w14:paraId="3D93A570" w14:textId="77777777" w:rsidTr="00960D71">
        <w:tc>
          <w:tcPr>
            <w:tcW w:w="7555" w:type="dxa"/>
          </w:tcPr>
          <w:p w14:paraId="270E2871" w14:textId="2D7DC5D5" w:rsidR="00960D71" w:rsidRPr="002D3BEA" w:rsidRDefault="00960D71" w:rsidP="00960D71">
            <w:r w:rsidRPr="004024DC">
              <w:t xml:space="preserve">Following their loss in the divisional round of the previous season's playoffs, the Denver Broncos underwent numerous coaching changes, including a mutual parting with head coach </w:t>
            </w:r>
            <w:r w:rsidRPr="004024DC">
              <w:rPr>
                <w:color w:val="FF0000"/>
              </w:rPr>
              <w:t xml:space="preserve">John Fox (who had won four divisional championships in his four years </w:t>
            </w:r>
            <w:r w:rsidRPr="004024DC">
              <w:rPr>
                <w:b/>
                <w:bCs/>
                <w:color w:val="FF0000"/>
              </w:rPr>
              <w:t>as Broncos head coach</w:t>
            </w:r>
            <w:r w:rsidRPr="004024DC">
              <w:t>), and the hiring of Gary Kubiak as the new head coach.</w:t>
            </w:r>
          </w:p>
        </w:tc>
        <w:tc>
          <w:tcPr>
            <w:tcW w:w="2970" w:type="dxa"/>
          </w:tcPr>
          <w:p w14:paraId="65323550" w14:textId="4D1B5924" w:rsidR="00960D71" w:rsidRPr="002D3BEA" w:rsidRDefault="00960D71" w:rsidP="00960D71">
            <w:r w:rsidRPr="004024DC">
              <w:t xml:space="preserve">Who is the head </w:t>
            </w:r>
            <w:r w:rsidRPr="004024DC">
              <w:rPr>
                <w:color w:val="FF0000"/>
              </w:rPr>
              <w:t>coach of the Broncos</w:t>
            </w:r>
            <w:r w:rsidRPr="004024DC">
              <w:t>?</w:t>
            </w:r>
          </w:p>
        </w:tc>
        <w:tc>
          <w:tcPr>
            <w:tcW w:w="2610" w:type="dxa"/>
          </w:tcPr>
          <w:p w14:paraId="52343C17" w14:textId="2D378EF9" w:rsidR="00960D71" w:rsidRPr="002D3BEA" w:rsidRDefault="00960D71" w:rsidP="00960D71">
            <w:r w:rsidRPr="004024DC">
              <w:rPr>
                <w:color w:val="FF0000"/>
              </w:rPr>
              <w:t>John Fox</w:t>
            </w:r>
          </w:p>
        </w:tc>
        <w:tc>
          <w:tcPr>
            <w:tcW w:w="1255" w:type="dxa"/>
          </w:tcPr>
          <w:p w14:paraId="38F22C20" w14:textId="4774B894" w:rsidR="00960D71" w:rsidRPr="002D3BEA" w:rsidRDefault="00960D71" w:rsidP="00960D71">
            <w:r w:rsidRPr="004024DC">
              <w:t>Gary Kubiak</w:t>
            </w:r>
          </w:p>
        </w:tc>
      </w:tr>
      <w:tr w:rsidR="00960D71" w14:paraId="5FE63407" w14:textId="77777777" w:rsidTr="00960D71">
        <w:tc>
          <w:tcPr>
            <w:tcW w:w="7555" w:type="dxa"/>
          </w:tcPr>
          <w:p w14:paraId="2C86EEC2" w14:textId="362A8014" w:rsidR="00960D71" w:rsidRPr="004024DC" w:rsidRDefault="00960D71" w:rsidP="00960D71">
            <w:r w:rsidRPr="004024DC">
              <w:t xml:space="preserve">In week 10, Manning suffered a partial tear of the plantar fasciitis in his left foot. He set the NFL's all-time record for career passing yards in this </w:t>
            </w:r>
            <w:proofErr w:type="gramStart"/>
            <w:r w:rsidRPr="004024DC">
              <w:t>game, but</w:t>
            </w:r>
            <w:proofErr w:type="gramEnd"/>
            <w:r w:rsidRPr="004024DC">
              <w:t xml:space="preserve"> was benched after throwing four interceptions in favor of backup quarterback </w:t>
            </w:r>
            <w:r w:rsidRPr="004024DC">
              <w:rPr>
                <w:b/>
                <w:bCs/>
                <w:color w:val="FF0000"/>
              </w:rPr>
              <w:t>Brock Osweiler</w:t>
            </w:r>
            <w:r w:rsidRPr="004024DC">
              <w:rPr>
                <w:color w:val="FF0000"/>
              </w:rPr>
              <w:t xml:space="preserve">, who took over as the starter for most of the remainder of the </w:t>
            </w:r>
            <w:r w:rsidRPr="004024DC">
              <w:rPr>
                <w:b/>
                <w:bCs/>
                <w:color w:val="FF0000"/>
              </w:rPr>
              <w:t>regular season</w:t>
            </w:r>
            <w:r w:rsidRPr="004024DC">
              <w:t>. Osweiler was injured, however, leading to Manning's return during the Week 17 regular season finale, where the Broncos were losing 13â</w:t>
            </w:r>
            <w:proofErr w:type="gramStart"/>
            <w:r w:rsidRPr="004024DC">
              <w:t>€“</w:t>
            </w:r>
            <w:proofErr w:type="gramEnd"/>
            <w:r w:rsidRPr="004024DC">
              <w:t>7 against the 4â€“11 San Diego Chargers,</w:t>
            </w:r>
          </w:p>
        </w:tc>
        <w:tc>
          <w:tcPr>
            <w:tcW w:w="2970" w:type="dxa"/>
          </w:tcPr>
          <w:p w14:paraId="4F825E32" w14:textId="178061B9" w:rsidR="00960D71" w:rsidRPr="004024DC" w:rsidRDefault="00960D71" w:rsidP="00960D71">
            <w:r w:rsidRPr="004024DC">
              <w:t xml:space="preserve">Who did the Broncos play in the last week of the </w:t>
            </w:r>
            <w:r w:rsidRPr="004024DC">
              <w:rPr>
                <w:color w:val="FF0000"/>
              </w:rPr>
              <w:t>regular season</w:t>
            </w:r>
            <w:r w:rsidRPr="004024DC">
              <w:t>?</w:t>
            </w:r>
          </w:p>
        </w:tc>
        <w:tc>
          <w:tcPr>
            <w:tcW w:w="2610" w:type="dxa"/>
          </w:tcPr>
          <w:p w14:paraId="57647636" w14:textId="3331C39C" w:rsidR="00960D71" w:rsidRPr="004024DC" w:rsidRDefault="00960D71" w:rsidP="00960D71">
            <w:pPr>
              <w:rPr>
                <w:color w:val="FF0000"/>
              </w:rPr>
            </w:pPr>
            <w:r w:rsidRPr="004024DC">
              <w:rPr>
                <w:color w:val="FF0000"/>
              </w:rPr>
              <w:t>Brock Osweiler</w:t>
            </w:r>
          </w:p>
        </w:tc>
        <w:tc>
          <w:tcPr>
            <w:tcW w:w="1255" w:type="dxa"/>
          </w:tcPr>
          <w:p w14:paraId="4417CB7C" w14:textId="172A0381" w:rsidR="00960D71" w:rsidRPr="004024DC" w:rsidRDefault="00960D71" w:rsidP="00960D71">
            <w:r w:rsidRPr="004024DC">
              <w:t>San Diego Chargers</w:t>
            </w:r>
          </w:p>
        </w:tc>
      </w:tr>
    </w:tbl>
    <w:p w14:paraId="53333BF6" w14:textId="77777777" w:rsidR="00960D71" w:rsidRDefault="00960D71"/>
    <w:p w14:paraId="155E2994" w14:textId="3076A8B7" w:rsidR="00960D71" w:rsidRDefault="00960D71">
      <w:r>
        <w:t>The extract model does not capture the semantic meaning of the language. Instead, the model output incorrect start and end probabilities influenced by some keywords matched in the question.</w:t>
      </w:r>
    </w:p>
    <w:p w14:paraId="05D11068" w14:textId="3BE36ACE" w:rsidR="00960D71" w:rsidRDefault="00960D71">
      <w:r>
        <w:rPr>
          <w:noProof/>
        </w:rPr>
        <w:drawing>
          <wp:inline distT="0" distB="0" distL="0" distR="0" wp14:anchorId="33331172" wp14:editId="291C4081">
            <wp:extent cx="6621145" cy="2810510"/>
            <wp:effectExtent l="0" t="0" r="8255" b="8890"/>
            <wp:docPr id="140901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49A1FF" w14:textId="77777777" w:rsidR="00960D71" w:rsidRDefault="00960D71"/>
    <w:p w14:paraId="5B11438C" w14:textId="77777777" w:rsidR="00960D71" w:rsidRDefault="00960D71"/>
    <w:p w14:paraId="39895135" w14:textId="77777777" w:rsidR="00960D71" w:rsidRDefault="00960D71"/>
    <w:p w14:paraId="0238BB19" w14:textId="77777777" w:rsidR="00960D71" w:rsidRDefault="00960D71"/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6750"/>
        <w:gridCol w:w="4050"/>
        <w:gridCol w:w="1260"/>
        <w:gridCol w:w="1260"/>
      </w:tblGrid>
      <w:tr w:rsidR="00960D71" w14:paraId="42136C8A" w14:textId="77777777" w:rsidTr="00960D71">
        <w:tc>
          <w:tcPr>
            <w:tcW w:w="6750" w:type="dxa"/>
            <w:shd w:val="clear" w:color="auto" w:fill="BFBFBF" w:themeFill="background1" w:themeFillShade="BF"/>
          </w:tcPr>
          <w:p w14:paraId="1FC193E6" w14:textId="77777777" w:rsidR="00960D71" w:rsidRDefault="00960D71" w:rsidP="00E6116A">
            <w:r>
              <w:t>Context</w:t>
            </w:r>
          </w:p>
        </w:tc>
        <w:tc>
          <w:tcPr>
            <w:tcW w:w="4050" w:type="dxa"/>
            <w:shd w:val="clear" w:color="auto" w:fill="BFBFBF" w:themeFill="background1" w:themeFillShade="BF"/>
          </w:tcPr>
          <w:p w14:paraId="6053B219" w14:textId="77777777" w:rsidR="00960D71" w:rsidRDefault="00960D71" w:rsidP="00E6116A">
            <w:r>
              <w:t>Question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5E4573B" w14:textId="77777777" w:rsidR="00960D71" w:rsidRDefault="00960D71" w:rsidP="00E6116A">
            <w:r>
              <w:t>Prediction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23F3265C" w14:textId="77777777" w:rsidR="00960D71" w:rsidRDefault="00960D71" w:rsidP="00E6116A">
            <w:r>
              <w:t>Answer</w:t>
            </w:r>
          </w:p>
        </w:tc>
      </w:tr>
      <w:tr w:rsidR="00960D71" w14:paraId="0E546396" w14:textId="77777777" w:rsidTr="00E6116A">
        <w:tc>
          <w:tcPr>
            <w:tcW w:w="6750" w:type="dxa"/>
          </w:tcPr>
          <w:p w14:paraId="4D379A0E" w14:textId="77777777" w:rsidR="00960D71" w:rsidRPr="00C03793" w:rsidRDefault="00960D71" w:rsidP="00E6116A">
            <w:r w:rsidRPr="00C03793">
              <w:t xml:space="preserve">The </w:t>
            </w:r>
            <w:r w:rsidRPr="00C03793">
              <w:rPr>
                <w:color w:val="FF0000"/>
              </w:rPr>
              <w:t xml:space="preserve">complexity class P </w:t>
            </w:r>
            <w:r w:rsidRPr="00C03793">
              <w:t xml:space="preserve">is often seen as a mathematical abstraction modeling those computational tasks that admit an efficient </w:t>
            </w:r>
            <w:r w:rsidRPr="00C03793">
              <w:rPr>
                <w:color w:val="FF0000"/>
              </w:rPr>
              <w:t>algorithm</w:t>
            </w:r>
            <w:r w:rsidRPr="00C03793">
              <w:t xml:space="preserve">. This hypothesis is called the </w:t>
            </w:r>
            <w:proofErr w:type="spellStart"/>
            <w:r w:rsidRPr="00C03793">
              <w:t>Cobhamâ</w:t>
            </w:r>
            <w:proofErr w:type="spellEnd"/>
            <w:proofErr w:type="gramStart"/>
            <w:r w:rsidRPr="00C03793">
              <w:t>€“</w:t>
            </w:r>
            <w:proofErr w:type="gramEnd"/>
            <w:r w:rsidRPr="00C03793">
              <w:t xml:space="preserve">Edmonds thesis. </w:t>
            </w:r>
            <w:r w:rsidRPr="00C03793">
              <w:rPr>
                <w:color w:val="00B050"/>
              </w:rPr>
              <w:t xml:space="preserve">The complexity class NP, on the other hand, contains many problems that people would like to solve efficiently, but for which </w:t>
            </w:r>
            <w:r w:rsidRPr="00C03793">
              <w:rPr>
                <w:b/>
                <w:bCs/>
                <w:color w:val="00B050"/>
              </w:rPr>
              <w:t>no</w:t>
            </w:r>
            <w:r w:rsidRPr="00C03793">
              <w:rPr>
                <w:color w:val="00B050"/>
              </w:rPr>
              <w:t xml:space="preserve"> efficient algorithm is </w:t>
            </w:r>
            <w:r w:rsidRPr="00C03793">
              <w:rPr>
                <w:b/>
                <w:bCs/>
                <w:color w:val="00B050"/>
              </w:rPr>
              <w:t>known</w:t>
            </w:r>
            <w:r w:rsidRPr="00C03793">
              <w:t>, such as the Boolean satisfiability problem, the Hamiltonian path problem and the vertex cover problem.</w:t>
            </w:r>
          </w:p>
        </w:tc>
        <w:tc>
          <w:tcPr>
            <w:tcW w:w="4050" w:type="dxa"/>
          </w:tcPr>
          <w:p w14:paraId="691DF961" w14:textId="77777777" w:rsidR="00960D71" w:rsidRPr="00C03793" w:rsidRDefault="00960D71" w:rsidP="00E6116A">
            <w:r w:rsidRPr="00C03793">
              <w:t>What complexity class is commonly characterized by unknown algorithms to enhance solvability?</w:t>
            </w:r>
          </w:p>
        </w:tc>
        <w:tc>
          <w:tcPr>
            <w:tcW w:w="1260" w:type="dxa"/>
          </w:tcPr>
          <w:p w14:paraId="3DF4E677" w14:textId="77777777" w:rsidR="00960D71" w:rsidRPr="00C03793" w:rsidRDefault="00960D71" w:rsidP="00E6116A">
            <w:r>
              <w:t>P</w:t>
            </w:r>
          </w:p>
        </w:tc>
        <w:tc>
          <w:tcPr>
            <w:tcW w:w="1260" w:type="dxa"/>
          </w:tcPr>
          <w:p w14:paraId="773A301B" w14:textId="77777777" w:rsidR="00960D71" w:rsidRDefault="00960D71" w:rsidP="00E6116A">
            <w:r>
              <w:t>NP</w:t>
            </w:r>
          </w:p>
        </w:tc>
      </w:tr>
    </w:tbl>
    <w:p w14:paraId="23D7B9AF" w14:textId="77777777" w:rsidR="00960D71" w:rsidRDefault="00960D71"/>
    <w:p w14:paraId="4F619DBB" w14:textId="41FD06B4" w:rsidR="00960D71" w:rsidRDefault="00960D71" w:rsidP="00960D71">
      <w:r>
        <w:t xml:space="preserve">The extract model does not </w:t>
      </w:r>
      <w:r>
        <w:t xml:space="preserve">learn the contrast “no </w:t>
      </w:r>
      <w:proofErr w:type="gramStart"/>
      <w:r>
        <w:t>…..</w:t>
      </w:r>
      <w:proofErr w:type="gramEnd"/>
      <w:r>
        <w:t xml:space="preserve"> known” in the context and fails to correlate “no … known” </w:t>
      </w:r>
      <w:proofErr w:type="gramStart"/>
      <w:r>
        <w:t>to</w:t>
      </w:r>
      <w:proofErr w:type="gramEnd"/>
      <w:r>
        <w:t xml:space="preserve"> “unknown”.</w:t>
      </w:r>
    </w:p>
    <w:p w14:paraId="4561F38C" w14:textId="77777777" w:rsidR="00960D71" w:rsidRDefault="00960D71" w:rsidP="00960D71"/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6750"/>
        <w:gridCol w:w="4050"/>
        <w:gridCol w:w="1260"/>
        <w:gridCol w:w="1260"/>
      </w:tblGrid>
      <w:tr w:rsidR="00960D71" w14:paraId="1B115309" w14:textId="77777777" w:rsidTr="00E6116A">
        <w:tc>
          <w:tcPr>
            <w:tcW w:w="6750" w:type="dxa"/>
            <w:shd w:val="clear" w:color="auto" w:fill="BFBFBF" w:themeFill="background1" w:themeFillShade="BF"/>
          </w:tcPr>
          <w:p w14:paraId="4BF2084D" w14:textId="77777777" w:rsidR="00960D71" w:rsidRDefault="00960D71" w:rsidP="00E6116A">
            <w:r>
              <w:t>Context</w:t>
            </w:r>
          </w:p>
        </w:tc>
        <w:tc>
          <w:tcPr>
            <w:tcW w:w="4050" w:type="dxa"/>
            <w:shd w:val="clear" w:color="auto" w:fill="BFBFBF" w:themeFill="background1" w:themeFillShade="BF"/>
          </w:tcPr>
          <w:p w14:paraId="1F355062" w14:textId="77777777" w:rsidR="00960D71" w:rsidRDefault="00960D71" w:rsidP="00E6116A">
            <w:r>
              <w:t>Question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5B599458" w14:textId="77777777" w:rsidR="00960D71" w:rsidRDefault="00960D71" w:rsidP="00E6116A">
            <w:r>
              <w:t>Prediction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169CDE85" w14:textId="77777777" w:rsidR="00960D71" w:rsidRDefault="00960D71" w:rsidP="00E6116A">
            <w:r>
              <w:t>Answer</w:t>
            </w:r>
          </w:p>
        </w:tc>
      </w:tr>
      <w:tr w:rsidR="00960D71" w14:paraId="636F0C25" w14:textId="77777777" w:rsidTr="00E6116A">
        <w:tc>
          <w:tcPr>
            <w:tcW w:w="6750" w:type="dxa"/>
          </w:tcPr>
          <w:p w14:paraId="02AB3506" w14:textId="77777777" w:rsidR="00960D71" w:rsidRDefault="00960D71" w:rsidP="00E6116A">
            <w:r w:rsidRPr="004024DC">
              <w:t xml:space="preserve">As opposed to broadcasts of primetime series, CBS broadcast special episodes of its </w:t>
            </w:r>
            <w:proofErr w:type="gramStart"/>
            <w:r w:rsidRPr="004024DC">
              <w:t>late night</w:t>
            </w:r>
            <w:proofErr w:type="gramEnd"/>
            <w:r w:rsidRPr="004024DC">
              <w:t xml:space="preserve"> </w:t>
            </w:r>
            <w:r w:rsidRPr="004024DC">
              <w:rPr>
                <w:color w:val="FF0000"/>
              </w:rPr>
              <w:t xml:space="preserve">talk </w:t>
            </w:r>
            <w:r w:rsidRPr="004024DC">
              <w:rPr>
                <w:b/>
                <w:bCs/>
                <w:color w:val="FF0000"/>
              </w:rPr>
              <w:t>shows</w:t>
            </w:r>
            <w:r w:rsidRPr="004024DC">
              <w:rPr>
                <w:color w:val="FF0000"/>
              </w:rPr>
              <w:t xml:space="preserve"> as its lead-out </w:t>
            </w:r>
            <w:r w:rsidRPr="004024DC">
              <w:rPr>
                <w:b/>
                <w:bCs/>
                <w:color w:val="FF0000"/>
              </w:rPr>
              <w:t>programs</w:t>
            </w:r>
            <w:r w:rsidRPr="004024DC">
              <w:rPr>
                <w:color w:val="FF0000"/>
              </w:rPr>
              <w:t xml:space="preserve"> for </w:t>
            </w:r>
            <w:r w:rsidRPr="004024DC">
              <w:rPr>
                <w:b/>
                <w:bCs/>
                <w:color w:val="FF0000"/>
              </w:rPr>
              <w:t>Super Bowl 50</w:t>
            </w:r>
            <w:r w:rsidRPr="004024DC">
              <w:t xml:space="preserve">, beginning with a special episode of The Late Show with Stephen Colbert following the game. Following a break for late local programming, CBS also aired a special episode of The Late </w:t>
            </w:r>
            <w:proofErr w:type="spellStart"/>
            <w:r w:rsidRPr="004024DC">
              <w:t>Late</w:t>
            </w:r>
            <w:proofErr w:type="spellEnd"/>
            <w:r w:rsidRPr="004024DC">
              <w:t xml:space="preserve"> Show with James Corden.</w:t>
            </w:r>
          </w:p>
        </w:tc>
        <w:tc>
          <w:tcPr>
            <w:tcW w:w="4050" w:type="dxa"/>
          </w:tcPr>
          <w:p w14:paraId="7D1DD5DB" w14:textId="77777777" w:rsidR="00960D71" w:rsidRDefault="00960D71" w:rsidP="00E6116A">
            <w:r w:rsidRPr="004024DC">
              <w:t xml:space="preserve">What </w:t>
            </w:r>
            <w:r w:rsidRPr="004024DC">
              <w:rPr>
                <w:color w:val="FF0000"/>
              </w:rPr>
              <w:t>show</w:t>
            </w:r>
            <w:r w:rsidRPr="004024DC">
              <w:t xml:space="preserve"> aired on CBS after late local </w:t>
            </w:r>
            <w:r w:rsidRPr="004024DC">
              <w:rPr>
                <w:color w:val="FF0000"/>
              </w:rPr>
              <w:t>programming</w:t>
            </w:r>
            <w:r w:rsidRPr="004024DC">
              <w:t>?</w:t>
            </w:r>
          </w:p>
        </w:tc>
        <w:tc>
          <w:tcPr>
            <w:tcW w:w="1260" w:type="dxa"/>
          </w:tcPr>
          <w:p w14:paraId="7CA238FB" w14:textId="77777777" w:rsidR="00960D71" w:rsidRDefault="00960D71" w:rsidP="00E6116A">
            <w:r w:rsidRPr="004024DC">
              <w:t>Super Bowl 50</w:t>
            </w:r>
          </w:p>
        </w:tc>
        <w:tc>
          <w:tcPr>
            <w:tcW w:w="1260" w:type="dxa"/>
          </w:tcPr>
          <w:p w14:paraId="7670E0DA" w14:textId="77777777" w:rsidR="00960D71" w:rsidRDefault="00960D71" w:rsidP="00E6116A">
            <w:r w:rsidRPr="004024DC">
              <w:t xml:space="preserve">The Late </w:t>
            </w:r>
            <w:proofErr w:type="spellStart"/>
            <w:r w:rsidRPr="004024DC">
              <w:t>Late</w:t>
            </w:r>
            <w:proofErr w:type="spellEnd"/>
            <w:r w:rsidRPr="004024DC">
              <w:t xml:space="preserve"> Show with James Corden</w:t>
            </w:r>
          </w:p>
        </w:tc>
      </w:tr>
      <w:tr w:rsidR="00960D71" w:rsidRPr="004024DC" w14:paraId="777BDEDD" w14:textId="77777777" w:rsidTr="00E6116A">
        <w:tc>
          <w:tcPr>
            <w:tcW w:w="6750" w:type="dxa"/>
          </w:tcPr>
          <w:p w14:paraId="3631D882" w14:textId="77777777" w:rsidR="00960D71" w:rsidRPr="004024DC" w:rsidRDefault="00960D71" w:rsidP="00E6116A">
            <w:r w:rsidRPr="00C9440E">
              <w:t xml:space="preserve">The Normans were famed for their martial spirit and eventually for their </w:t>
            </w:r>
            <w:r w:rsidRPr="00C9440E">
              <w:rPr>
                <w:color w:val="FF0000"/>
              </w:rPr>
              <w:t xml:space="preserve">Christian </w:t>
            </w:r>
            <w:r w:rsidRPr="00C9440E">
              <w:rPr>
                <w:b/>
                <w:bCs/>
                <w:color w:val="FF0000"/>
              </w:rPr>
              <w:t>piety</w:t>
            </w:r>
            <w:r w:rsidRPr="00C9440E">
              <w:t xml:space="preserve">, becoming </w:t>
            </w:r>
            <w:r w:rsidRPr="00960D71">
              <w:rPr>
                <w:b/>
                <w:bCs/>
                <w:color w:val="00B050"/>
              </w:rPr>
              <w:t>exponents</w:t>
            </w:r>
            <w:r w:rsidRPr="00960D71">
              <w:rPr>
                <w:color w:val="00B050"/>
              </w:rPr>
              <w:t xml:space="preserve"> of the Catholic orthodoxy </w:t>
            </w:r>
            <w:r w:rsidRPr="00C9440E">
              <w:t>into which they assimilated. the Levant, to Scotland and Wales in Great Britain, to Ireland, and to the coasts of north Africa and the Canary Islands.</w:t>
            </w:r>
          </w:p>
        </w:tc>
        <w:tc>
          <w:tcPr>
            <w:tcW w:w="4050" w:type="dxa"/>
          </w:tcPr>
          <w:p w14:paraId="314BD0BD" w14:textId="77777777" w:rsidR="00960D71" w:rsidRPr="004024DC" w:rsidRDefault="00960D71" w:rsidP="00E6116A">
            <w:r w:rsidRPr="00C9440E">
              <w:t xml:space="preserve">What </w:t>
            </w:r>
            <w:r w:rsidRPr="00C9440E">
              <w:rPr>
                <w:color w:val="FF0000"/>
              </w:rPr>
              <w:t>religion</w:t>
            </w:r>
            <w:r w:rsidRPr="00C9440E">
              <w:t xml:space="preserve"> were the Normans</w:t>
            </w:r>
          </w:p>
        </w:tc>
        <w:tc>
          <w:tcPr>
            <w:tcW w:w="1260" w:type="dxa"/>
          </w:tcPr>
          <w:p w14:paraId="4493B083" w14:textId="77777777" w:rsidR="00960D71" w:rsidRPr="004024DC" w:rsidRDefault="00960D71" w:rsidP="00E6116A">
            <w:r w:rsidRPr="00C9440E">
              <w:t>Christian</w:t>
            </w:r>
          </w:p>
        </w:tc>
        <w:tc>
          <w:tcPr>
            <w:tcW w:w="1260" w:type="dxa"/>
          </w:tcPr>
          <w:p w14:paraId="70E760DC" w14:textId="77777777" w:rsidR="00960D71" w:rsidRPr="004024DC" w:rsidRDefault="00960D71" w:rsidP="00E6116A">
            <w:r w:rsidRPr="00C9440E">
              <w:t>Catholic orthodoxy</w:t>
            </w:r>
          </w:p>
        </w:tc>
      </w:tr>
    </w:tbl>
    <w:p w14:paraId="160153A1" w14:textId="77777777" w:rsidR="00960D71" w:rsidRDefault="00960D71" w:rsidP="00960D71"/>
    <w:p w14:paraId="2E24ED7B" w14:textId="515F2047" w:rsidR="00960D71" w:rsidRDefault="00960D71" w:rsidP="00960D71">
      <w:r>
        <w:t xml:space="preserve">The </w:t>
      </w:r>
      <w:r>
        <w:t>model picks up common words that are closer to the question but ignores less used words.</w:t>
      </w:r>
    </w:p>
    <w:p w14:paraId="5C8324BA" w14:textId="77777777" w:rsidR="00960D71" w:rsidRDefault="00960D71" w:rsidP="00960D71"/>
    <w:p w14:paraId="30EE2085" w14:textId="556E4E9A" w:rsidR="00960D71" w:rsidRDefault="00960D71">
      <w:r>
        <w:br w:type="page"/>
      </w:r>
    </w:p>
    <w:p w14:paraId="03CA3D59" w14:textId="77777777" w:rsidR="00960D71" w:rsidRDefault="00960D71"/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6750"/>
        <w:gridCol w:w="4050"/>
        <w:gridCol w:w="1260"/>
        <w:gridCol w:w="1260"/>
      </w:tblGrid>
      <w:tr w:rsidR="00960D71" w14:paraId="6ACE55FB" w14:textId="77777777" w:rsidTr="00E6116A">
        <w:tc>
          <w:tcPr>
            <w:tcW w:w="6750" w:type="dxa"/>
            <w:shd w:val="clear" w:color="auto" w:fill="BFBFBF" w:themeFill="background1" w:themeFillShade="BF"/>
          </w:tcPr>
          <w:p w14:paraId="698A6098" w14:textId="77777777" w:rsidR="00960D71" w:rsidRDefault="00960D71" w:rsidP="00E6116A">
            <w:r>
              <w:t>Context</w:t>
            </w:r>
          </w:p>
        </w:tc>
        <w:tc>
          <w:tcPr>
            <w:tcW w:w="4050" w:type="dxa"/>
            <w:shd w:val="clear" w:color="auto" w:fill="BFBFBF" w:themeFill="background1" w:themeFillShade="BF"/>
          </w:tcPr>
          <w:p w14:paraId="7CA8A385" w14:textId="77777777" w:rsidR="00960D71" w:rsidRDefault="00960D71" w:rsidP="00E6116A">
            <w:r>
              <w:t>Question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6C9632A1" w14:textId="77777777" w:rsidR="00960D71" w:rsidRDefault="00960D71" w:rsidP="00E6116A">
            <w:r>
              <w:t>Prediction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59213A81" w14:textId="77777777" w:rsidR="00960D71" w:rsidRDefault="00960D71" w:rsidP="00E6116A">
            <w:r>
              <w:t>Answer</w:t>
            </w:r>
          </w:p>
        </w:tc>
      </w:tr>
      <w:tr w:rsidR="00960D71" w14:paraId="3C34E58E" w14:textId="77777777" w:rsidTr="00E6116A">
        <w:tc>
          <w:tcPr>
            <w:tcW w:w="6750" w:type="dxa"/>
          </w:tcPr>
          <w:p w14:paraId="08C56656" w14:textId="05420DBA" w:rsidR="00960D71" w:rsidRPr="00C03793" w:rsidRDefault="00960D71" w:rsidP="00960D71">
            <w:r w:rsidRPr="00C03793">
              <w:rPr>
                <w:color w:val="00B050"/>
              </w:rPr>
              <w:t xml:space="preserve">Starting in 1894, Tesla began investigating what he referred to as radiant energy </w:t>
            </w:r>
            <w:r w:rsidRPr="00C03793">
              <w:t xml:space="preserve">of "invisible" kinds after </w:t>
            </w:r>
            <w:proofErr w:type="gramStart"/>
            <w:r>
              <w:t>…[</w:t>
            </w:r>
            <w:proofErr w:type="gramEnd"/>
            <w:r w:rsidRPr="00C03793">
              <w:rPr>
                <w:color w:val="FF0000"/>
              </w:rPr>
              <w:t>multiple long sentences</w:t>
            </w:r>
            <w:r>
              <w:t xml:space="preserve">]… </w:t>
            </w:r>
            <w:r w:rsidRPr="00C03793">
              <w:t xml:space="preserve">York Times as saying, "I am in too much grief to talk. What can I say?" Tesla may have inadvertently captured an X-ray </w:t>
            </w:r>
            <w:proofErr w:type="spellStart"/>
            <w:r w:rsidRPr="00C03793">
              <w:t>imageâ</w:t>
            </w:r>
            <w:proofErr w:type="spellEnd"/>
            <w:proofErr w:type="gramStart"/>
            <w:r w:rsidRPr="00C03793">
              <w:t>€”predating</w:t>
            </w:r>
            <w:proofErr w:type="gramEnd"/>
            <w:r w:rsidRPr="00C03793">
              <w:t xml:space="preserve">, by a few weeks, when he tried to photograph </w:t>
            </w:r>
            <w:r w:rsidRPr="00C03793">
              <w:rPr>
                <w:color w:val="FF0000"/>
              </w:rPr>
              <w:t xml:space="preserve">Mark Twain </w:t>
            </w:r>
            <w:r w:rsidRPr="00C03793">
              <w:t>illuminated by a Geissler tube, an earlier type of gas discharge tube.</w:t>
            </w:r>
          </w:p>
        </w:tc>
        <w:tc>
          <w:tcPr>
            <w:tcW w:w="4050" w:type="dxa"/>
          </w:tcPr>
          <w:p w14:paraId="17F3B74E" w14:textId="180D2346" w:rsidR="00960D71" w:rsidRPr="00C03793" w:rsidRDefault="00960D71" w:rsidP="00960D71">
            <w:r w:rsidRPr="00C03793">
              <w:t xml:space="preserve">When </w:t>
            </w:r>
            <w:proofErr w:type="gramStart"/>
            <w:r w:rsidRPr="00C03793">
              <w:t>die</w:t>
            </w:r>
            <w:proofErr w:type="gramEnd"/>
            <w:r w:rsidRPr="00C03793">
              <w:t xml:space="preserve"> Tesla turn his attention to trying to understand invisible radiant energy?</w:t>
            </w:r>
          </w:p>
        </w:tc>
        <w:tc>
          <w:tcPr>
            <w:tcW w:w="1260" w:type="dxa"/>
          </w:tcPr>
          <w:p w14:paraId="7BCBD870" w14:textId="165C3B86" w:rsidR="00960D71" w:rsidRPr="00C03793" w:rsidRDefault="00960D71" w:rsidP="00960D71">
            <w:r w:rsidRPr="00C03793">
              <w:t>Mark Twain</w:t>
            </w:r>
          </w:p>
        </w:tc>
        <w:tc>
          <w:tcPr>
            <w:tcW w:w="1260" w:type="dxa"/>
          </w:tcPr>
          <w:p w14:paraId="563B4E3A" w14:textId="01622BA7" w:rsidR="00960D71" w:rsidRDefault="00960D71" w:rsidP="00960D71">
            <w:r>
              <w:t>1984</w:t>
            </w:r>
          </w:p>
        </w:tc>
      </w:tr>
      <w:tr w:rsidR="00960D71" w14:paraId="7ADA30C7" w14:textId="77777777" w:rsidTr="00E6116A">
        <w:tc>
          <w:tcPr>
            <w:tcW w:w="6750" w:type="dxa"/>
          </w:tcPr>
          <w:p w14:paraId="3F5BC337" w14:textId="08210709" w:rsidR="00960D71" w:rsidRPr="00C03793" w:rsidRDefault="00960D71" w:rsidP="00960D71">
            <w:pPr>
              <w:rPr>
                <w:color w:val="00B050"/>
              </w:rPr>
            </w:pPr>
            <w:r w:rsidRPr="002D3BEA">
              <w:t xml:space="preserve">In 1542, Luther read a Latin translation of the Qur'an. </w:t>
            </w:r>
            <w:r w:rsidRPr="002D3BEA">
              <w:rPr>
                <w:color w:val="00B050"/>
              </w:rPr>
              <w:t>He went on to produce several critical pamphlets on Islam, which he called "Mohammedanism" or "the Turk"</w:t>
            </w:r>
            <w:r w:rsidRPr="002D3BEA">
              <w:t>. Though Luther saw the Muslim faith as a tool of the devil, he was indifferent to its practice: "</w:t>
            </w:r>
            <w:r w:rsidRPr="002D3BEA">
              <w:rPr>
                <w:color w:val="FF0000"/>
              </w:rPr>
              <w:t>Let the Turk believe and live as he will</w:t>
            </w:r>
            <w:r w:rsidRPr="002D3BEA">
              <w:t>, just as one lets the papacy and other false Christians live." He opposed banning the publication of the Qur'an, wanting it exposed to scrutiny.</w:t>
            </w:r>
          </w:p>
        </w:tc>
        <w:tc>
          <w:tcPr>
            <w:tcW w:w="4050" w:type="dxa"/>
          </w:tcPr>
          <w:p w14:paraId="3E5CDB43" w14:textId="7617AC6C" w:rsidR="00960D71" w:rsidRPr="00C03793" w:rsidRDefault="00960D71" w:rsidP="00960D71">
            <w:r w:rsidRPr="002D3BEA">
              <w:t>What were Mohammedanism and the Turk?</w:t>
            </w:r>
          </w:p>
        </w:tc>
        <w:tc>
          <w:tcPr>
            <w:tcW w:w="1260" w:type="dxa"/>
          </w:tcPr>
          <w:p w14:paraId="0B5481B8" w14:textId="053EA85E" w:rsidR="00960D71" w:rsidRPr="00C03793" w:rsidRDefault="00960D71" w:rsidP="00960D71">
            <w:r w:rsidRPr="002D3BEA">
              <w:t>Let the Turk believe and live as he will</w:t>
            </w:r>
          </w:p>
        </w:tc>
        <w:tc>
          <w:tcPr>
            <w:tcW w:w="1260" w:type="dxa"/>
          </w:tcPr>
          <w:p w14:paraId="4401244B" w14:textId="4FCDDED0" w:rsidR="00960D71" w:rsidRDefault="00960D71" w:rsidP="00960D71">
            <w:r w:rsidRPr="002D3BEA">
              <w:t>Islam</w:t>
            </w:r>
          </w:p>
        </w:tc>
      </w:tr>
    </w:tbl>
    <w:p w14:paraId="33155B53" w14:textId="67530EDD" w:rsidR="00960D71" w:rsidRDefault="00960D71" w:rsidP="00960D71"/>
    <w:p w14:paraId="35AFBECB" w14:textId="5A454E55" w:rsidR="00960D71" w:rsidRDefault="00960D71" w:rsidP="00960D71">
      <w:r>
        <w:t>The model fails to extract information that spans in a long context.</w:t>
      </w:r>
    </w:p>
    <w:p w14:paraId="6DB425A7" w14:textId="77777777" w:rsidR="00960D71" w:rsidRDefault="00960D71"/>
    <w:sectPr w:rsidR="00960D71" w:rsidSect="004024D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DC"/>
    <w:rsid w:val="002D3BEA"/>
    <w:rsid w:val="002E1140"/>
    <w:rsid w:val="004024DC"/>
    <w:rsid w:val="00685739"/>
    <w:rsid w:val="008E3411"/>
    <w:rsid w:val="00916B4F"/>
    <w:rsid w:val="00960D71"/>
    <w:rsid w:val="00C03793"/>
    <w:rsid w:val="00C9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1567D6"/>
  <w15:chartTrackingRefBased/>
  <w15:docId w15:val="{BB078E3A-3B64-40D3-8C2A-4FE4887E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D71"/>
  </w:style>
  <w:style w:type="paragraph" w:styleId="Heading1">
    <w:name w:val="heading 1"/>
    <w:basedOn w:val="Normal"/>
    <w:next w:val="Normal"/>
    <w:link w:val="Heading1Char"/>
    <w:uiPriority w:val="9"/>
    <w:qFormat/>
    <w:rsid w:val="00402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4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2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cp:keywords/>
  <dc:description/>
  <cp:lastModifiedBy>Eric Lee</cp:lastModifiedBy>
  <cp:revision>1</cp:revision>
  <dcterms:created xsi:type="dcterms:W3CDTF">2024-12-06T17:38:00Z</dcterms:created>
  <dcterms:modified xsi:type="dcterms:W3CDTF">2024-12-06T18:56:00Z</dcterms:modified>
</cp:coreProperties>
</file>