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GaleCore</w:t>
      </w:r>
    </w:p>
    <w:p>
      <w:pPr>
        <w:spacing w:after="40"/>
      </w:pPr>
      <w:r>
        <w:rPr>
          <w:color w:val="333333"/>
          <w:sz w:val="26"/>
          <w:szCs w:val="26"/>
        </w:rPr>
        <w:t xml:space="preserve">Estrategia de venta de prima — resultados de validación y opinión</w:t>
      </w:r>
    </w:p>
    <w:p>
      <w:pPr>
        <w:pBdr>
          <w:bottom w:val="single" w:color="1F3864" w:sz="6"/>
        </w:pBdr>
        <w:spacing w:after="300"/>
      </w:pPr>
      <w:r>
        <w:rPr>
          <w:i/>
          <w:iCs/>
          <w:color w:val="595959"/>
          <w:sz w:val="19"/>
          <w:szCs w:val="19"/>
        </w:rPr>
        <w:t xml:space="preserve">Config de referencia H3 · documento interno para análisis · 10 de julio de 2026</w:t>
      </w:r>
    </w:p>
    <w:p>
      <w:pPr>
        <w:pStyle w:val="Heading1"/>
        <w:spacing w:after="140" w:before="300"/>
      </w:pPr>
      <w:r>
        <w:rPr>
          <w:rFonts w:ascii="Calibri" w:cs="Calibri" w:eastAsia="Calibri" w:hAnsi="Calibri"/>
          <w:b/>
          <w:bCs/>
          <w:color w:val="1F3864"/>
          <w:sz w:val="28"/>
          <w:szCs w:val="28"/>
        </w:rPr>
        <w:t xml:space="preserve">1. Resumen ejecutivo</w:t>
      </w:r>
    </w:p>
    <w:p>
      <w:pPr>
        <w:spacing w:after="140" w:before="0"/>
      </w:pPr>
      <w:r>
        <w:rPr>
          <w:rFonts w:ascii="Calibri" w:cs="Calibri" w:eastAsia="Calibri" w:hAnsi="Calibri"/>
          <w:color w:val="222222"/>
          <w:sz w:val="21"/>
          <w:szCs w:val="21"/>
        </w:rPr>
        <w:t xml:space="preserve">La configuración validada es: </w:t>
      </w:r>
      <w:r>
        <w:rPr>
          <w:rFonts w:ascii="Calibri" w:cs="Calibri" w:eastAsia="Calibri" w:hAnsi="Calibri"/>
          <w:b/>
          <w:bCs/>
          <w:color w:val="222222"/>
          <w:sz w:val="21"/>
          <w:szCs w:val="21"/>
        </w:rPr>
        <w:t xml:space="preserve">Put Credit Spread (PCS) sobre SPY y QQQ, short put delta 0.30, ancho $5, DTE ~45</w:t>
      </w:r>
      <w:r>
        <w:rPr>
          <w:rFonts w:ascii="Calibri" w:cs="Calibri" w:eastAsia="Calibri" w:hAnsi="Calibri"/>
          <w:color w:val="222222"/>
          <w:sz w:val="21"/>
          <w:szCs w:val="21"/>
        </w:rPr>
        <w:t xml:space="preserve">, con disparo por edge medido (crédito/ancho sobre probabilidad empírica de pérdida, calibrada sin lookahead), gates de entorno (régimen operable, VRP ≥ 1.2, GEX ≥ 0 en SPY, muro de puts, veto de cola VVIX/skew) y gestión al 50% del crédito sin salida forzada por DTE. El sistema sugiere y una persona aprueba; el riesgo es siempre definido.</w:t>
      </w:r>
    </w:p>
    <w:p>
      <w:pPr>
        <w:pStyle w:val="ListParagraph"/>
        <w:numPr>
          <w:ilvl w:val="0"/>
          <w:numId w:val="2"/>
        </w:numPr>
        <w:spacing w:after="90"/>
      </w:pPr>
      <w:r>
        <w:rPr>
          <w:rFonts w:ascii="Calibri" w:cs="Calibri" w:eastAsia="Calibri" w:hAnsi="Calibri"/>
          <w:color w:val="222222"/>
          <w:sz w:val="21"/>
          <w:szCs w:val="21"/>
        </w:rPr>
        <w:t xml:space="preserve">Veredicto del walk-forward (8 años out-of-sample, 2018–2025, incluye Volmageddon, COVID y el bear 2022): </w:t>
      </w:r>
      <w:r>
        <w:rPr>
          <w:rFonts w:ascii="Calibri" w:cs="Calibri" w:eastAsia="Calibri" w:hAnsi="Calibri"/>
          <w:b/>
          <w:bCs/>
          <w:color w:val="2E7D32"/>
          <w:sz w:val="21"/>
          <w:szCs w:val="21"/>
        </w:rPr>
        <w:t xml:space="preserve">APROBADO en ambos índices</w:t>
      </w:r>
      <w:r>
        <w:rPr>
          <w:rFonts w:ascii="Calibri" w:cs="Calibri" w:eastAsia="Calibri" w:hAnsi="Calibri"/>
          <w:color w:val="222222"/>
          <w:sz w:val="21"/>
          <w:szCs w:val="21"/>
        </w:rPr>
        <w:t xml:space="preserve"> — win 96–97% con gestión, percentil 5 positivo, peor año −$449 (SPY) / −$83 (QQQ) por contrato.</w:t>
      </w:r>
    </w:p>
    <w:p>
      <w:pPr>
        <w:pStyle w:val="ListParagraph"/>
        <w:numPr>
          <w:ilvl w:val="0"/>
          <w:numId w:val="2"/>
        </w:numPr>
        <w:spacing w:after="90"/>
      </w:pPr>
      <w:r>
        <w:rPr>
          <w:rFonts w:ascii="Calibri" w:cs="Calibri" w:eastAsia="Calibri" w:hAnsi="Calibri"/>
          <w:color w:val="222222"/>
          <w:sz w:val="21"/>
          <w:szCs w:val="21"/>
        </w:rPr>
        <w:t xml:space="preserve">Ocurrencia: ~14,5 señales/año por símbolo (20× la config anterior H2). Renta esperada: </w:t>
      </w:r>
      <w:r>
        <w:rPr>
          <w:rFonts w:ascii="Calibri" w:cs="Calibri" w:eastAsia="Calibri" w:hAnsi="Calibri"/>
          <w:b/>
          <w:bCs/>
          <w:color w:val="222222"/>
          <w:sz w:val="21"/>
          <w:szCs w:val="21"/>
        </w:rPr>
        <w:t xml:space="preserve">~$500–700/año por contrato por símbolo</w:t>
      </w:r>
      <w:r>
        <w:rPr>
          <w:rFonts w:ascii="Calibri" w:cs="Calibri" w:eastAsia="Calibri" w:hAnsi="Calibri"/>
          <w:color w:val="222222"/>
          <w:sz w:val="21"/>
          <w:szCs w:val="21"/>
        </w:rPr>
        <w:t xml:space="preserve"> — edge real pero chico en dólares; escala linealmente con contratos/capital.</w:t>
      </w:r>
    </w:p>
    <w:p>
      <w:pPr>
        <w:pStyle w:val="ListParagraph"/>
        <w:numPr>
          <w:ilvl w:val="0"/>
          <w:numId w:val="2"/>
        </w:numPr>
        <w:spacing w:after="90"/>
      </w:pPr>
      <w:r>
        <w:rPr>
          <w:rFonts w:ascii="Calibri" w:cs="Calibri" w:eastAsia="Calibri" w:hAnsi="Calibri"/>
          <w:color w:val="222222"/>
          <w:sz w:val="21"/>
          <w:szCs w:val="21"/>
        </w:rPr>
        <w:t xml:space="preserve">El veredicto habilita </w:t>
      </w:r>
      <w:r>
        <w:rPr>
          <w:rFonts w:ascii="Calibri" w:cs="Calibri" w:eastAsia="Calibri" w:hAnsi="Calibri"/>
          <w:b/>
          <w:bCs/>
          <w:color w:val="222222"/>
          <w:sz w:val="21"/>
          <w:szCs w:val="21"/>
        </w:rPr>
        <w:t xml:space="preserve">paper trading</w:t>
      </w:r>
      <w:r>
        <w:rPr>
          <w:rFonts w:ascii="Calibri" w:cs="Calibri" w:eastAsia="Calibri" w:hAnsi="Calibri"/>
          <w:color w:val="222222"/>
          <w:sz w:val="21"/>
          <w:szCs w:val="21"/>
        </w:rPr>
        <w:t xml:space="preserve">, no operación real: la ventana histórica está agotada por el propio proceso de research y los números del backtest son un techo, no la expectativa.</w:t>
      </w:r>
    </w:p>
    <w:p>
      <w:pPr>
        <w:pStyle w:val="Heading1"/>
        <w:spacing w:after="140" w:before="300"/>
      </w:pPr>
      <w:r>
        <w:rPr>
          <w:rFonts w:ascii="Calibri" w:cs="Calibri" w:eastAsia="Calibri" w:hAnsi="Calibri"/>
          <w:b/>
          <w:bCs/>
          <w:color w:val="1F3864"/>
          <w:sz w:val="28"/>
          <w:szCs w:val="28"/>
        </w:rPr>
        <w:t xml:space="preserve">2. De dónde sale el edge</w:t>
      </w:r>
    </w:p>
    <w:p>
      <w:pPr>
        <w:spacing w:after="140" w:before="0"/>
      </w:pPr>
      <w:r>
        <w:rPr>
          <w:rFonts w:ascii="Calibri" w:cs="Calibri" w:eastAsia="Calibri" w:hAnsi="Calibri"/>
          <w:color w:val="222222"/>
          <w:sz w:val="21"/>
          <w:szCs w:val="21"/>
        </w:rPr>
        <w:t xml:space="preserve">La estrategia vende el seguro que el mercado sobrepaga. Tres hechos medidos en 13 años de datos propios (y confirmados ventana por ventana out-of-time) la sostienen:</w:t>
      </w:r>
    </w:p>
    <w:p>
      <w:pPr>
        <w:pStyle w:val="ListParagraph"/>
        <w:numPr>
          <w:ilvl w:val="0"/>
          <w:numId w:val="2"/>
        </w:numPr>
        <w:spacing w:after="90"/>
      </w:pPr>
      <w:r>
        <w:rPr>
          <w:rFonts w:ascii="Calibri" w:cs="Calibri" w:eastAsia="Calibri" w:hAnsi="Calibri"/>
          <w:color w:val="222222"/>
          <w:sz w:val="21"/>
          <w:szCs w:val="21"/>
        </w:rPr>
        <w:t xml:space="preserve">El mercado paga de más la protección bajista (put skew + demanda estructural de cobertura): un short put delta 0.30 venció ITM ~15% de las veces, la mitad de lo que su precio implica.</w:t>
      </w:r>
    </w:p>
    <w:p>
      <w:pPr>
        <w:pStyle w:val="ListParagraph"/>
        <w:numPr>
          <w:ilvl w:val="0"/>
          <w:numId w:val="2"/>
        </w:numPr>
        <w:spacing w:after="90"/>
      </w:pPr>
      <w:r>
        <w:rPr>
          <w:rFonts w:ascii="Calibri" w:cs="Calibri" w:eastAsia="Calibri" w:hAnsi="Calibri"/>
          <w:color w:val="222222"/>
          <w:sz w:val="21"/>
          <w:szCs w:val="21"/>
        </w:rPr>
        <w:t xml:space="preserve">Esa asimetría solo es medible cerca del dinero: en el wing lejano (delta 0.20) el precio es casi puro premio de crash, inestimable — el hallazgo central del ciclo fue mover el delta de 0.20 a 0.30.</w:t>
      </w:r>
    </w:p>
    <w:p>
      <w:pPr>
        <w:pStyle w:val="ListParagraph"/>
        <w:numPr>
          <w:ilvl w:val="0"/>
          <w:numId w:val="2"/>
        </w:numPr>
        <w:spacing w:after="90"/>
      </w:pPr>
      <w:r>
        <w:rPr>
          <w:rFonts w:ascii="Calibri" w:cs="Calibri" w:eastAsia="Calibri" w:hAnsi="Calibri"/>
          <w:color w:val="222222"/>
          <w:sz w:val="21"/>
          <w:szCs w:val="21"/>
        </w:rPr>
        <w:t xml:space="preserve">El lado call es lo contrario (el drift alcista lo perfora 1,5× más de lo que su precio implica): por eso los iron condors y call spreads quedaron descartados con evidencia (test BT-11) y la producción es PCS-only.</w:t>
      </w:r>
    </w:p>
    <w:p>
      <w:pPr>
        <w:pStyle w:val="Heading1"/>
        <w:spacing w:after="140" w:before="300"/>
      </w:pPr>
      <w:r>
        <w:rPr>
          <w:rFonts w:ascii="Calibri" w:cs="Calibri" w:eastAsia="Calibri" w:hAnsi="Calibri"/>
          <w:b/>
          <w:bCs/>
          <w:color w:val="1F3864"/>
          <w:sz w:val="28"/>
          <w:szCs w:val="28"/>
        </w:rPr>
        <w:t xml:space="preserve">3. Resultados (out-of-sample 2018–2025, 1 contrato, neto de fricción)</w:t>
      </w:r>
    </w:p>
    <w:p>
      <w:pPr>
        <w:pStyle w:val="Heading2"/>
        <w:spacing w:after="110" w:before="220"/>
      </w:pPr>
      <w:r>
        <w:rPr>
          <w:rFonts w:ascii="Calibri" w:cs="Calibri" w:eastAsia="Calibri" w:hAnsi="Calibri"/>
          <w:b/>
          <w:bCs/>
          <w:color w:val="1F3864"/>
          <w:sz w:val="24"/>
          <w:szCs w:val="24"/>
        </w:rPr>
        <w:t xml:space="preserve">QQQ — superficie de confirmación (corrida única pre-declarada)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800"/>
        <w:gridCol w:w="900"/>
        <w:gridCol w:w="1050"/>
        <w:gridCol w:w="800"/>
        <w:gridCol w:w="1200"/>
        <w:gridCol w:w="700"/>
        <w:gridCol w:w="800"/>
      </w:tblGrid>
      <w:tr>
        <w:trPr>
          <w:tblHeader/>
        </w:trPr>
        <w:tc>
          <w:tcPr>
            <w:tcW w:type="dxa" w:w="1750"/>
            <w:shd w:fill="1F3864"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Política</w:t>
            </w:r>
          </w:p>
        </w:tc>
        <w:tc>
          <w:tcPr>
            <w:tcW w:type="dxa" w:w="135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Señales (n/año)</w:t>
            </w:r>
          </w:p>
        </w:tc>
        <w:tc>
          <w:tcPr>
            <w:tcW w:type="dxa" w:w="8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Win %</w:t>
            </w:r>
          </w:p>
        </w:tc>
        <w:tc>
          <w:tcPr>
            <w:tcW w:type="dxa" w:w="9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Prom. $</w:t>
            </w:r>
          </w:p>
        </w:tc>
        <w:tc>
          <w:tcPr>
            <w:tcW w:type="dxa" w:w="105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Total 8a $</w:t>
            </w:r>
          </w:p>
        </w:tc>
        <w:tc>
          <w:tcPr>
            <w:tcW w:type="dxa" w:w="8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p5 $</w:t>
            </w:r>
          </w:p>
        </w:tc>
        <w:tc>
          <w:tcPr>
            <w:tcW w:type="dxa" w:w="12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Peor año $</w:t>
            </w:r>
          </w:p>
        </w:tc>
        <w:tc>
          <w:tcPr>
            <w:tcW w:type="dxa" w:w="7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Días</w:t>
            </w:r>
          </w:p>
        </w:tc>
        <w:tc>
          <w:tcPr>
            <w:tcW w:type="dxa" w:w="8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$/día</w:t>
            </w:r>
          </w:p>
        </w:tc>
      </w:tr>
      <w:tr>
        <w:tc>
          <w:tcPr>
            <w:tcW w:type="dxa" w:w="1750"/>
            <w:shd w:fill="FFFFFF" w:val="clear"/>
            <w:tcMar>
              <w:top w:type="dxa" w:w="60"/>
              <w:left w:type="dxa" w:w="90"/>
              <w:bottom w:type="dxa" w:w="60"/>
              <w:right w:type="dxa" w:w="90"/>
            </w:tcMar>
          </w:tcPr>
          <w:p>
            <w:pPr>
              <w:jc w:val="left"/>
            </w:pPr>
            <w:r>
              <w:rPr>
                <w:rFonts w:ascii="Calibri" w:cs="Calibri" w:eastAsia="Calibri" w:hAnsi="Calibri"/>
                <w:b w:val="false"/>
                <w:bCs w:val="false"/>
                <w:color w:val="222222"/>
                <w:sz w:val="19"/>
                <w:szCs w:val="19"/>
              </w:rPr>
              <w:t xml:space="preserve">Hold a vencimiento</w:t>
            </w:r>
          </w:p>
        </w:tc>
        <w:tc>
          <w:tcPr>
            <w:tcW w:type="dxa" w:w="135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117 (14,6)</w:t>
            </w:r>
          </w:p>
        </w:tc>
        <w:tc>
          <w:tcPr>
            <w:tcW w:type="dxa" w:w="8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90,6</w:t>
            </w:r>
          </w:p>
        </w:tc>
        <w:tc>
          <w:tcPr>
            <w:tcW w:type="dxa" w:w="9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59,1</w:t>
            </w:r>
          </w:p>
        </w:tc>
        <w:tc>
          <w:tcPr>
            <w:tcW w:type="dxa" w:w="105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6.916</w:t>
            </w:r>
          </w:p>
        </w:tc>
        <w:tc>
          <w:tcPr>
            <w:tcW w:type="dxa" w:w="8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−390</w:t>
            </w:r>
          </w:p>
        </w:tc>
        <w:tc>
          <w:tcPr>
            <w:tcW w:type="dxa" w:w="12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−513 (2018)</w:t>
            </w:r>
          </w:p>
        </w:tc>
        <w:tc>
          <w:tcPr>
            <w:tcW w:type="dxa" w:w="7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42,7</w:t>
            </w:r>
          </w:p>
        </w:tc>
        <w:tc>
          <w:tcPr>
            <w:tcW w:type="dxa" w:w="8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1,38</w:t>
            </w:r>
          </w:p>
        </w:tc>
      </w:tr>
      <w:tr>
        <w:tc>
          <w:tcPr>
            <w:tcW w:type="dxa" w:w="1750"/>
            <w:shd w:fill="EDF1F8" w:val="clear"/>
            <w:tcMar>
              <w:top w:type="dxa" w:w="60"/>
              <w:left w:type="dxa" w:w="90"/>
              <w:bottom w:type="dxa" w:w="60"/>
              <w:right w:type="dxa" w:w="90"/>
            </w:tcMar>
          </w:tcPr>
          <w:p>
            <w:pPr>
              <w:jc w:val="left"/>
            </w:pPr>
            <w:r>
              <w:rPr>
                <w:rFonts w:ascii="Calibri" w:cs="Calibri" w:eastAsia="Calibri" w:hAnsi="Calibri"/>
                <w:b w:val="false"/>
                <w:bCs w:val="false"/>
                <w:color w:val="222222"/>
                <w:sz w:val="19"/>
                <w:szCs w:val="19"/>
              </w:rPr>
              <w:t xml:space="preserve">Gestión 50% (config)</w:t>
            </w:r>
          </w:p>
        </w:tc>
        <w:tc>
          <w:tcPr>
            <w:tcW w:type="dxa" w:w="135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117 (14,6)</w:t>
            </w:r>
          </w:p>
        </w:tc>
        <w:tc>
          <w:tcPr>
            <w:tcW w:type="dxa" w:w="8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97,4</w:t>
            </w:r>
          </w:p>
        </w:tc>
        <w:tc>
          <w:tcPr>
            <w:tcW w:type="dxa" w:w="9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47,7</w:t>
            </w:r>
          </w:p>
        </w:tc>
        <w:tc>
          <w:tcPr>
            <w:tcW w:type="dxa" w:w="105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5.577</w:t>
            </w:r>
          </w:p>
        </w:tc>
        <w:tc>
          <w:tcPr>
            <w:tcW w:type="dxa" w:w="8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+41</w:t>
            </w:r>
          </w:p>
        </w:tc>
        <w:tc>
          <w:tcPr>
            <w:tcW w:type="dxa" w:w="12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−83 (2018)</w:t>
            </w:r>
          </w:p>
        </w:tc>
        <w:tc>
          <w:tcPr>
            <w:tcW w:type="dxa" w:w="7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17,6</w:t>
            </w:r>
          </w:p>
        </w:tc>
        <w:tc>
          <w:tcPr>
            <w:tcW w:type="dxa" w:w="8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2,71</w:t>
            </w:r>
          </w:p>
        </w:tc>
      </w:tr>
    </w:tbl>
    <w:p>
      <w:pPr>
        <w:spacing w:after="120"/>
      </w:pPr>
    </w:p>
    <w:p>
      <w:pPr>
        <w:pStyle w:val="Heading2"/>
        <w:spacing w:after="110" w:before="220"/>
      </w:pPr>
      <w:r>
        <w:rPr>
          <w:rFonts w:ascii="Calibri" w:cs="Calibri" w:eastAsia="Calibri" w:hAnsi="Calibri"/>
          <w:b/>
          <w:bCs/>
          <w:color w:val="1F3864"/>
          <w:sz w:val="24"/>
          <w:szCs w:val="24"/>
        </w:rPr>
        <w:t xml:space="preserve">SPY — superficie principal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800"/>
        <w:gridCol w:w="900"/>
        <w:gridCol w:w="1050"/>
        <w:gridCol w:w="800"/>
        <w:gridCol w:w="1200"/>
        <w:gridCol w:w="700"/>
        <w:gridCol w:w="800"/>
      </w:tblGrid>
      <w:tr>
        <w:trPr>
          <w:tblHeader/>
        </w:trPr>
        <w:tc>
          <w:tcPr>
            <w:tcW w:type="dxa" w:w="1750"/>
            <w:shd w:fill="1F3864"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Política</w:t>
            </w:r>
          </w:p>
        </w:tc>
        <w:tc>
          <w:tcPr>
            <w:tcW w:type="dxa" w:w="135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Señales (n/año)</w:t>
            </w:r>
          </w:p>
        </w:tc>
        <w:tc>
          <w:tcPr>
            <w:tcW w:type="dxa" w:w="8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Win %</w:t>
            </w:r>
          </w:p>
        </w:tc>
        <w:tc>
          <w:tcPr>
            <w:tcW w:type="dxa" w:w="9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Prom. $</w:t>
            </w:r>
          </w:p>
        </w:tc>
        <w:tc>
          <w:tcPr>
            <w:tcW w:type="dxa" w:w="105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Total 8a $</w:t>
            </w:r>
          </w:p>
        </w:tc>
        <w:tc>
          <w:tcPr>
            <w:tcW w:type="dxa" w:w="8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p5 $</w:t>
            </w:r>
          </w:p>
        </w:tc>
        <w:tc>
          <w:tcPr>
            <w:tcW w:type="dxa" w:w="12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Peor año $</w:t>
            </w:r>
          </w:p>
        </w:tc>
        <w:tc>
          <w:tcPr>
            <w:tcW w:type="dxa" w:w="7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Días</w:t>
            </w:r>
          </w:p>
        </w:tc>
        <w:tc>
          <w:tcPr>
            <w:tcW w:type="dxa" w:w="8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$/día</w:t>
            </w:r>
          </w:p>
        </w:tc>
      </w:tr>
      <w:tr>
        <w:tc>
          <w:tcPr>
            <w:tcW w:type="dxa" w:w="1750"/>
            <w:shd w:fill="FFFFFF" w:val="clear"/>
            <w:tcMar>
              <w:top w:type="dxa" w:w="60"/>
              <w:left w:type="dxa" w:w="90"/>
              <w:bottom w:type="dxa" w:w="60"/>
              <w:right w:type="dxa" w:w="90"/>
            </w:tcMar>
          </w:tcPr>
          <w:p>
            <w:pPr>
              <w:jc w:val="left"/>
            </w:pPr>
            <w:r>
              <w:rPr>
                <w:rFonts w:ascii="Calibri" w:cs="Calibri" w:eastAsia="Calibri" w:hAnsi="Calibri"/>
                <w:b w:val="false"/>
                <w:bCs w:val="false"/>
                <w:color w:val="222222"/>
                <w:sz w:val="19"/>
                <w:szCs w:val="19"/>
              </w:rPr>
              <w:t xml:space="preserve">Hold a vencimiento</w:t>
            </w:r>
          </w:p>
        </w:tc>
        <w:tc>
          <w:tcPr>
            <w:tcW w:type="dxa" w:w="135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115 (14,4)</w:t>
            </w:r>
          </w:p>
        </w:tc>
        <w:tc>
          <w:tcPr>
            <w:tcW w:type="dxa" w:w="8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93,9</w:t>
            </w:r>
          </w:p>
        </w:tc>
        <w:tc>
          <w:tcPr>
            <w:tcW w:type="dxa" w:w="9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60,4</w:t>
            </w:r>
          </w:p>
        </w:tc>
        <w:tc>
          <w:tcPr>
            <w:tcW w:type="dxa" w:w="105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6.951</w:t>
            </w:r>
          </w:p>
        </w:tc>
        <w:tc>
          <w:tcPr>
            <w:tcW w:type="dxa" w:w="8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−118</w:t>
            </w:r>
          </w:p>
        </w:tc>
        <w:tc>
          <w:tcPr>
            <w:tcW w:type="dxa" w:w="12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−385 (2022)</w:t>
            </w:r>
          </w:p>
        </w:tc>
        <w:tc>
          <w:tcPr>
            <w:tcW w:type="dxa" w:w="7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42,9</w:t>
            </w:r>
          </w:p>
        </w:tc>
        <w:tc>
          <w:tcPr>
            <w:tcW w:type="dxa" w:w="8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1,41</w:t>
            </w:r>
          </w:p>
        </w:tc>
      </w:tr>
      <w:tr>
        <w:tc>
          <w:tcPr>
            <w:tcW w:type="dxa" w:w="1750"/>
            <w:shd w:fill="EDF1F8" w:val="clear"/>
            <w:tcMar>
              <w:top w:type="dxa" w:w="60"/>
              <w:left w:type="dxa" w:w="90"/>
              <w:bottom w:type="dxa" w:w="60"/>
              <w:right w:type="dxa" w:w="90"/>
            </w:tcMar>
          </w:tcPr>
          <w:p>
            <w:pPr>
              <w:jc w:val="left"/>
            </w:pPr>
            <w:r>
              <w:rPr>
                <w:rFonts w:ascii="Calibri" w:cs="Calibri" w:eastAsia="Calibri" w:hAnsi="Calibri"/>
                <w:b w:val="false"/>
                <w:bCs w:val="false"/>
                <w:color w:val="222222"/>
                <w:sz w:val="19"/>
                <w:szCs w:val="19"/>
              </w:rPr>
              <w:t xml:space="preserve">Gestión 50% (config)</w:t>
            </w:r>
          </w:p>
        </w:tc>
        <w:tc>
          <w:tcPr>
            <w:tcW w:type="dxa" w:w="135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115 (14,4)</w:t>
            </w:r>
          </w:p>
        </w:tc>
        <w:tc>
          <w:tcPr>
            <w:tcW w:type="dxa" w:w="8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96,5</w:t>
            </w:r>
          </w:p>
        </w:tc>
        <w:tc>
          <w:tcPr>
            <w:tcW w:type="dxa" w:w="9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35,5</w:t>
            </w:r>
          </w:p>
        </w:tc>
        <w:tc>
          <w:tcPr>
            <w:tcW w:type="dxa" w:w="105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4.080</w:t>
            </w:r>
          </w:p>
        </w:tc>
        <w:tc>
          <w:tcPr>
            <w:tcW w:type="dxa" w:w="8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+32</w:t>
            </w:r>
          </w:p>
        </w:tc>
        <w:tc>
          <w:tcPr>
            <w:tcW w:type="dxa" w:w="12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−449 (2018)</w:t>
            </w:r>
          </w:p>
        </w:tc>
        <w:tc>
          <w:tcPr>
            <w:tcW w:type="dxa" w:w="7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21,0</w:t>
            </w:r>
          </w:p>
        </w:tc>
        <w:tc>
          <w:tcPr>
            <w:tcW w:type="dxa" w:w="8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1,69</w:t>
            </w:r>
          </w:p>
        </w:tc>
      </w:tr>
    </w:tbl>
    <w:p>
      <w:pPr>
        <w:spacing w:after="120"/>
      </w:pPr>
    </w:p>
    <w:p>
      <w:pPr>
        <w:pStyle w:val="Heading2"/>
        <w:spacing w:after="110" w:before="220"/>
      </w:pPr>
      <w:r>
        <w:rPr>
          <w:rFonts w:ascii="Calibri" w:cs="Calibri" w:eastAsia="Calibri" w:hAnsi="Calibri"/>
          <w:b/>
          <w:bCs/>
          <w:color w:val="1F3864"/>
          <w:sz w:val="24"/>
          <w:szCs w:val="24"/>
        </w:rPr>
        <w:t xml:space="preserve">Criterios pre-declarados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100"/>
        <w:gridCol w:w="4050"/>
      </w:tblGrid>
      <w:tr>
        <w:trPr>
          <w:tblHeader/>
        </w:trPr>
        <w:tc>
          <w:tcPr>
            <w:tcW w:type="dxa" w:w="4200"/>
            <w:shd w:fill="1F3864"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Criterio</w:t>
            </w:r>
          </w:p>
        </w:tc>
        <w:tc>
          <w:tcPr>
            <w:tcW w:type="dxa" w:w="110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Resultado</w:t>
            </w:r>
          </w:p>
        </w:tc>
        <w:tc>
          <w:tcPr>
            <w:tcW w:type="dxa" w:w="4050"/>
            <w:shd w:fill="1F3864"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Detalle</w:t>
            </w:r>
          </w:p>
        </w:tc>
      </w:tr>
      <w:tr>
        <w:tc>
          <w:tcPr>
            <w:tcW w:type="dxa" w:w="4200"/>
            <w:shd w:fill="FFFFFF" w:val="clear"/>
            <w:tcMar>
              <w:top w:type="dxa" w:w="60"/>
              <w:left w:type="dxa" w:w="90"/>
              <w:bottom w:type="dxa" w:w="60"/>
              <w:right w:type="dxa" w:w="90"/>
            </w:tcMar>
          </w:tcPr>
          <w:p>
            <w:pPr>
              <w:jc w:val="left"/>
            </w:pPr>
            <w:r>
              <w:rPr>
                <w:rFonts w:ascii="Calibri" w:cs="Calibri" w:eastAsia="Calibri" w:hAnsi="Calibri"/>
                <w:b w:val="false"/>
                <w:bCs w:val="false"/>
                <w:color w:val="222222"/>
                <w:sz w:val="19"/>
                <w:szCs w:val="19"/>
              </w:rPr>
              <w:t xml:space="preserve">C1 — Rentable y consistente (avg&gt;0, win≥90%)</w:t>
            </w:r>
          </w:p>
        </w:tc>
        <w:tc>
          <w:tcPr>
            <w:tcW w:type="dxa" w:w="11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PASA</w:t>
            </w:r>
          </w:p>
        </w:tc>
        <w:tc>
          <w:tcPr>
            <w:tcW w:type="dxa" w:w="405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97,4% / 96,5% con gestión</w:t>
            </w:r>
          </w:p>
        </w:tc>
      </w:tr>
      <w:tr>
        <w:tc>
          <w:tcPr>
            <w:tcW w:type="dxa" w:w="4200"/>
            <w:shd w:fill="EDF1F8" w:val="clear"/>
            <w:tcMar>
              <w:top w:type="dxa" w:w="60"/>
              <w:left w:type="dxa" w:w="90"/>
              <w:bottom w:type="dxa" w:w="60"/>
              <w:right w:type="dxa" w:w="90"/>
            </w:tcMar>
          </w:tcPr>
          <w:p>
            <w:pPr>
              <w:jc w:val="left"/>
            </w:pPr>
            <w:r>
              <w:rPr>
                <w:rFonts w:ascii="Calibri" w:cs="Calibri" w:eastAsia="Calibri" w:hAnsi="Calibri"/>
                <w:b w:val="false"/>
                <w:bCs w:val="false"/>
                <w:color w:val="222222"/>
                <w:sz w:val="19"/>
                <w:szCs w:val="19"/>
              </w:rPr>
              <w:t xml:space="preserve">C2 — El gate separa (elegidas &gt; rechazadas)</w:t>
            </w:r>
          </w:p>
        </w:tc>
        <w:tc>
          <w:tcPr>
            <w:tcW w:type="dxa" w:w="11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PASA</w:t>
            </w:r>
          </w:p>
        </w:tc>
        <w:tc>
          <w:tcPr>
            <w:tcW w:type="dxa" w:w="405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$59 vs $31 (QQQ); $60 vs −$17 (SPY)</w:t>
            </w:r>
          </w:p>
        </w:tc>
      </w:tr>
      <w:tr>
        <w:tc>
          <w:tcPr>
            <w:tcW w:type="dxa" w:w="4200"/>
            <w:shd w:fill="FFFFFF" w:val="clear"/>
            <w:tcMar>
              <w:top w:type="dxa" w:w="60"/>
              <w:left w:type="dxa" w:w="90"/>
              <w:bottom w:type="dxa" w:w="60"/>
              <w:right w:type="dxa" w:w="90"/>
            </w:tcMar>
          </w:tcPr>
          <w:p>
            <w:pPr>
              <w:jc w:val="left"/>
            </w:pPr>
            <w:r>
              <w:rPr>
                <w:rFonts w:ascii="Calibri" w:cs="Calibri" w:eastAsia="Calibri" w:hAnsi="Calibri"/>
                <w:b w:val="false"/>
                <w:bCs w:val="false"/>
                <w:color w:val="222222"/>
                <w:sz w:val="19"/>
                <w:szCs w:val="19"/>
              </w:rPr>
              <w:t xml:space="preserve">C3 — Ningún año peor que −$700</w:t>
            </w:r>
          </w:p>
        </w:tc>
        <w:tc>
          <w:tcPr>
            <w:tcW w:type="dxa" w:w="11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PASA</w:t>
            </w:r>
          </w:p>
        </w:tc>
        <w:tc>
          <w:tcPr>
            <w:tcW w:type="dxa" w:w="405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Peor: −$513 hold / −$83 gestión (QQQ)</w:t>
            </w:r>
          </w:p>
        </w:tc>
      </w:tr>
      <w:tr>
        <w:tc>
          <w:tcPr>
            <w:tcW w:type="dxa" w:w="4200"/>
            <w:shd w:fill="EDF1F8" w:val="clear"/>
            <w:tcMar>
              <w:top w:type="dxa" w:w="60"/>
              <w:left w:type="dxa" w:w="90"/>
              <w:bottom w:type="dxa" w:w="60"/>
              <w:right w:type="dxa" w:w="90"/>
            </w:tcMar>
          </w:tcPr>
          <w:p>
            <w:pPr>
              <w:jc w:val="left"/>
            </w:pPr>
            <w:r>
              <w:rPr>
                <w:rFonts w:ascii="Calibri" w:cs="Calibri" w:eastAsia="Calibri" w:hAnsi="Calibri"/>
                <w:b w:val="false"/>
                <w:bCs w:val="false"/>
                <w:color w:val="222222"/>
                <w:sz w:val="19"/>
                <w:szCs w:val="19"/>
              </w:rPr>
              <w:t xml:space="preserve">C4 — Calibración estable entre ventanas</w:t>
            </w:r>
          </w:p>
        </w:tc>
        <w:tc>
          <w:tcPr>
            <w:tcW w:type="dxa" w:w="11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FALLA</w:t>
            </w:r>
          </w:p>
        </w:tc>
        <w:tc>
          <w:tcPr>
            <w:tcW w:type="dxa" w:w="405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Factor deriva 0,43→0,73 — exige monitoreo</w:t>
            </w:r>
          </w:p>
        </w:tc>
      </w:tr>
      <w:tr>
        <w:tc>
          <w:tcPr>
            <w:tcW w:type="dxa" w:w="4200"/>
            <w:shd w:fill="FFFFFF" w:val="clear"/>
            <w:tcMar>
              <w:top w:type="dxa" w:w="60"/>
              <w:left w:type="dxa" w:w="90"/>
              <w:bottom w:type="dxa" w:w="60"/>
              <w:right w:type="dxa" w:w="90"/>
            </w:tcMar>
          </w:tcPr>
          <w:p>
            <w:pPr>
              <w:jc w:val="left"/>
            </w:pPr>
            <w:r>
              <w:rPr>
                <w:rFonts w:ascii="Calibri" w:cs="Calibri" w:eastAsia="Calibri" w:hAnsi="Calibri"/>
                <w:b w:val="false"/>
                <w:bCs w:val="false"/>
                <w:color w:val="222222"/>
                <w:sz w:val="19"/>
                <w:szCs w:val="19"/>
              </w:rPr>
              <w:t xml:space="preserve">Robustez de umbrales (barras ±0,05)</w:t>
            </w:r>
          </w:p>
        </w:tc>
        <w:tc>
          <w:tcPr>
            <w:tcW w:type="dxa" w:w="110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PASA</w:t>
            </w:r>
          </w:p>
        </w:tc>
        <w:tc>
          <w:tcPr>
            <w:tcW w:type="dxa" w:w="4050"/>
            <w:shd w:fill="FFFFFF"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El veredicto no depende del valor elegido</w:t>
            </w:r>
          </w:p>
        </w:tc>
      </w:tr>
      <w:tr>
        <w:tc>
          <w:tcPr>
            <w:tcW w:type="dxa" w:w="4200"/>
            <w:shd w:fill="EDF1F8" w:val="clear"/>
            <w:tcMar>
              <w:top w:type="dxa" w:w="60"/>
              <w:left w:type="dxa" w:w="90"/>
              <w:bottom w:type="dxa" w:w="60"/>
              <w:right w:type="dxa" w:w="90"/>
            </w:tcMar>
          </w:tcPr>
          <w:p>
            <w:pPr>
              <w:jc w:val="left"/>
            </w:pPr>
            <w:r>
              <w:rPr>
                <w:rFonts w:ascii="Calibri" w:cs="Calibri" w:eastAsia="Calibri" w:hAnsi="Calibri"/>
                <w:b w:val="false"/>
                <w:bCs w:val="false"/>
                <w:color w:val="222222"/>
                <w:sz w:val="19"/>
                <w:szCs w:val="19"/>
              </w:rPr>
              <w:t xml:space="preserve">Robustez del delta (test de meseta 0.28–0.32)</w:t>
            </w:r>
          </w:p>
        </w:tc>
        <w:tc>
          <w:tcPr>
            <w:tcW w:type="dxa" w:w="110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PASA</w:t>
            </w:r>
          </w:p>
        </w:tc>
        <w:tc>
          <w:tcPr>
            <w:tcW w:type="dxa" w:w="4050"/>
            <w:shd w:fill="EDF1F8" w:val="clear"/>
            <w:tcMar>
              <w:top w:type="dxa" w:w="60"/>
              <w:left w:type="dxa" w:w="90"/>
              <w:bottom w:type="dxa" w:w="60"/>
              <w:right w:type="dxa" w:w="90"/>
            </w:tcMar>
          </w:tcPr>
          <w:p>
            <w:pPr>
              <w:jc w:val="center"/>
            </w:pPr>
            <w:r>
              <w:rPr>
                <w:rFonts w:ascii="Calibri" w:cs="Calibri" w:eastAsia="Calibri" w:hAnsi="Calibri"/>
                <w:b w:val="false"/>
                <w:bCs w:val="false"/>
                <w:color w:val="222222"/>
                <w:sz w:val="19"/>
                <w:szCs w:val="19"/>
              </w:rPr>
              <w:t xml:space="preserve">Métricas casi idénticas — 0.30 no está fiteado</w:t>
            </w:r>
          </w:p>
        </w:tc>
      </w:tr>
    </w:tbl>
    <w:p>
      <w:pPr>
        <w:spacing w:after="120"/>
      </w:pPr>
    </w:p>
    <w:p>
      <w:pPr>
        <w:spacing w:after="140" w:before="0"/>
      </w:pPr>
      <w:r>
        <w:rPr>
          <w:rFonts w:ascii="Calibri" w:cs="Calibri" w:eastAsia="Calibri" w:hAnsi="Calibri"/>
          <w:b/>
          <w:bCs/>
          <w:color w:val="222222"/>
          <w:sz w:val="21"/>
          <w:szCs w:val="21"/>
        </w:rPr>
        <w:t xml:space="preserve">Notas: </w:t>
      </w:r>
      <w:r>
        <w:rPr>
          <w:rFonts w:ascii="Calibri" w:cs="Calibri" w:eastAsia="Calibri" w:hAnsi="Calibri"/>
          <w:color w:val="222222"/>
          <w:sz w:val="21"/>
          <w:szCs w:val="21"/>
        </w:rPr>
        <w:t xml:space="preserve">2022 en QQQ correctamente sin señales (el sistema se cerró en el bear); 2020 positivo en ambos (cobró la normalización post-COVID); 2018 contenido. El 96–97% de las señales alcanza el profit target; la ocupación baja a 17–21 días, lo que duplica la rotación de capital.</w:t>
      </w:r>
    </w:p>
    <w:p>
      <w:pPr>
        <w:pStyle w:val="Heading1"/>
        <w:spacing w:after="140" w:before="300"/>
      </w:pPr>
      <w:r>
        <w:rPr>
          <w:rFonts w:ascii="Calibri" w:cs="Calibri" w:eastAsia="Calibri" w:hAnsi="Calibri"/>
          <w:b/>
          <w:bCs/>
          <w:color w:val="1F3864"/>
          <w:sz w:val="28"/>
          <w:szCs w:val="28"/>
        </w:rPr>
        <w:t xml:space="preserve">4. Riesgos y letra chica (lo que hay que mirar de frente)</w:t>
      </w:r>
    </w:p>
    <w:p>
      <w:pPr>
        <w:pStyle w:val="ListParagraph"/>
        <w:numPr>
          <w:ilvl w:val="0"/>
          <w:numId w:val="2"/>
        </w:numPr>
        <w:spacing w:after="90"/>
      </w:pPr>
      <w:r>
        <w:rPr>
          <w:rFonts w:ascii="Calibri" w:cs="Calibri" w:eastAsia="Calibri" w:hAnsi="Calibri"/>
          <w:b/>
          <w:bCs/>
          <w:color w:val="222222"/>
          <w:sz w:val="21"/>
          <w:szCs w:val="21"/>
        </w:rPr>
        <w:t xml:space="preserve">Dependencia del drift: </w:t>
      </w:r>
      <w:r>
        <w:rPr>
          <w:rFonts w:ascii="Calibri" w:cs="Calibri" w:eastAsia="Calibri" w:hAnsi="Calibri"/>
          <w:color w:val="222222"/>
          <w:sz w:val="21"/>
          <w:szCs w:val="21"/>
        </w:rPr>
        <w:t xml:space="preserve">el edge del lado put es hijo de un período mayormente alcista (2013–2025, con dos bears cortos pero sin década perdida). Si el mercado entra en un lateral largo, la calibración se adapta con retraso (la falla C4 es el síntoma visible) y la protección contra desangrados lentos es el punto débil conocido del régimen. Modo de falla esperado: el sistema deja de operar (no explota) — degradación elegante, pero renta cero.</w:t>
      </w:r>
    </w:p>
    <w:p>
      <w:pPr>
        <w:pStyle w:val="ListParagraph"/>
        <w:numPr>
          <w:ilvl w:val="0"/>
          <w:numId w:val="2"/>
        </w:numPr>
        <w:spacing w:after="90"/>
      </w:pPr>
      <w:r>
        <w:rPr>
          <w:rFonts w:ascii="Calibri" w:cs="Calibri" w:eastAsia="Calibri" w:hAnsi="Calibri"/>
          <w:b/>
          <w:bCs/>
          <w:color w:val="222222"/>
          <w:sz w:val="21"/>
          <w:szCs w:val="21"/>
        </w:rPr>
        <w:t xml:space="preserve">El backtest es techo, no expectativa: </w:t>
      </w:r>
      <w:r>
        <w:rPr>
          <w:rFonts w:ascii="Calibri" w:cs="Calibri" w:eastAsia="Calibri" w:hAnsi="Calibri"/>
          <w:color w:val="222222"/>
          <w:sz w:val="21"/>
          <w:szCs w:val="21"/>
        </w:rPr>
        <w:t xml:space="preserve">la ventana out-of-sample se reutilizó en varios tests (con disciplina, pero se reutilizó), y la ejecución está modelada a precios medios de cierre con fricción fija. Expectativa honesta en paper: 60–85% de los números de la tabla.</w:t>
      </w:r>
    </w:p>
    <w:p>
      <w:pPr>
        <w:pStyle w:val="ListParagraph"/>
        <w:numPr>
          <w:ilvl w:val="0"/>
          <w:numId w:val="2"/>
        </w:numPr>
        <w:spacing w:after="90"/>
      </w:pPr>
      <w:r>
        <w:rPr>
          <w:rFonts w:ascii="Calibri" w:cs="Calibri" w:eastAsia="Calibri" w:hAnsi="Calibri"/>
          <w:b/>
          <w:bCs/>
          <w:color w:val="222222"/>
          <w:sz w:val="21"/>
          <w:szCs w:val="21"/>
        </w:rPr>
        <w:t xml:space="preserve">Riesgo acotado por construcción: </w:t>
      </w:r>
      <w:r>
        <w:rPr>
          <w:rFonts w:ascii="Calibri" w:cs="Calibri" w:eastAsia="Calibri" w:hAnsi="Calibri"/>
          <w:color w:val="222222"/>
          <w:sz w:val="21"/>
          <w:szCs w:val="21"/>
        </w:rPr>
        <w:t xml:space="preserve">peor trade posible ≈ −$440 por contrato; sin riesgo de ruina con el sizing actual (≤5% del capital por trade, heat ≤7%).</w:t>
      </w:r>
    </w:p>
    <w:p>
      <w:pPr>
        <w:pStyle w:val="ListParagraph"/>
        <w:numPr>
          <w:ilvl w:val="0"/>
          <w:numId w:val="2"/>
        </w:numPr>
        <w:spacing w:after="90"/>
      </w:pPr>
      <w:r>
        <w:rPr>
          <w:rFonts w:ascii="Calibri" w:cs="Calibri" w:eastAsia="Calibri" w:hAnsi="Calibri"/>
          <w:b/>
          <w:bCs/>
          <w:color w:val="222222"/>
          <w:sz w:val="21"/>
          <w:szCs w:val="21"/>
        </w:rPr>
        <w:t xml:space="preserve">Pendientes técnicos antes de paper: </w:t>
      </w:r>
      <w:r>
        <w:rPr>
          <w:rFonts w:ascii="Calibri" w:cs="Calibri" w:eastAsia="Calibri" w:hAnsi="Calibri"/>
          <w:color w:val="222222"/>
          <w:sz w:val="21"/>
          <w:szCs w:val="21"/>
        </w:rPr>
        <w:t xml:space="preserve">(b) redefinir la defensa activa (el umbral actual delta&gt;0.30 dispararía en la entrada; los datos sugieren ~0.40–0.45) y (d) volcar los nodos nuevos al JSON de reglas con enabled:false.</w:t>
      </w:r>
    </w:p>
    <w:p>
      <w:pPr>
        <w:pStyle w:val="Heading1"/>
        <w:spacing w:after="140" w:before="300"/>
      </w:pPr>
      <w:r>
        <w:rPr>
          <w:rFonts w:ascii="Calibri" w:cs="Calibri" w:eastAsia="Calibri" w:hAnsi="Calibri"/>
          <w:b/>
          <w:bCs/>
          <w:color w:val="1F3864"/>
          <w:sz w:val="28"/>
          <w:szCs w:val="28"/>
        </w:rPr>
        <w:t xml:space="preserve">5. Escala económica — lectura de negocio</w:t>
      </w:r>
    </w:p>
    <w:p>
      <w:pPr>
        <w:spacing w:after="140" w:before="0"/>
      </w:pPr>
      <w:r>
        <w:rPr>
          <w:rFonts w:ascii="Calibri" w:cs="Calibri" w:eastAsia="Calibri" w:hAnsi="Calibri"/>
          <w:color w:val="222222"/>
          <w:sz w:val="21"/>
          <w:szCs w:val="21"/>
        </w:rPr>
        <w:t xml:space="preserve">Con 1 contrato: ~$500–700/año por símbolo, ≈ 4–7% anual sobre una cuenta de $10k, con el 65% del capital ocioso (por diseño: el capital ocioso es defensa). </w:t>
      </w:r>
      <w:r>
        <w:rPr>
          <w:rFonts w:ascii="Calibri" w:cs="Calibri" w:eastAsia="Calibri" w:hAnsi="Calibri"/>
          <w:b/>
          <w:bCs/>
          <w:color w:val="222222"/>
          <w:sz w:val="21"/>
          <w:szCs w:val="21"/>
        </w:rPr>
        <w:t xml:space="preserve">Hoy, la renta no paga la infraestructura.</w:t>
      </w:r>
      <w:r>
        <w:rPr>
          <w:rFonts w:ascii="Calibri" w:cs="Calibri" w:eastAsia="Calibri" w:hAnsi="Calibri"/>
          <w:color w:val="222222"/>
          <w:sz w:val="21"/>
          <w:szCs w:val="21"/>
        </w:rPr>
        <w:t xml:space="preserve"> El valor actual del proyecto está en otras tres cosas: (a) es una plataforma validada que escala linealmente — a $50–100k y 5–10 contratos, los mismos números se vuelven relevantes con idéntico riesgo porcentual; (b) el proceso de research (walk-forward pre-declarado, calibración propia, veredictos publicados) es un activo en sí mismo; (c) el conocimiento generado (la asimetría put/call, la mentira del delta por lado, el mapa de fuentes de prima) transfiere a cualquier evolución futura.</w:t>
      </w:r>
    </w:p>
    <w:p>
      <w:pPr>
        <w:pStyle w:val="Heading1"/>
        <w:spacing w:after="140" w:before="300"/>
      </w:pPr>
      <w:r>
        <w:rPr>
          <w:rFonts w:ascii="Calibri" w:cs="Calibri" w:eastAsia="Calibri" w:hAnsi="Calibri"/>
          <w:b/>
          <w:bCs/>
          <w:color w:val="1F3864"/>
          <w:sz w:val="28"/>
          <w:szCs w:val="28"/>
        </w:rPr>
        <w:t xml:space="preserve">6. Opinión</w:t>
      </w:r>
    </w:p>
    <w:p>
      <w:pPr>
        <w:spacing w:after="140" w:before="0"/>
      </w:pPr>
      <w:r>
        <w:rPr>
          <w:rFonts w:ascii="Calibri" w:cs="Calibri" w:eastAsia="Calibri" w:hAnsi="Calibri"/>
          <w:b/>
          <w:bCs/>
          <w:color w:val="222222"/>
          <w:sz w:val="21"/>
          <w:szCs w:val="21"/>
        </w:rPr>
        <w:t xml:space="preserve">Como research: </w:t>
      </w:r>
      <w:r>
        <w:rPr>
          <w:rFonts w:ascii="Calibri" w:cs="Calibri" w:eastAsia="Calibri" w:hAnsi="Calibri"/>
          <w:color w:val="222222"/>
          <w:sz w:val="21"/>
          <w:szCs w:val="21"/>
        </w:rPr>
        <w:t xml:space="preserve">excepcional. El hallazgo tiene explicación económica (no es un patrón minado), sobrevivió réplica en dos índices, meseta paramétrica y confirmación en superficie fresca. Los tests que reprobaron (calibración trailing pura, motor de estructuras) se publicaron sin retoque — eso le da credibilidad al que aprobó.</w:t>
      </w:r>
    </w:p>
    <w:p>
      <w:pPr>
        <w:spacing w:after="140" w:before="0"/>
      </w:pPr>
      <w:r>
        <w:rPr>
          <w:rFonts w:ascii="Calibri" w:cs="Calibri" w:eastAsia="Calibri" w:hAnsi="Calibri"/>
          <w:b/>
          <w:bCs/>
          <w:color w:val="222222"/>
          <w:sz w:val="21"/>
          <w:szCs w:val="21"/>
        </w:rPr>
        <w:t xml:space="preserve">Como sistema de trading: </w:t>
      </w:r>
      <w:r>
        <w:rPr>
          <w:rFonts w:ascii="Calibri" w:cs="Calibri" w:eastAsia="Calibri" w:hAnsi="Calibri"/>
          <w:color w:val="222222"/>
          <w:sz w:val="21"/>
          <w:szCs w:val="21"/>
        </w:rPr>
        <w:t xml:space="preserve">un edge real, chico y honesto, con control de riesgo genuino y un talón de Aquiles conocido (drift + lag de calibración) que tiene canario designado (el monitor de C4). No puede explotar; puede quedarse sin trabajo.</w:t>
      </w:r>
    </w:p>
    <w:p>
      <w:pPr>
        <w:spacing w:after="140" w:before="0"/>
      </w:pPr>
      <w:r>
        <w:rPr>
          <w:rFonts w:ascii="Calibri" w:cs="Calibri" w:eastAsia="Calibri" w:hAnsi="Calibri"/>
          <w:b/>
          <w:bCs/>
          <w:color w:val="222222"/>
          <w:sz w:val="21"/>
          <w:szCs w:val="21"/>
        </w:rPr>
        <w:t xml:space="preserve">Como negocio: </w:t>
      </w:r>
      <w:r>
        <w:rPr>
          <w:rFonts w:ascii="Calibri" w:cs="Calibri" w:eastAsia="Calibri" w:hAnsi="Calibri"/>
          <w:color w:val="222222"/>
          <w:sz w:val="21"/>
          <w:szCs w:val="21"/>
        </w:rPr>
        <w:t xml:space="preserve">todavía no lo es por la renta. Es una plataforma y una opción a escala. La decisión relevante no es de research (el research ya hizo su trabajo) — es de capital.</w:t>
      </w:r>
    </w:p>
    <w:p>
      <w:pPr>
        <w:pStyle w:val="Heading1"/>
        <w:spacing w:after="140" w:before="300"/>
      </w:pPr>
      <w:r>
        <w:rPr>
          <w:rFonts w:ascii="Calibri" w:cs="Calibri" w:eastAsia="Calibri" w:hAnsi="Calibri"/>
          <w:b/>
          <w:bCs/>
          <w:color w:val="1F3864"/>
          <w:sz w:val="28"/>
          <w:szCs w:val="28"/>
        </w:rPr>
        <w:t xml:space="preserve">7. Recomendación y decisiones a discutir</w:t>
      </w:r>
    </w:p>
    <w:p>
      <w:pPr>
        <w:pStyle w:val="ListParagraph"/>
        <w:numPr>
          <w:ilvl w:val="0"/>
          <w:numId w:val="2"/>
        </w:numPr>
        <w:spacing w:after="90"/>
      </w:pPr>
      <w:r>
        <w:rPr>
          <w:rFonts w:ascii="Calibri" w:cs="Calibri" w:eastAsia="Calibri" w:hAnsi="Calibri"/>
          <w:b/>
          <w:bCs/>
          <w:color w:val="222222"/>
          <w:sz w:val="21"/>
          <w:szCs w:val="21"/>
        </w:rPr>
        <w:t xml:space="preserve">Ir a paper con esta config sin tocarle nada</w:t>
      </w:r>
      <w:r>
        <w:rPr>
          <w:rFonts w:ascii="Calibri" w:cs="Calibri" w:eastAsia="Calibri" w:hAnsi="Calibri"/>
          <w:color w:val="222222"/>
          <w:sz w:val="21"/>
          <w:szCs w:val="21"/>
        </w:rPr>
        <w:t xml:space="preserve">, midiendo tres cosas: divergencia paper-vs-backtest por trade (el número que importa ahora), el monitor de calibración C4 por ventana, y el régimen-cero real (cuántos días sin señal).</w:t>
      </w:r>
    </w:p>
    <w:p>
      <w:pPr>
        <w:pStyle w:val="ListParagraph"/>
        <w:numPr>
          <w:ilvl w:val="0"/>
          <w:numId w:val="2"/>
        </w:numPr>
        <w:spacing w:after="90"/>
      </w:pPr>
      <w:r>
        <w:rPr>
          <w:rFonts w:ascii="Calibri" w:cs="Calibri" w:eastAsia="Calibri" w:hAnsi="Calibri"/>
          <w:color w:val="222222"/>
          <w:sz w:val="21"/>
          <w:szCs w:val="21"/>
        </w:rPr>
        <w:t xml:space="preserve">No gastar más ventana histórica en refinamientos — está agotada. El próximo dato legítimo lo da el mercado en vivo.</w:t>
      </w:r>
    </w:p>
    <w:p>
      <w:pPr>
        <w:pStyle w:val="ListParagraph"/>
        <w:numPr>
          <w:ilvl w:val="0"/>
          <w:numId w:val="2"/>
        </w:numPr>
        <w:spacing w:after="90"/>
      </w:pPr>
      <w:r>
        <w:rPr>
          <w:rFonts w:ascii="Calibri" w:cs="Calibri" w:eastAsia="Calibri" w:hAnsi="Calibri"/>
          <w:color w:val="222222"/>
          <w:sz w:val="21"/>
          <w:szCs w:val="21"/>
        </w:rPr>
        <w:t xml:space="preserve">Cerrar los dos pendientes chicos (defensa activa y merge al JSON) antes de encender paper.</w:t>
      </w:r>
    </w:p>
    <w:p>
      <w:pPr>
        <w:pStyle w:val="ListParagraph"/>
        <w:numPr>
          <w:ilvl w:val="0"/>
          <w:numId w:val="2"/>
        </w:numPr>
        <w:spacing w:after="90"/>
      </w:pPr>
      <w:r>
        <w:rPr>
          <w:rFonts w:ascii="Calibri" w:cs="Calibri" w:eastAsia="Calibri" w:hAnsi="Calibri"/>
          <w:b/>
          <w:bCs/>
          <w:color w:val="222222"/>
          <w:sz w:val="21"/>
          <w:szCs w:val="21"/>
        </w:rPr>
        <w:t xml:space="preserve">Decisión de socio #1: </w:t>
      </w:r>
      <w:r>
        <w:rPr>
          <w:rFonts w:ascii="Calibri" w:cs="Calibri" w:eastAsia="Calibri" w:hAnsi="Calibri"/>
          <w:color w:val="222222"/>
          <w:sz w:val="21"/>
          <w:szCs w:val="21"/>
        </w:rPr>
        <w:t xml:space="preserve">¿el objetivo es renta (requiere plan de capital: la escala útil empieza ~$50k) o plataforma/producto (la señal y el research valen por sí mismos)?</w:t>
      </w:r>
    </w:p>
    <w:p>
      <w:pPr>
        <w:pStyle w:val="ListParagraph"/>
        <w:numPr>
          <w:ilvl w:val="0"/>
          <w:numId w:val="2"/>
        </w:numPr>
        <w:spacing w:after="90"/>
      </w:pPr>
      <w:r>
        <w:rPr>
          <w:rFonts w:ascii="Calibri" w:cs="Calibri" w:eastAsia="Calibri" w:hAnsi="Calibri"/>
          <w:b/>
          <w:bCs/>
          <w:color w:val="222222"/>
          <w:sz w:val="21"/>
          <w:szCs w:val="21"/>
        </w:rPr>
        <w:t xml:space="preserve">Decisión de socio #2: </w:t>
      </w:r>
      <w:r>
        <w:rPr>
          <w:rFonts w:ascii="Calibri" w:cs="Calibri" w:eastAsia="Calibri" w:hAnsi="Calibri"/>
          <w:color w:val="222222"/>
          <w:sz w:val="21"/>
          <w:szCs w:val="21"/>
        </w:rPr>
        <w:t xml:space="preserve">criterio de éxito del paper: proponemos ≥70% del avg backtesteado y cero violaciones de C3 en 6–12 meses como vara para discutir capital real.</w:t>
      </w:r>
    </w:p>
    <w:p>
      <w:pPr>
        <w:pBdr>
          <w:top w:val="single" w:color="AAAAAA" w:sz="4"/>
        </w:pBdr>
        <w:spacing w:before="300"/>
      </w:pPr>
      <w:r>
        <w:rPr>
          <w:i/>
          <w:iCs/>
          <w:color w:val="595959"/>
          <w:sz w:val="17"/>
          <w:szCs w:val="17"/>
        </w:rPr>
        <w:t xml:space="preserve">Fuente de verdad técnica: docs/galecore-estrategia-definicion.md y docs/galecore-backtesting-pendientes.md (BT-0…BT-12, con especificaciones pre-declaradas y veredictos). Generado 2026-07-10.</w:t>
      </w:r>
    </w:p>
    <w:sectPr>
      <w:pgSz w:w="12240" w:h="15840"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2026-07-10T21:40:18.867Z</dcterms:created>
  <dcterms:modified xsi:type="dcterms:W3CDTF">2026-07-10T21:40:18.868Z</dcterms:modified>
</cp:coreProperties>
</file>

<file path=docProps/custom.xml><?xml version="1.0" encoding="utf-8"?>
<Properties xmlns="http://schemas.openxmlformats.org/officeDocument/2006/custom-properties" xmlns:vt="http://schemas.openxmlformats.org/officeDocument/2006/docPropsVTypes"/>
</file>