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GaleCore — La estrategia nueva en una hoja</w:t>
      </w:r>
    </w:p>
    <w:p>
      <w:pPr>
        <w:spacing w:after="160"/>
      </w:pPr>
      <w:r>
        <w:rPr>
          <w:i/>
          <w:iCs/>
          <w:color w:val="666666"/>
          <w:sz w:val="19"/>
          <w:szCs w:val="19"/>
        </w:rPr>
        <w:t xml:space="preserve">Venta sistemática de prima con riesgo definido sobre SPY y QQQ · Resumen ejecutivo · julio 2026</w:t>
      </w:r>
    </w:p>
    <w:p>
      <w:pPr>
        <w:pStyle w:val="Heading2"/>
      </w:pPr>
      <w:r>
        <w:t xml:space="preserve">Qué hacemos</w:t>
      </w:r>
    </w:p>
    <w:p>
      <w:pPr>
        <w:spacing w:after="100"/>
      </w:pPr>
      <w:r>
        <w:t xml:space="preserve">Vendemos “seguros” sobre dos índices muy líquidos usando opciones (iron condors y spreads de crédito). Cobramos una prima por adelantado apostando a que el mercado se quede en un rango. Cada operación tiene la </w:t>
      </w:r>
      <w:r>
        <w:rPr>
          <w:b/>
          <w:bCs/>
        </w:rPr>
        <w:t xml:space="preserve">pérdida máxima topeada de entrada</w:t>
      </w:r>
      <w:r>
        <w:t xml:space="preserve">: nunca hay riesgo abierto. El sistema </w:t>
      </w:r>
      <w:r>
        <w:rPr>
          <w:b/>
          <w:bCs/>
        </w:rPr>
        <w:t xml:space="preserve">sugiere operaciones; jamás ejecuta solo</w:t>
      </w:r>
      <w:r>
        <w:t xml:space="preserve"> — toda orden pasa por aprobación manual.</w:t>
      </w:r>
    </w:p>
    <w:p>
      <w:pPr>
        <w:pStyle w:val="Heading2"/>
      </w:pPr>
      <w:r>
        <w:t xml:space="preserve">La mejora central</w:t>
      </w:r>
    </w:p>
    <w:p>
      <w:pPr>
        <w:spacing w:after="100"/>
      </w:pPr>
      <w:r>
        <w:t xml:space="preserve">El modelo anterior validaba el entorno con una cadena de condiciones encadenadas que casi nunca se cumplían todas a la vez — el sistema pasaba meses sin operar sin que eso comprara más seguridad. El modelo nuevo separa la decisión en dos ejes independientes: </w:t>
      </w:r>
      <w:r>
        <w:rPr>
          <w:b/>
          <w:bCs/>
        </w:rPr>
        <w:t xml:space="preserve">un entorno habilitado</w:t>
      </w:r>
      <w:r>
        <w:t xml:space="preserve"> (seguridad: ¿se puede operar sin peligro estructural?) y </w:t>
      </w:r>
      <w:r>
        <w:rPr>
          <w:b/>
          <w:bCs/>
        </w:rPr>
        <w:t xml:space="preserve">un disparador por prima real</w:t>
      </w:r>
      <w:r>
        <w:t xml:space="preserve"> (oportunidad: ¿lo que paga el mercado AHORA tiene expectativa positiva?). La seguridad habilita; la prima dispara. Nunca se mezclan.</w:t>
      </w:r>
    </w:p>
    <w:p>
      <w:pPr>
        <w:pStyle w:val="Heading2"/>
      </w:pPr>
      <w:r>
        <w:t xml:space="preserve">El disparador: dos condiciones a la vez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1) La prima está cara de verdad (¿hay plata?). </w:t>
      </w:r>
      <w:r>
        <w:t xml:space="preserve">La volatilidad implícita (lo que el mercado cobra por el seguro) debe estar por encima de la volatilidad realizada (lo que el mercado se mueve de verdad): IV/RV ≥ vara del régimen. Sin esto, venderíamos seguros baratos.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2) La estructura paga lo suficiente (el edge). </w:t>
      </w:r>
      <w:r>
        <w:t xml:space="preserve">El spread concreto debe tener expectativa matemática positiva con margen. El edge mide la geometría del trade; el IV/RV mide de dónde sale la plata. </w:t>
      </w:r>
      <w:r>
        <w:rPr>
          <w:b/>
          <w:bCs/>
        </w:rPr>
        <w:t xml:space="preserve">Se exigen los dos, nunca uno solo</w:t>
      </w:r>
      <w:r>
        <w:t xml:space="preserve"> — un edge alto con volatilidad barata es un trade lindo sin ventaja.</w:t>
      </w:r>
    </w:p>
    <w:p>
      <w:pPr>
        <w:pStyle w:val="Heading2"/>
      </w:pPr>
      <w:r>
        <w:t xml:space="preserve">Cómo se calcula el edge</w:t>
      </w:r>
    </w:p>
    <w:p>
      <w:pPr>
        <w:spacing w:after="60" w:before="60"/>
        <w:jc w:val="center"/>
      </w:pPr>
      <w:r>
        <w:rPr>
          <w:b/>
          <w:bCs/>
          <w:color w:val="1F4E79"/>
          <w:sz w:val="24"/>
          <w:szCs w:val="24"/>
        </w:rPr>
        <w:t xml:space="preserve">edge = (crédito ÷ ancho) ÷ probabilidad de perder</w:t>
      </w:r>
    </w:p>
    <w:p>
      <w:pPr>
        <w:spacing w:after="100"/>
      </w:pPr>
      <w:r>
        <w:t xml:space="preserve">donde la probabilidad de perder se estima con el delta de la opción vendida. </w:t>
      </w:r>
      <w:r>
        <w:rPr>
          <w:b/>
          <w:bCs/>
        </w:rPr>
        <w:t xml:space="preserve">edge &gt; 1 significa expectativa positiva. </w:t>
      </w:r>
      <w:r>
        <w:t xml:space="preserve">Ejemplo: spread de $5 de ancho que cobra $1,70 de crédito con delta 0,20 (80% de probabilidad de ganar): edge = (1,70 ÷ 5) ÷ 0,20 = 1,70. Cobramos 34% del ancho con 4 de cada 5 trades ganadores.</w:t>
      </w:r>
    </w:p>
    <w:p>
      <w:pPr>
        <w:spacing w:after="100"/>
      </w:pPr>
      <w:r>
        <w:t xml:space="preserve">La vara mínima del edge </w:t>
      </w:r>
      <w:r>
        <w:rPr>
          <w:b/>
          <w:bCs/>
        </w:rPr>
        <w:t xml:space="preserve">se mueve con el clima del mercado</w:t>
      </w:r>
      <w:r>
        <w:t xml:space="preserve">: ~1,10 en régimen óptimo hasta ~1,35 en tensión — cuanto menos confiables son los termómetros, más nos tienen que pagar. Y nunca baja del piso de costos reales (comisiones + slippage), ya calculado con datos vivos: </w:t>
      </w:r>
      <w:r>
        <w:rPr>
          <w:b/>
          <w:bCs/>
        </w:rPr>
        <w:t xml:space="preserve">1,02–1,06</w:t>
      </w:r>
      <w:r>
        <w:t xml:space="preserve">.</w:t>
      </w:r>
    </w:p>
    <w:p>
      <w:pPr>
        <w:pStyle w:val="Heading2"/>
      </w:pPr>
      <w:r>
        <w:t xml:space="preserve">Los estados del sistema (por índice)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7510"/>
      </w:tblGrid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VETADO</w:t>
            </w:r>
          </w:p>
        </w:tc>
        <w:tc>
          <w:tcPr>
            <w:tcW w:type="dxa" w:w="7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Peligro activo (estrés de cola / crisis). No se evalúa nada.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DORMIDO</w:t>
            </w:r>
          </w:p>
        </w:tc>
        <w:tc>
          <w:tcPr>
            <w:tcW w:type="dxa" w:w="7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peligro, pero sin setup: falta soporte de gamma o prima cara.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ARMADO</w:t>
            </w:r>
          </w:p>
        </w:tc>
        <w:tc>
          <w:tcPr>
            <w:tcW w:type="dxa" w:w="7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Entorno habilitado completo. El edge se vigila como disparador.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SIN CUPO</w:t>
            </w:r>
          </w:p>
        </w:tc>
        <w:tc>
          <w:tcPr>
            <w:tcW w:type="dxa" w:w="7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Trade bueno detectado, pero sin presupuesto de riesgo disponible.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DISPARADO</w:t>
            </w:r>
          </w:p>
        </w:tc>
        <w:tc>
          <w:tcPr>
            <w:tcW w:type="dxa" w:w="7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edge cruzó la vara y hay cupo: se emite la sugerencia de trade.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ENFRIAMIENTO</w:t>
            </w:r>
          </w:p>
        </w:tc>
        <w:tc>
          <w:tcPr>
            <w:tcW w:type="dxa" w:w="7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Recién disparó: no re-sugiere mientras la prima oscila en la vara.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 POSICIÓN</w:t>
            </w:r>
          </w:p>
        </w:tc>
        <w:tc>
          <w:tcPr>
            <w:tcW w:type="dxa" w:w="7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Posición abierta: entradas apagadas; solo gestión (completar / rolar).</w:t>
            </w:r>
          </w:p>
        </w:tc>
      </w:tr>
    </w:tbl>
    <w:p>
      <w:pPr>
        <w:pStyle w:val="Heading2"/>
      </w:pPr>
      <w:r>
        <w:t xml:space="preserve">Cuánto y cómo arriesgamos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Riesgo por operación: 3,5% del capital (tope 5%). </w:t>
      </w:r>
      <w:r>
        <w:t xml:space="preserve">Entre 5% y 8% solo con etiqueta de alto riesgo y aprobación manual explícita; más de 8% no se sugiere nunca. Todo en % del capital corriente: si la cuenta crece o cae, los límites se ajustan solos.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Una posición por índice. </w:t>
      </w:r>
      <w:r>
        <w:t xml:space="preserve">Puede completarse al lado opuesto (convertirse en iron condor — suma crédito y reduce la pérdida máxima), jamás duplicarse del mismo 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Nunca SPY y QQQ apostando lo mismo. </w:t>
      </w:r>
      <w:r>
        <w:t xml:space="preserve">Se mueven casi idénticos (correlación ~0,95): dos posiciones del mismo lado no reparten riesgo, duplican una apuesta. Veto automático.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Riesgo total del libro ≤ 7% del capital. </w:t>
      </w:r>
      <w:r>
        <w:t xml:space="preserve">El resto queda como colchón a propósito: en este negocio el capital ocioso es defensa, no desperdicio.</w:t>
      </w:r>
    </w:p>
    <w:p>
      <w:pPr>
        <w:pStyle w:val="Heading2"/>
      </w:pPr>
      <w:r>
        <w:t xml:space="preserve">Por qué es más seguro</w:t>
      </w:r>
    </w:p>
    <w:p>
      <w:pPr>
        <w:spacing w:after="100"/>
      </w:pPr>
      <w:r>
        <w:t xml:space="preserve">La jerarquía es fija: el veto de estrés manda sobre todo, el soporte estructural del mercado (gamma) habilita, y recién ahí la prima dispara. Ninguna condición compensa a otra: una prima jugosa jamás compra permiso en un entorno feo. </w:t>
      </w:r>
      <w:r>
        <w:rPr>
          <w:b/>
          <w:bCs/>
        </w:rPr>
        <w:t xml:space="preserve">Prueba en vivo (6-jul-2026): </w:t>
      </w:r>
      <w:r>
        <w:t xml:space="preserve">el modelo viejo sugirió un trade que cobraba $0,87 por arriesgar $9,13 — edge 0,53, pierde plata en expectativa — en un día sin prima cara (IV/RV 0,99). El modelo nuevo lo rechaza por las dos puertas. Un solo día de datos reales mostró que el rediseño cambia decisiones concretas.</w:t>
      </w:r>
    </w:p>
    <w:p>
      <w:pPr>
        <w:pStyle w:val="Heading2"/>
      </w:pPr>
      <w:r>
        <w:t xml:space="preserve">Estado y próximos pasos</w:t>
      </w:r>
    </w:p>
    <w:p>
      <w:pPr>
        <w:spacing w:after="100"/>
      </w:pPr>
      <w:r>
        <w:t xml:space="preserve">La definición está cerrada y documentada (definición técnica + plan de validación). Los costos de operar ya se midieron con datos reales. Lo que falta es el backtest: conseguir el histórico de cadenas de opciones y calibrar las varas con datos en lugar de estimaciones. </w:t>
      </w:r>
      <w:r>
        <w:rPr>
          <w:b/>
          <w:bCs/>
        </w:rPr>
        <w:t xml:space="preserve">Nada se activa en real sin esa validación.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2026-07-06T23:39:57.392Z</dcterms:created>
  <dcterms:modified xsi:type="dcterms:W3CDTF">2026-07-06T23:39:57.393Z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