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Arial" w:cs="Arial" w:eastAsia="Arial" w:hAnsi="Arial"/>
          <w:color w:val="1E4D78"/>
          <w:sz w:val="28"/>
          <w:szCs w:val="28"/>
        </w:rPr>
        <w:t xml:space="preserve">CAMPUS READY FOUNDATION</w:t>
      </w:r>
    </w:p>
    <w:p>
      <w:pPr>
        <w:spacing w:before="400"/>
        <w:jc w:val="center"/>
      </w:pPr>
      <w:r>
        <w:rPr>
          <w:rFonts w:ascii="Arial" w:cs="Arial" w:eastAsia="Arial" w:hAnsi="Arial"/>
          <w:b/>
          <w:bCs/>
          <w:sz w:val="56"/>
          <w:szCs w:val="56"/>
        </w:rPr>
        <w:t xml:space="preserve">Grant Fulfillment System</w:t>
      </w:r>
    </w:p>
    <w:p>
      <w:pPr>
        <w:spacing w:before="200"/>
        <w:jc w:val="center"/>
      </w:pPr>
      <w:r>
        <w:rPr>
          <w:rFonts w:ascii="Arial" w:cs="Arial" w:eastAsia="Arial" w:hAnsi="Arial"/>
          <w:color w:val="666666"/>
          <w:sz w:val="40"/>
          <w:szCs w:val="40"/>
        </w:rPr>
        <w:t xml:space="preserve">Operations Manual</w:t>
      </w:r>
    </w:p>
    <w:p>
      <w:pPr>
        <w:spacing w:before="800"/>
        <w:jc w:val="center"/>
      </w:pPr>
      <w:r>
        <w:rPr>
          <w:rFonts w:ascii="Arial" w:cs="Arial" w:eastAsia="Arial" w:hAnsi="Arial"/>
          <w:sz w:val="24"/>
          <w:szCs w:val="24"/>
        </w:rPr>
        <w:t xml:space="preserve">Version 4.0</w:t>
      </w:r>
    </w:p>
    <w:p>
      <w:pPr>
        <w:spacing w:before="100"/>
        <w:jc w:val="center"/>
      </w:pPr>
      <w:r>
        <w:rPr>
          <w:rFonts w:ascii="Arial" w:cs="Arial" w:eastAsia="Arial" w:hAnsi="Arial"/>
          <w:sz w:val="24"/>
          <w:szCs w:val="24"/>
        </w:rPr>
        <w:t xml:space="preserve">July 2026</w:t>
      </w:r>
    </w:p>
    <w:p>
      <w:pPr>
        <w:spacing w:before="600"/>
        <w:jc w:val="center"/>
      </w:pPr>
      <w:r>
        <w:rPr>
          <w:rFonts w:ascii="Arial" w:cs="Arial" w:eastAsia="Arial" w:hAnsi="Arial"/>
          <w:i/>
          <w:iCs/>
          <w:color w:val="666666"/>
          <w:sz w:val="22"/>
          <w:szCs w:val="22"/>
        </w:rPr>
        <w:t xml:space="preserve">Comprehensive guide for operating and maintaining the Student Essentials Kit fulfillment system</w:t>
      </w:r>
    </w:p>
    <w:p>
      <w:r>
        <w:br w:type="page"/>
      </w:r>
    </w:p>
    <w:p>
      <w:pPr>
        <w:spacing w:after="200"/>
      </w:pPr>
      <w:r>
        <w:rPr>
          <w:rFonts w:ascii="Arial" w:cs="Arial" w:eastAsia="Arial" w:hAnsi="Arial"/>
          <w:b/>
          <w:bCs/>
          <w:sz w:val="32"/>
          <w:szCs w:val="32"/>
        </w:rPr>
        <w:t xml:space="preserve">Table of Contents</w:t>
      </w:r>
    </w:p>
    <w:p>
      <w:pPr>
        <w:spacing w:after="400"/>
      </w:pPr>
      <w:r>
        <w:rPr>
          <w:rFonts w:ascii="Arial" w:cs="Arial" w:eastAsia="Arial" w:hAnsi="Arial"/>
          <w:i/>
          <w:iCs/>
          <w:color w:val="666666"/>
          <w:sz w:val="20"/>
          <w:szCs w:val="20"/>
        </w:rPr>
        <w:t xml:space="preserve">To generate: In Word, click References &gt; Table of Contents &gt; Automatic Table 1</w:t>
      </w:r>
    </w:p>
    <w:p>
      <w:pPr>
        <w:spacing w:after="60"/>
      </w:pPr>
    </w:p>
    <w:p>
      <w:pPr>
        <w:pStyle w:val="Heading1"/>
        <w:spacing w:before="400" w:after="200"/>
      </w:pPr>
      <w:r>
        <w:rPr>
          <w:rFonts w:ascii="Arial" w:cs="Arial" w:eastAsia="Arial" w:hAnsi="Arial"/>
          <w:b/>
          <w:bCs/>
          <w:sz w:val="32"/>
          <w:szCs w:val="32"/>
        </w:rPr>
        <w:t xml:space="preserve">1. System Overview</w:t>
      </w:r>
    </w:p>
    <w:p>
      <w:pPr>
        <w:pStyle w:val="Heading2"/>
        <w:spacing w:before="300" w:after="150"/>
      </w:pPr>
      <w:r>
        <w:rPr>
          <w:rFonts w:ascii="Arial" w:cs="Arial" w:eastAsia="Arial" w:hAnsi="Arial"/>
          <w:b/>
          <w:bCs/>
          <w:sz w:val="28"/>
          <w:szCs w:val="28"/>
        </w:rPr>
        <w:t xml:space="preserve">1.1 Mission and Purpose</w:t>
      </w:r>
    </w:p>
    <w:p>
      <w:pPr>
        <w:spacing w:after="120"/>
      </w:pPr>
      <w:r>
        <w:rPr>
          <w:rFonts w:ascii="Arial" w:cs="Arial" w:eastAsia="Arial" w:hAnsi="Arial"/>
          <w:sz w:val="22"/>
          <w:szCs w:val="22"/>
        </w:rPr>
        <w:t xml:space="preserve">The Campus Ready Grant Fulfillment System manages the complete journey from student grant award to kit delivery and follow-up engagement. It automates the process of matching student preferences to specific products and generates shopping lists for efficient fulfillment. This system transforms Campus Ready Foundation's $750 Student Essentials Kit grant into a personalized, dignity-preserving experience for first-generation, low-income college students.</w:t>
      </w:r>
    </w:p>
    <w:p>
      <w:pPr>
        <w:pStyle w:val="Heading2"/>
        <w:spacing w:before="300" w:after="150"/>
      </w:pPr>
      <w:r>
        <w:rPr>
          <w:rFonts w:ascii="Arial" w:cs="Arial" w:eastAsia="Arial" w:hAnsi="Arial"/>
          <w:b/>
          <w:bCs/>
          <w:sz w:val="28"/>
          <w:szCs w:val="28"/>
        </w:rPr>
        <w:t xml:space="preserve">1.2 Core Philosophy</w:t>
      </w:r>
    </w:p>
    <w:p>
      <w:pPr>
        <w:spacing w:after="120"/>
      </w:pPr>
      <w:r>
        <w:rPr>
          <w:rFonts w:ascii="Arial" w:cs="Arial" w:eastAsia="Arial" w:hAnsi="Arial"/>
          <w:b/>
          <w:bCs/>
          <w:sz w:val="22"/>
          <w:szCs w:val="22"/>
        </w:rPr>
        <w:t xml:space="preserve">Dignity Through Quality: </w:t>
      </w:r>
      <w:r>
        <w:rPr>
          <w:rFonts w:ascii="Arial" w:cs="Arial" w:eastAsia="Arial" w:hAnsi="Arial"/>
          <w:sz w:val="22"/>
          <w:szCs w:val="22"/>
        </w:rPr>
        <w:t xml:space="preserve">Students receive mid-tier, quality products that any college student would be proud to own. We avoid both bottom-tier products that signal charity and premium products that exceed budget constraints.</w:t>
      </w:r>
    </w:p>
    <w:p>
      <w:pPr>
        <w:spacing w:after="60"/>
      </w:pPr>
    </w:p>
    <w:p>
      <w:pPr>
        <w:spacing w:after="120"/>
      </w:pPr>
      <w:r>
        <w:rPr>
          <w:rFonts w:ascii="Arial" w:cs="Arial" w:eastAsia="Arial" w:hAnsi="Arial"/>
          <w:b/>
          <w:bCs/>
          <w:sz w:val="22"/>
          <w:szCs w:val="22"/>
        </w:rPr>
        <w:t xml:space="preserve">Personalization at Scale: </w:t>
      </w:r>
      <w:r>
        <w:rPr>
          <w:rFonts w:ascii="Arial" w:cs="Arial" w:eastAsia="Arial" w:hAnsi="Arial"/>
          <w:sz w:val="22"/>
          <w:szCs w:val="22"/>
        </w:rPr>
        <w:t xml:space="preserve">Rather than generic supply boxes, students select colors, scents, styles, and sizes that reflect their individual preferences, creating a sense of ownership and care.</w:t>
      </w:r>
    </w:p>
    <w:p>
      <w:pPr>
        <w:spacing w:after="60"/>
      </w:pPr>
    </w:p>
    <w:p>
      <w:pPr>
        <w:spacing w:after="120"/>
      </w:pPr>
      <w:r>
        <w:rPr>
          <w:rFonts w:ascii="Arial" w:cs="Arial" w:eastAsia="Arial" w:hAnsi="Arial"/>
          <w:b/>
          <w:bCs/>
          <w:sz w:val="22"/>
          <w:szCs w:val="22"/>
        </w:rPr>
        <w:t xml:space="preserve">Hybrid Fulfillment Model: </w:t>
      </w:r>
      <w:r>
        <w:rPr>
          <w:rFonts w:ascii="Arial" w:cs="Arial" w:eastAsia="Arial" w:hAnsi="Arial"/>
          <w:sz w:val="22"/>
          <w:szCs w:val="22"/>
        </w:rPr>
        <w:t xml:space="preserve">The system intelligently separates choice-driven items (ordered per student based on preferences) from universal items (bulk-ordered for all students), optimizing both personalization and efficiency.</w:t>
      </w:r>
    </w:p>
    <w:p>
      <w:pPr>
        <w:pStyle w:val="Heading2"/>
        <w:spacing w:before="300" w:after="150"/>
      </w:pPr>
      <w:r>
        <w:rPr>
          <w:rFonts w:ascii="Arial" w:cs="Arial" w:eastAsia="Arial" w:hAnsi="Arial"/>
          <w:b/>
          <w:bCs/>
          <w:sz w:val="28"/>
          <w:szCs w:val="28"/>
        </w:rPr>
        <w:t xml:space="preserve">1.3 Budget Framework</w:t>
      </w:r>
    </w:p>
    <w:p>
      <w:pPr>
        <w:spacing w:after="120"/>
      </w:pPr>
      <w:r>
        <w:rPr>
          <w:rFonts w:ascii="Arial" w:cs="Arial" w:eastAsia="Arial" w:hAnsi="Arial"/>
          <w:sz w:val="22"/>
          <w:szCs w:val="22"/>
        </w:rPr>
        <w:t xml:space="preserve">Each student receives up to $750 in products, allocated across categories: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500"/>
        <w:gridCol w:w="2560"/>
      </w:tblGrid>
      <w:tr>
        <w:tc>
          <w:tcPr>
            <w:tcW w:type="dxa" w:w="2500"/>
            <w:tcBorders>
              <w:top w:val="single" w:color="CCCCCC" w:sz="1"/>
              <w:left w:val="single" w:color="CCCCCC" w:sz="1"/>
              <w:bottom w:val="single" w:color="CCCCCC" w:sz="1"/>
              <w:right w:val="single" w:color="CCCCCC" w:sz="1"/>
            </w:tcBorders>
            <w:shd w:fill="1E4D78"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1800"/>
            <w:tcBorders>
              <w:top w:val="single" w:color="CCCCCC" w:sz="1"/>
              <w:left w:val="single" w:color="CCCCCC" w:sz="1"/>
              <w:bottom w:val="single" w:color="CCCCCC" w:sz="1"/>
              <w:right w:val="single" w:color="CCCCCC" w:sz="1"/>
            </w:tcBorders>
            <w:shd w:fill="1E4D78" w:val="clear"/>
            <w:tcMar>
              <w:top w:type="dxa" w:w="60"/>
              <w:left w:type="dxa" w:w="100"/>
              <w:bottom w:type="dxa" w:w="60"/>
              <w:right w:type="dxa" w:w="100"/>
            </w:tcMar>
          </w:tcPr>
          <w:p>
            <w:r>
              <w:rPr>
                <w:rFonts w:ascii="Arial" w:cs="Arial" w:eastAsia="Arial" w:hAnsi="Arial"/>
                <w:b/>
                <w:bCs/>
                <w:color w:val="FFFFFF"/>
                <w:sz w:val="20"/>
                <w:szCs w:val="20"/>
              </w:rPr>
              <w:t xml:space="preserve">Budget Range</w:t>
            </w:r>
          </w:p>
        </w:tc>
        <w:tc>
          <w:tcPr>
            <w:tcW w:type="dxa" w:w="1500"/>
            <w:tcBorders>
              <w:top w:val="single" w:color="CCCCCC" w:sz="1"/>
              <w:left w:val="single" w:color="CCCCCC" w:sz="1"/>
              <w:bottom w:val="single" w:color="CCCCCC" w:sz="1"/>
              <w:right w:val="single" w:color="CCCCCC" w:sz="1"/>
            </w:tcBorders>
            <w:shd w:fill="1E4D78" w:val="clear"/>
            <w:tcMar>
              <w:top w:type="dxa" w:w="60"/>
              <w:left w:type="dxa" w:w="100"/>
              <w:bottom w:type="dxa" w:w="60"/>
              <w:right w:type="dxa" w:w="100"/>
            </w:tcMar>
          </w:tcPr>
          <w:p>
            <w:r>
              <w:rPr>
                <w:rFonts w:ascii="Arial" w:cs="Arial" w:eastAsia="Arial" w:hAnsi="Arial"/>
                <w:b/>
                <w:bCs/>
                <w:color w:val="FFFFFF"/>
                <w:sz w:val="20"/>
                <w:szCs w:val="20"/>
              </w:rPr>
              <w:t xml:space="preserve">% of Total</w:t>
            </w:r>
          </w:p>
        </w:tc>
        <w:tc>
          <w:tcPr>
            <w:tcW w:type="dxa" w:w="2560"/>
            <w:tcBorders>
              <w:top w:val="single" w:color="CCCCCC" w:sz="1"/>
              <w:left w:val="single" w:color="CCCCCC" w:sz="1"/>
              <w:bottom w:val="single" w:color="CCCCCC" w:sz="1"/>
              <w:right w:val="single" w:color="CCCCCC" w:sz="1"/>
            </w:tcBorders>
            <w:shd w:fill="1E4D78" w:val="clear"/>
            <w:tcMar>
              <w:top w:type="dxa" w:w="60"/>
              <w:left w:type="dxa" w:w="100"/>
              <w:bottom w:type="dxa" w:w="60"/>
              <w:right w:type="dxa" w:w="100"/>
            </w:tcMar>
          </w:tcPr>
          <w:p>
            <w:r>
              <w:rPr>
                <w:rFonts w:ascii="Arial" w:cs="Arial" w:eastAsia="Arial" w:hAnsi="Arial"/>
                <w:b/>
                <w:bCs/>
                <w:color w:val="FFFFFF"/>
                <w:sz w:val="20"/>
                <w:szCs w:val="20"/>
              </w:rPr>
              <w:t xml:space="preserve">Order Type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Bedding &amp; Pillows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$110-180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15-24%</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Choice (per student)</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Towels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$45-90</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6-12%</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Choice (per student)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Personal Care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$75-120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10-16%</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Choice (per student)</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Style-Driven Accessories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$35-60</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5-8%</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Choice (per student)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Universal Products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$350-400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47-53%</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Bulk (all students)</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Buffer/Contingency</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$50-80</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7-11%</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Reserve</w:t>
            </w:r>
          </w:p>
        </w:tc>
      </w:tr>
    </w:tbl>
    <w:p>
      <w:pPr>
        <w:spacing w:after="60"/>
      </w:pPr>
    </w:p>
    <w:p>
      <w:pPr>
        <w:spacing w:after="120"/>
      </w:pPr>
      <w:r>
        <w:rPr>
          <w:rFonts w:ascii="Arial" w:cs="Arial" w:eastAsia="Arial" w:hAnsi="Arial"/>
          <w:sz w:val="22"/>
          <w:szCs w:val="22"/>
        </w:rPr>
        <w:t xml:space="preserve">The buffer accommodates price fluctuations and ensures no student exceeds the $750 cap regardless of their preference combinations.</w:t>
      </w:r>
    </w:p>
    <w:p>
      <w:pPr>
        <w:pStyle w:val="Heading2"/>
        <w:spacing w:before="300" w:after="150"/>
      </w:pPr>
      <w:r>
        <w:rPr>
          <w:rFonts w:ascii="Arial" w:cs="Arial" w:eastAsia="Arial" w:hAnsi="Arial"/>
          <w:b/>
          <w:bCs/>
          <w:sz w:val="28"/>
          <w:szCs w:val="28"/>
        </w:rPr>
        <w:t xml:space="preserve">1.4 Key Timelines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160"/>
      </w:tblGrid>
      <w:tr>
        <w:tc>
          <w:tcPr>
            <w:tcW w:type="dxa" w:w="2200"/>
            <w:tcBorders>
              <w:top w:val="single" w:color="CCCCCC" w:sz="1"/>
              <w:left w:val="single" w:color="CCCCCC" w:sz="1"/>
              <w:bottom w:val="single" w:color="CCCCCC" w:sz="1"/>
              <w:right w:val="single" w:color="CCCCCC" w:sz="1"/>
            </w:tcBorders>
            <w:shd w:fill="1E4D78" w:val="clear"/>
            <w:tcMar>
              <w:top w:type="dxa" w:w="60"/>
              <w:left w:type="dxa" w:w="100"/>
              <w:bottom w:type="dxa" w:w="60"/>
              <w:right w:type="dxa" w:w="100"/>
            </w:tcMar>
          </w:tcPr>
          <w:p>
            <w:r>
              <w:rPr>
                <w:rFonts w:ascii="Arial" w:cs="Arial" w:eastAsia="Arial" w:hAnsi="Arial"/>
                <w:b/>
                <w:bCs/>
                <w:color w:val="FFFFFF"/>
                <w:sz w:val="20"/>
                <w:szCs w:val="20"/>
              </w:rPr>
              <w:t xml:space="preserve">Phase</w:t>
            </w:r>
          </w:p>
        </w:tc>
        <w:tc>
          <w:tcPr>
            <w:tcW w:type="dxa" w:w="2000"/>
            <w:tcBorders>
              <w:top w:val="single" w:color="CCCCCC" w:sz="1"/>
              <w:left w:val="single" w:color="CCCCCC" w:sz="1"/>
              <w:bottom w:val="single" w:color="CCCCCC" w:sz="1"/>
              <w:right w:val="single" w:color="CCCCCC" w:sz="1"/>
            </w:tcBorders>
            <w:shd w:fill="1E4D78" w:val="clear"/>
            <w:tcMar>
              <w:top w:type="dxa" w:w="60"/>
              <w:left w:type="dxa" w:w="100"/>
              <w:bottom w:type="dxa" w:w="60"/>
              <w:right w:type="dxa" w:w="100"/>
            </w:tcMar>
          </w:tcPr>
          <w:p>
            <w:r>
              <w:rPr>
                <w:rFonts w:ascii="Arial" w:cs="Arial" w:eastAsia="Arial" w:hAnsi="Arial"/>
                <w:b/>
                <w:bCs/>
                <w:color w:val="FFFFFF"/>
                <w:sz w:val="20"/>
                <w:szCs w:val="20"/>
              </w:rPr>
              <w:t xml:space="preserve">Timing</w:t>
            </w:r>
          </w:p>
        </w:tc>
        <w:tc>
          <w:tcPr>
            <w:tcW w:type="dxa" w:w="4160"/>
            <w:tcBorders>
              <w:top w:val="single" w:color="CCCCCC" w:sz="1"/>
              <w:left w:val="single" w:color="CCCCCC" w:sz="1"/>
              <w:bottom w:val="single" w:color="CCCCCC" w:sz="1"/>
              <w:right w:val="single" w:color="CCCCCC" w:sz="1"/>
            </w:tcBorders>
            <w:shd w:fill="1E4D78" w:val="clear"/>
            <w:tcMar>
              <w:top w:type="dxa" w:w="60"/>
              <w:left w:type="dxa" w:w="100"/>
              <w:bottom w:type="dxa" w:w="60"/>
              <w:right w:type="dxa" w:w="100"/>
            </w:tcMar>
          </w:tcPr>
          <w:p>
            <w:r>
              <w:rPr>
                <w:rFonts w:ascii="Arial" w:cs="Arial" w:eastAsia="Arial" w:hAnsi="Arial"/>
                <w:b/>
                <w:bCs/>
                <w:color w:val="FFFFFF"/>
                <w:sz w:val="20"/>
                <w:szCs w:val="20"/>
              </w:rPr>
              <w:t xml:space="preserve">Activities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Phase 2A: Product Research</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October-November</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Research products, populate database, test resolver</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Phase 2B: SKU Refresh</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April 15 - May 15</w:t>
            </w:r>
          </w:p>
        </w:tc>
        <w:tc>
          <w:tcPr>
            <w:tcW w:type="dxa" w:w="4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Verify availability, update prices, replace discontinued items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Student Awards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June-July</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Grant notifications sent, students complete Pick Form</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Pick Form Window</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2 weeks before delivery</w:t>
            </w:r>
          </w:p>
        </w:tc>
        <w:tc>
          <w:tcPr>
            <w:tcW w:type="dxa" w:w="4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Students select preferences via online form</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Fulfillment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July-August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Shopping lists generated, orders placed, kits shipped</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Delivery Deadline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August 1</w:t>
            </w:r>
          </w:p>
        </w:tc>
        <w:tc>
          <w:tcPr>
            <w:tcW w:type="dxa" w:w="4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All kits delivered before move-in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Testimonial Outreach</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After move-in</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Photo/video requests, gift card distribution</w:t>
            </w:r>
          </w:p>
        </w:tc>
      </w:tr>
    </w:tbl>
    <w:p>
      <w:pPr>
        <w:pStyle w:val="Heading1"/>
        <w:spacing w:before="400" w:after="200"/>
      </w:pPr>
      <w:r>
        <w:rPr>
          <w:rFonts w:ascii="Arial" w:cs="Arial" w:eastAsia="Arial" w:hAnsi="Arial"/>
          <w:b/>
          <w:bCs/>
          <w:sz w:val="32"/>
          <w:szCs w:val="32"/>
        </w:rPr>
        <w:t xml:space="preserve">2. Recipient Journey</w:t>
      </w:r>
    </w:p>
    <w:p>
      <w:pPr>
        <w:spacing w:after="120"/>
      </w:pPr>
      <w:r>
        <w:rPr>
          <w:rFonts w:ascii="Arial" w:cs="Arial" w:eastAsia="Arial" w:hAnsi="Arial"/>
          <w:sz w:val="22"/>
          <w:szCs w:val="22"/>
        </w:rPr>
        <w:t xml:space="preserve">The student experience follows eight distinct steps from award notification to post-move-in engagement:</w:t>
      </w:r>
    </w:p>
    <w:p>
      <w:pPr>
        <w:pStyle w:val="Heading2"/>
        <w:spacing w:before="300" w:after="150"/>
      </w:pPr>
      <w:r>
        <w:rPr>
          <w:rFonts w:ascii="Arial" w:cs="Arial" w:eastAsia="Arial" w:hAnsi="Arial"/>
          <w:b/>
          <w:bCs/>
          <w:sz w:val="28"/>
          <w:szCs w:val="28"/>
        </w:rPr>
        <w:t xml:space="preserve">2.1 Journey Overview</w:t>
      </w:r>
    </w:p>
    <w:p>
      <w:pPr>
        <w:pStyle w:val="Heading3"/>
        <w:spacing w:before="200" w:after="100"/>
      </w:pPr>
      <w:r>
        <w:rPr>
          <w:rFonts w:ascii="Arial" w:cs="Arial" w:eastAsia="Arial" w:hAnsi="Arial"/>
          <w:b/>
          <w:bCs/>
          <w:sz w:val="24"/>
          <w:szCs w:val="24"/>
        </w:rPr>
        <w:t xml:space="preserve">Step 1: Transfer</w:t>
      </w:r>
    </w:p>
    <w:p>
      <w:pPr>
        <w:spacing w:after="120"/>
      </w:pPr>
      <w:r>
        <w:rPr>
          <w:rFonts w:ascii="Arial" w:cs="Arial" w:eastAsia="Arial" w:hAnsi="Arial"/>
          <w:sz w:val="22"/>
          <w:szCs w:val="22"/>
        </w:rPr>
        <w:t xml:space="preserve">Winners are transferred from the Application Reviews system to the Grant Fulfillment Database. The Transfer Winners function creates a new row in Grant_Recipients with the student's Application ID, name, email, cohort year, and college start date.</w:t>
      </w:r>
    </w:p>
    <w:p>
      <w:pPr>
        <w:pStyle w:val="Heading3"/>
        <w:spacing w:before="200" w:after="100"/>
      </w:pPr>
      <w:r>
        <w:rPr>
          <w:rFonts w:ascii="Arial" w:cs="Arial" w:eastAsia="Arial" w:hAnsi="Arial"/>
          <w:b/>
          <w:bCs/>
          <w:sz w:val="24"/>
          <w:szCs w:val="24"/>
        </w:rPr>
        <w:t xml:space="preserve">Step 2: Award Notification</w:t>
      </w:r>
    </w:p>
    <w:p>
      <w:pPr>
        <w:spacing w:after="120"/>
      </w:pPr>
      <w:r>
        <w:rPr>
          <w:rFonts w:ascii="Arial" w:cs="Arial" w:eastAsia="Arial" w:hAnsi="Arial"/>
          <w:sz w:val="22"/>
          <w:szCs w:val="22"/>
        </w:rPr>
        <w:t xml:space="preserve">Students receive an award email from hello@campusready.foundation explaining they've been selected for the Student Essentials Kit grant. The email includes instructions for the verification and customization process.</w:t>
      </w:r>
    </w:p>
    <w:p>
      <w:pPr>
        <w:pStyle w:val="Heading3"/>
        <w:spacing w:before="200" w:after="100"/>
      </w:pPr>
      <w:r>
        <w:rPr>
          <w:rFonts w:ascii="Arial" w:cs="Arial" w:eastAsia="Arial" w:hAnsi="Arial"/>
          <w:b/>
          <w:bCs/>
          <w:sz w:val="24"/>
          <w:szCs w:val="24"/>
        </w:rPr>
        <w:t xml:space="preserve">Step 3: Document Verification</w:t>
      </w:r>
    </w:p>
    <w:p>
      <w:pPr>
        <w:spacing w:after="120"/>
      </w:pPr>
      <w:r>
        <w:rPr>
          <w:rFonts w:ascii="Arial" w:cs="Arial" w:eastAsia="Arial" w:hAnsi="Arial"/>
          <w:sz w:val="22"/>
          <w:szCs w:val="22"/>
        </w:rPr>
        <w:t xml:space="preserve">Before selecting kit preferences, students must verify their enrollment by uploading two documents: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2560"/>
      </w:tblGrid>
      <w:tr>
        <w:tc>
          <w:tcPr>
            <w:tcW w:type="dxa" w:w="2800"/>
            <w:tcBorders>
              <w:top w:val="single" w:color="CCCCCC" w:sz="1"/>
              <w:left w:val="single" w:color="CCCCCC" w:sz="1"/>
              <w:bottom w:val="single" w:color="CCCCCC" w:sz="1"/>
              <w:right w:val="single" w:color="CCCCCC" w:sz="1"/>
            </w:tcBorders>
            <w:shd w:fill="1E4D78" w:val="clear"/>
            <w:tcMar>
              <w:top w:type="dxa" w:w="60"/>
              <w:left w:type="dxa" w:w="100"/>
              <w:bottom w:type="dxa" w:w="60"/>
              <w:right w:type="dxa" w:w="100"/>
            </w:tcMar>
          </w:tcPr>
          <w:p>
            <w:r>
              <w:rPr>
                <w:rFonts w:ascii="Arial" w:cs="Arial" w:eastAsia="Arial" w:hAnsi="Arial"/>
                <w:b/>
                <w:bCs/>
                <w:color w:val="FFFFFF"/>
                <w:sz w:val="20"/>
                <w:szCs w:val="20"/>
              </w:rPr>
              <w:t xml:space="preserve">Document</w:t>
            </w:r>
          </w:p>
        </w:tc>
        <w:tc>
          <w:tcPr>
            <w:tcW w:type="dxa" w:w="3000"/>
            <w:tcBorders>
              <w:top w:val="single" w:color="CCCCCC" w:sz="1"/>
              <w:left w:val="single" w:color="CCCCCC" w:sz="1"/>
              <w:bottom w:val="single" w:color="CCCCCC" w:sz="1"/>
              <w:right w:val="single" w:color="CCCCCC" w:sz="1"/>
            </w:tcBorders>
            <w:shd w:fill="1E4D78"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dxa" w:w="2560"/>
            <w:tcBorders>
              <w:top w:val="single" w:color="CCCCCC" w:sz="1"/>
              <w:left w:val="single" w:color="CCCCCC" w:sz="1"/>
              <w:bottom w:val="single" w:color="CCCCCC" w:sz="1"/>
              <w:right w:val="single" w:color="CCCCCC" w:sz="1"/>
            </w:tcBorders>
            <w:shd w:fill="1E4D78" w:val="clear"/>
            <w:tcMar>
              <w:top w:type="dxa" w:w="60"/>
              <w:left w:type="dxa" w:w="100"/>
              <w:bottom w:type="dxa" w:w="60"/>
              <w:right w:type="dxa" w:w="100"/>
            </w:tcMar>
          </w:tcPr>
          <w:p>
            <w:r>
              <w:rPr>
                <w:rFonts w:ascii="Arial" w:cs="Arial" w:eastAsia="Arial" w:hAnsi="Arial"/>
                <w:b/>
                <w:bCs/>
                <w:color w:val="FFFFFF"/>
                <w:sz w:val="20"/>
                <w:szCs w:val="20"/>
              </w:rPr>
              <w:t xml:space="preserve">Acceptable Formats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Housing Confirmation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Proves on-campus housing assignment</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Contract, assignment letter, deposit receipt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Acceptance Letter</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Confirms college enrollment</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Official acceptance from institution</w:t>
            </w:r>
          </w:p>
        </w:tc>
      </w:tr>
    </w:tbl>
    <w:p>
      <w:pPr>
        <w:spacing w:after="60"/>
      </w:pPr>
    </w:p>
    <w:p>
      <w:pPr>
        <w:spacing w:after="120"/>
      </w:pPr>
      <w:r>
        <w:rPr>
          <w:rFonts w:ascii="Arial" w:cs="Arial" w:eastAsia="Arial" w:hAnsi="Arial"/>
          <w:sz w:val="22"/>
          <w:szCs w:val="22"/>
        </w:rPr>
        <w:t xml:space="preserve">Documents are stored in Google Drive with Application ID prefixes (e.g., {ApplicationID}_Housing.pdf) for easy retrieval. The form updates Housing Status and Acceptance Status in Grant_Recipients upon successful upload.</w:t>
      </w:r>
    </w:p>
    <w:p>
      <w:pPr>
        <w:pStyle w:val="Heading3"/>
        <w:spacing w:before="200" w:after="100"/>
      </w:pPr>
      <w:r>
        <w:rPr>
          <w:rFonts w:ascii="Arial" w:cs="Arial" w:eastAsia="Arial" w:hAnsi="Arial"/>
          <w:b/>
          <w:bCs/>
          <w:sz w:val="24"/>
          <w:szCs w:val="24"/>
        </w:rPr>
        <w:t xml:space="preserve">Step 4: Kit Customization</w:t>
      </w:r>
    </w:p>
    <w:p>
      <w:pPr>
        <w:spacing w:after="120"/>
      </w:pPr>
      <w:r>
        <w:rPr>
          <w:rFonts w:ascii="Arial" w:cs="Arial" w:eastAsia="Arial" w:hAnsi="Arial"/>
          <w:sz w:val="22"/>
          <w:szCs w:val="22"/>
        </w:rPr>
        <w:t xml:space="preserve">Students access the Customize Your Kit form to select preferences across nine categories. The form takes approximately 2-3 minutes to complete and includes visual guidance for each choice.</w:t>
      </w:r>
    </w:p>
    <w:p>
      <w:pPr>
        <w:pStyle w:val="Heading3"/>
        <w:spacing w:before="200" w:after="100"/>
      </w:pPr>
      <w:r>
        <w:rPr>
          <w:rFonts w:ascii="Arial" w:cs="Arial" w:eastAsia="Arial" w:hAnsi="Arial"/>
          <w:b/>
          <w:bCs/>
          <w:sz w:val="24"/>
          <w:szCs w:val="24"/>
        </w:rPr>
        <w:t xml:space="preserve">Step 5: Shopping</w:t>
      </w:r>
    </w:p>
    <w:p>
      <w:pPr>
        <w:spacing w:after="120"/>
      </w:pPr>
      <w:r>
        <w:rPr>
          <w:rFonts w:ascii="Arial" w:cs="Arial" w:eastAsia="Arial" w:hAnsi="Arial"/>
          <w:sz w:val="22"/>
          <w:szCs w:val="22"/>
        </w:rPr>
        <w:t xml:space="preserve">Campus Ready staff generate shopping lists from the database and purchase personalized items. Choice items and universal items are all ordered from Amazon Business (DEC-060, July 2026).</w:t>
      </w:r>
    </w:p>
    <w:p>
      <w:pPr>
        <w:pStyle w:val="Heading3"/>
        <w:spacing w:before="200" w:after="100"/>
      </w:pPr>
      <w:r>
        <w:rPr>
          <w:rFonts w:ascii="Arial" w:cs="Arial" w:eastAsia="Arial" w:hAnsi="Arial"/>
          <w:b/>
          <w:bCs/>
          <w:sz w:val="24"/>
          <w:szCs w:val="24"/>
        </w:rPr>
        <w:t xml:space="preserve">Step 6: Delivery</w:t>
      </w:r>
    </w:p>
    <w:p>
      <w:pPr>
        <w:spacing w:after="120"/>
      </w:pPr>
      <w:r>
        <w:rPr>
          <w:rFonts w:ascii="Arial" w:cs="Arial" w:eastAsia="Arial" w:hAnsi="Arial"/>
          <w:sz w:val="22"/>
          <w:szCs w:val="22"/>
        </w:rPr>
        <w:t xml:space="preserve">Kits ship to the student's chosen address (home or campus). Students select their shipping preference during the customization step. All deliveries target completion by August 1 before move-in begins.</w:t>
      </w:r>
    </w:p>
    <w:p>
      <w:pPr>
        <w:pStyle w:val="Heading3"/>
        <w:spacing w:before="200" w:after="100"/>
      </w:pPr>
      <w:r>
        <w:rPr>
          <w:rFonts w:ascii="Arial" w:cs="Arial" w:eastAsia="Arial" w:hAnsi="Arial"/>
          <w:b/>
          <w:bCs/>
          <w:sz w:val="24"/>
          <w:szCs w:val="24"/>
        </w:rPr>
        <w:t xml:space="preserve">Step 7: Testimonial Request</w:t>
      </w:r>
    </w:p>
    <w:p>
      <w:pPr>
        <w:spacing w:after="120"/>
      </w:pPr>
      <w:r>
        <w:rPr>
          <w:rFonts w:ascii="Arial" w:cs="Arial" w:eastAsia="Arial" w:hAnsi="Arial"/>
          <w:sz w:val="22"/>
          <w:szCs w:val="22"/>
        </w:rPr>
        <w:t xml:space="preserve">After the student's college start date passes, they receive an email invitation to share a photo or video of their dorm setup with Campus Ready products. A follow-up SMS reminder is sent manually using templates.</w:t>
      </w:r>
    </w:p>
    <w:p>
      <w:pPr>
        <w:pStyle w:val="Heading3"/>
        <w:spacing w:before="200" w:after="100"/>
      </w:pPr>
      <w:r>
        <w:rPr>
          <w:rFonts w:ascii="Arial" w:cs="Arial" w:eastAsia="Arial" w:hAnsi="Arial"/>
          <w:b/>
          <w:bCs/>
          <w:sz w:val="24"/>
          <w:szCs w:val="24"/>
        </w:rPr>
        <w:t xml:space="preserve">Step 8: Thank You Gift Card</w:t>
      </w:r>
    </w:p>
    <w:p>
      <w:pPr>
        <w:spacing w:after="120"/>
      </w:pPr>
      <w:r>
        <w:rPr>
          <w:rFonts w:ascii="Arial" w:cs="Arial" w:eastAsia="Arial" w:hAnsi="Arial"/>
          <w:sz w:val="22"/>
          <w:szCs w:val="22"/>
        </w:rPr>
        <w:t xml:space="preserve">Students who submit testimonials receive a $50 Visa gift card as appreciation. The testimonial content may be used on the Campus Ready website and social media (release language included in the invitation email).</w:t>
      </w:r>
    </w:p>
    <w:p>
      <w:pPr>
        <w:pStyle w:val="Heading1"/>
        <w:spacing w:before="400" w:after="200"/>
      </w:pPr>
      <w:r>
        <w:rPr>
          <w:rFonts w:ascii="Arial" w:cs="Arial" w:eastAsia="Arial" w:hAnsi="Arial"/>
          <w:b/>
          <w:bCs/>
          <w:sz w:val="32"/>
          <w:szCs w:val="32"/>
        </w:rPr>
        <w:t xml:space="preserve">3. Technical Architecture</w:t>
      </w:r>
    </w:p>
    <w:p>
      <w:pPr>
        <w:pStyle w:val="Heading2"/>
        <w:spacing w:before="300" w:after="150"/>
      </w:pPr>
      <w:r>
        <w:rPr>
          <w:rFonts w:ascii="Arial" w:cs="Arial" w:eastAsia="Arial" w:hAnsi="Arial"/>
          <w:b/>
          <w:bCs/>
          <w:sz w:val="28"/>
          <w:szCs w:val="28"/>
        </w:rPr>
        <w:t xml:space="preserve">3.1 System Components</w:t>
      </w:r>
    </w:p>
    <w:p>
      <w:pPr>
        <w:spacing w:after="120"/>
      </w:pPr>
      <w:r>
        <w:rPr>
          <w:rFonts w:ascii="Arial" w:cs="Arial" w:eastAsia="Arial" w:hAnsi="Arial"/>
          <w:sz w:val="22"/>
          <w:szCs w:val="22"/>
        </w:rPr>
        <w:t xml:space="preserve">The Grant Fulfillment System consists of four integrated components: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760"/>
      </w:tblGrid>
      <w:tr>
        <w:tc>
          <w:tcPr>
            <w:tcW w:type="dxa" w:w="2800"/>
            <w:tcBorders>
              <w:top w:val="single" w:color="CCCCCC" w:sz="1"/>
              <w:left w:val="single" w:color="CCCCCC" w:sz="1"/>
              <w:bottom w:val="single" w:color="CCCCCC" w:sz="1"/>
              <w:right w:val="single" w:color="CCCCCC" w:sz="1"/>
            </w:tcBorders>
            <w:shd w:fill="1E4D78"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2800"/>
            <w:tcBorders>
              <w:top w:val="single" w:color="CCCCCC" w:sz="1"/>
              <w:left w:val="single" w:color="CCCCCC" w:sz="1"/>
              <w:bottom w:val="single" w:color="CCCCCC" w:sz="1"/>
              <w:right w:val="single" w:color="CCCCCC" w:sz="1"/>
            </w:tcBorders>
            <w:shd w:fill="1E4D78" w:val="clear"/>
            <w:tcMar>
              <w:top w:type="dxa" w:w="60"/>
              <w:left w:type="dxa" w:w="100"/>
              <w:bottom w:type="dxa" w:w="60"/>
              <w:right w:type="dxa" w:w="100"/>
            </w:tcMar>
          </w:tcPr>
          <w:p>
            <w:r>
              <w:rPr>
                <w:rFonts w:ascii="Arial" w:cs="Arial" w:eastAsia="Arial" w:hAnsi="Arial"/>
                <w:b/>
                <w:bCs/>
                <w:color w:val="FFFFFF"/>
                <w:sz w:val="20"/>
                <w:szCs w:val="20"/>
              </w:rPr>
              <w:t xml:space="preserve">Technology</w:t>
            </w:r>
          </w:p>
        </w:tc>
        <w:tc>
          <w:tcPr>
            <w:tcW w:type="dxa" w:w="2760"/>
            <w:tcBorders>
              <w:top w:val="single" w:color="CCCCCC" w:sz="1"/>
              <w:left w:val="single" w:color="CCCCCC" w:sz="1"/>
              <w:bottom w:val="single" w:color="CCCCCC" w:sz="1"/>
              <w:right w:val="single" w:color="CCCCCC" w:sz="1"/>
            </w:tcBorders>
            <w:shd w:fill="1E4D78"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Customize Your Kit Form</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HTML/CSS/JavaScript on GitHub Pages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Student-facing preference collection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Vercel Proxy</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Node.js serverless function</w:t>
            </w:r>
          </w:p>
        </w:tc>
        <w:tc>
          <w:tcPr>
            <w:tcW w:type="dxa" w:w="2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CORS handling between form and Google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Google Apps Script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Cloud JavaScript backend</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Data processing, resolver, automation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Grant Fulfillment Database</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Google Sheets (31 tabs)</w:t>
            </w:r>
          </w:p>
        </w:tc>
        <w:tc>
          <w:tcPr>
            <w:tcW w:type="dxa" w:w="2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Data storage, product matching, shopping lists</w:t>
            </w:r>
          </w:p>
        </w:tc>
      </w:tr>
    </w:tbl>
    <w:p>
      <w:pPr>
        <w:pStyle w:val="Heading2"/>
        <w:spacing w:before="300" w:after="150"/>
      </w:pPr>
      <w:r>
        <w:rPr>
          <w:rFonts w:ascii="Arial" w:cs="Arial" w:eastAsia="Arial" w:hAnsi="Arial"/>
          <w:b/>
          <w:bCs/>
          <w:sz w:val="28"/>
          <w:szCs w:val="28"/>
        </w:rPr>
        <w:t xml:space="preserve">3.2 Data Flow</w:t>
      </w:r>
    </w:p>
    <w:p>
      <w:pPr>
        <w:spacing w:after="120"/>
      </w:pPr>
      <w:r>
        <w:rPr>
          <w:rFonts w:ascii="Arial" w:cs="Arial" w:eastAsia="Arial" w:hAnsi="Arial"/>
          <w:sz w:val="22"/>
          <w:szCs w:val="22"/>
        </w:rPr>
        <w:t xml:space="preserve">The system processes data through a five-step automated pipeline:</w:t>
      </w:r>
    </w:p>
    <w:p>
      <w:pPr>
        <w:spacing w:after="60"/>
      </w:pPr>
    </w:p>
    <w:p>
      <w:pPr>
        <w:spacing w:after="120"/>
      </w:pPr>
      <w:r>
        <w:rPr>
          <w:rFonts w:ascii="Arial" w:cs="Arial" w:eastAsia="Arial" w:hAnsi="Arial"/>
          <w:b/>
          <w:bCs/>
          <w:sz w:val="22"/>
          <w:szCs w:val="22"/>
        </w:rPr>
        <w:t xml:space="preserve">Step 1 - Product Setup: </w:t>
      </w:r>
      <w:r>
        <w:rPr>
          <w:rFonts w:ascii="Arial" w:cs="Arial" w:eastAsia="Arial" w:hAnsi="Arial"/>
          <w:sz w:val="22"/>
          <w:szCs w:val="22"/>
        </w:rPr>
        <w:t xml:space="preserve">Products researched directly in category tabs (Personal_Care, Bedding, Pillows, Towels, Accessories, Universal Products) are compiled into the Product_Logic master database by rebuildProductLogic(), an Apps Script function run from Fulfillment Tools → Rebuild Product Logic. It reads each source tab by header name, not column position, so reordering columns on a research tab does not break matching (DEC-018).</w:t>
      </w:r>
    </w:p>
    <w:p>
      <w:pPr>
        <w:spacing w:after="60"/>
      </w:pPr>
    </w:p>
    <w:p>
      <w:pPr>
        <w:spacing w:after="120"/>
      </w:pPr>
      <w:r>
        <w:rPr>
          <w:rFonts w:ascii="Arial" w:cs="Arial" w:eastAsia="Arial" w:hAnsi="Arial"/>
          <w:b/>
          <w:bCs/>
          <w:sz w:val="22"/>
          <w:szCs w:val="22"/>
        </w:rPr>
        <w:t xml:space="preserve">Step 2 - Student Submission: </w:t>
      </w:r>
      <w:r>
        <w:rPr>
          <w:rFonts w:ascii="Arial" w:cs="Arial" w:eastAsia="Arial" w:hAnsi="Arial"/>
          <w:sz w:val="22"/>
          <w:szCs w:val="22"/>
        </w:rPr>
        <w:t xml:space="preserve">Student completes Customize Your Kit form, which posts via Vercel proxy to Google Apps Script, writing to Student_Selections tab.</w:t>
      </w:r>
    </w:p>
    <w:p>
      <w:pPr>
        <w:spacing w:after="60"/>
      </w:pPr>
    </w:p>
    <w:p>
      <w:pPr>
        <w:spacing w:after="120"/>
      </w:pPr>
      <w:r>
        <w:rPr>
          <w:rFonts w:ascii="Arial" w:cs="Arial" w:eastAsia="Arial" w:hAnsi="Arial"/>
          <w:b/>
          <w:bCs/>
          <w:sz w:val="22"/>
          <w:szCs w:val="22"/>
        </w:rPr>
        <w:t xml:space="preserve">Step 3 - Automatic Matching: </w:t>
      </w:r>
      <w:r>
        <w:rPr>
          <w:rFonts w:ascii="Arial" w:cs="Arial" w:eastAsia="Arial" w:hAnsi="Arial"/>
          <w:sz w:val="22"/>
          <w:szCs w:val="22"/>
        </w:rPr>
        <w:t xml:space="preserve">OnFormSubmit trigger fires resolver script, which matches student preferences against Product_Logic and writes results to Resolver tab.</w:t>
      </w:r>
    </w:p>
    <w:p>
      <w:pPr>
        <w:spacing w:after="60"/>
      </w:pPr>
    </w:p>
    <w:p>
      <w:pPr>
        <w:spacing w:after="120"/>
      </w:pPr>
      <w:r>
        <w:rPr>
          <w:rFonts w:ascii="Arial" w:cs="Arial" w:eastAsia="Arial" w:hAnsi="Arial"/>
          <w:b/>
          <w:bCs/>
          <w:sz w:val="22"/>
          <w:szCs w:val="22"/>
        </w:rPr>
        <w:t xml:space="preserve">Step 4 - Shopping List Generation: </w:t>
      </w:r>
      <w:r>
        <w:rPr>
          <w:rFonts w:ascii="Arial" w:cs="Arial" w:eastAsia="Arial" w:hAnsi="Arial"/>
          <w:sz w:val="22"/>
          <w:szCs w:val="22"/>
        </w:rPr>
        <w:t xml:space="preserve">Staff clicks Fulfillment Tools &gt; Generate Shopping List, combining Resolver results with student addresses to create Shopping_List tab.</w:t>
      </w:r>
    </w:p>
    <w:p>
      <w:pPr>
        <w:spacing w:after="60"/>
      </w:pPr>
    </w:p>
    <w:p>
      <w:pPr>
        <w:spacing w:after="120"/>
      </w:pPr>
      <w:r>
        <w:rPr>
          <w:rFonts w:ascii="Arial" w:cs="Arial" w:eastAsia="Arial" w:hAnsi="Arial"/>
          <w:b/>
          <w:bCs/>
          <w:sz w:val="22"/>
          <w:szCs w:val="22"/>
        </w:rPr>
        <w:t xml:space="preserve">Step 5 - Fulfillment: </w:t>
      </w:r>
      <w:r>
        <w:rPr>
          <w:rFonts w:ascii="Arial" w:cs="Arial" w:eastAsia="Arial" w:hAnsi="Arial"/>
          <w:sz w:val="22"/>
          <w:szCs w:val="22"/>
        </w:rPr>
        <w:t xml:space="preserve">Staff orders choice items per student from Shopping_List and bulk orders universal items from Universal Bulk Order tab.</w:t>
      </w:r>
    </w:p>
    <w:p>
      <w:pPr>
        <w:pStyle w:val="Heading2"/>
        <w:spacing w:before="300" w:after="150"/>
      </w:pPr>
      <w:r>
        <w:rPr>
          <w:rFonts w:ascii="Arial" w:cs="Arial" w:eastAsia="Arial" w:hAnsi="Arial"/>
          <w:b/>
          <w:bCs/>
          <w:sz w:val="28"/>
          <w:szCs w:val="28"/>
        </w:rPr>
        <w:t xml:space="preserve">3.3 Key URLs and Access 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4860"/>
      </w:tblGrid>
      <w:tr>
        <w:tc>
          <w:tcPr>
            <w:tcW w:type="dxa" w:w="3500"/>
            <w:tcBorders>
              <w:top w:val="single" w:color="CCCCCC" w:sz="1"/>
              <w:left w:val="single" w:color="CCCCCC" w:sz="1"/>
              <w:bottom w:val="single" w:color="CCCCCC" w:sz="1"/>
              <w:right w:val="single" w:color="CCCCCC" w:sz="1"/>
            </w:tcBorders>
            <w:shd w:fill="1E4D78" w:val="clear"/>
            <w:tcMar>
              <w:top w:type="dxa" w:w="60"/>
              <w:left w:type="dxa" w:w="100"/>
              <w:bottom w:type="dxa" w:w="60"/>
              <w:right w:type="dxa" w:w="100"/>
            </w:tcMar>
          </w:tcPr>
          <w:p>
            <w:r>
              <w:rPr>
                <w:rFonts w:ascii="Arial" w:cs="Arial" w:eastAsia="Arial" w:hAnsi="Arial"/>
                <w:b/>
                <w:bCs/>
                <w:color w:val="FFFFFF"/>
                <w:sz w:val="20"/>
                <w:szCs w:val="20"/>
              </w:rPr>
              <w:t xml:space="preserve">Resource</w:t>
            </w:r>
          </w:p>
        </w:tc>
        <w:tc>
          <w:tcPr>
            <w:tcW w:type="dxa" w:w="4860"/>
            <w:tcBorders>
              <w:top w:val="single" w:color="CCCCCC" w:sz="1"/>
              <w:left w:val="single" w:color="CCCCCC" w:sz="1"/>
              <w:bottom w:val="single" w:color="CCCCCC" w:sz="1"/>
              <w:right w:val="single" w:color="CCCCCC" w:sz="1"/>
            </w:tcBorders>
            <w:shd w:fill="1E4D78" w:val="clear"/>
            <w:tcMar>
              <w:top w:type="dxa" w:w="60"/>
              <w:left w:type="dxa" w:w="100"/>
              <w:bottom w:type="dxa" w:w="60"/>
              <w:right w:type="dxa" w:w="100"/>
            </w:tcMar>
          </w:tcPr>
          <w:p>
            <w:r>
              <w:rPr>
                <w:rFonts w:ascii="Arial" w:cs="Arial" w:eastAsia="Arial" w:hAnsi="Arial"/>
                <w:b/>
                <w:bCs/>
                <w:color w:val="FFFFFF"/>
                <w:sz w:val="20"/>
                <w:szCs w:val="20"/>
              </w:rPr>
              <w:t xml:space="preserve">URL/Location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Live Pick Form</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https://ericlilavois.github.io/Campus_Ready_Grant_Fulfillment/Customize_Your_Kit.html</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Vercel Proxy</w:t>
            </w:r>
          </w:p>
        </w:tc>
        <w:tc>
          <w:tcPr>
            <w:tcW w:type="dxa" w:w="4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https://nodejs-serverless-function-express-xi-ruby.vercel.app/api/proxy</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Form GitHub Repo</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https://github.com/ericlilavois/Campus_Ready_Grant_Fulfillment</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Proxy GitHub Repo</w:t>
            </w:r>
          </w:p>
        </w:tc>
        <w:tc>
          <w:tcPr>
            <w:tcW w:type="dxa" w:w="4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https://github.com/ericlilavois/nodejs-serverless-function-express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Grant Fulfillment Database</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Google Sheets (see Meta_Data tab for Sheet ID)</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Verification Documents</w:t>
            </w:r>
          </w:p>
        </w:tc>
        <w:tc>
          <w:tcPr>
            <w:tcW w:type="dxa" w:w="4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Google Drive &gt; Grant Fulfillment &gt; Verification Documents</w:t>
            </w:r>
          </w:p>
        </w:tc>
      </w:tr>
    </w:tbl>
    <w:p>
      <w:pPr>
        <w:pStyle w:val="Heading2"/>
        <w:spacing w:before="300" w:after="150"/>
      </w:pPr>
      <w:r>
        <w:rPr>
          <w:rFonts w:ascii="Arial" w:cs="Arial" w:eastAsia="Arial" w:hAnsi="Arial"/>
          <w:b/>
          <w:bCs/>
          <w:sz w:val="28"/>
          <w:szCs w:val="28"/>
        </w:rPr>
        <w:t xml:space="preserve">3.4 Why the Vercel Proxy Exists</w:t>
      </w:r>
    </w:p>
    <w:p>
      <w:pPr>
        <w:spacing w:after="120"/>
      </w:pPr>
      <w:r>
        <w:rPr>
          <w:rFonts w:ascii="Arial" w:cs="Arial" w:eastAsia="Arial" w:hAnsi="Arial"/>
          <w:sz w:val="22"/>
          <w:szCs w:val="22"/>
        </w:rPr>
        <w:t xml:space="preserve">The Vercel proxy solves a browser security restriction called CORS (Cross-Origin Resource Sharing). GitHub Pages, where the form is hosted, cannot directly communicate with Google Apps Script due to these restrictions. The proxy acts as an intermediary that adds proper headers allowing the form to submit data to Google Sheets. Without the proxy, form submissions would fail with a CORS error.</w:t>
      </w:r>
    </w:p>
    <w:p>
      <w:pPr>
        <w:pStyle w:val="Heading1"/>
        <w:spacing w:before="400" w:after="200"/>
      </w:pPr>
      <w:r>
        <w:rPr>
          <w:rFonts w:ascii="Arial" w:cs="Arial" w:eastAsia="Arial" w:hAnsi="Arial"/>
          <w:b/>
          <w:bCs/>
          <w:sz w:val="32"/>
          <w:szCs w:val="32"/>
        </w:rPr>
        <w:t xml:space="preserve">4. Database Structure</w:t>
      </w:r>
    </w:p>
    <w:p>
      <w:pPr>
        <w:pStyle w:val="Heading2"/>
        <w:spacing w:before="300" w:after="150"/>
      </w:pPr>
      <w:r>
        <w:rPr>
          <w:rFonts w:ascii="Arial" w:cs="Arial" w:eastAsia="Arial" w:hAnsi="Arial"/>
          <w:b/>
          <w:bCs/>
          <w:sz w:val="28"/>
          <w:szCs w:val="28"/>
        </w:rPr>
        <w:t xml:space="preserve">4.1 Tab Organization</w:t>
      </w:r>
    </w:p>
    <w:p>
      <w:pPr>
        <w:spacing w:after="120"/>
      </w:pPr>
      <w:r>
        <w:rPr>
          <w:rFonts w:ascii="Arial" w:cs="Arial" w:eastAsia="Arial" w:hAnsi="Arial"/>
          <w:sz w:val="22"/>
          <w:szCs w:val="22"/>
        </w:rPr>
        <w:t xml:space="preserve">The Grant Fulfillment Database contains 31 tabs organized by function. Understanding the relationships between tabs is critical for maintenance and troubleshooting.</w:t>
      </w:r>
    </w:p>
    <w:p>
      <w:pPr>
        <w:pStyle w:val="Heading3"/>
        <w:spacing w:before="200" w:after="100"/>
      </w:pPr>
      <w:r>
        <w:rPr>
          <w:rFonts w:ascii="Arial" w:cs="Arial" w:eastAsia="Arial" w:hAnsi="Arial"/>
          <w:b/>
          <w:bCs/>
          <w:sz w:val="24"/>
          <w:szCs w:val="24"/>
        </w:rPr>
        <w:t xml:space="preserve">Core Operations Tabs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2360"/>
      </w:tblGrid>
      <w:tr>
        <w:tc>
          <w:tcPr>
            <w:tcW w:type="dxa" w:w="2500"/>
            <w:tcBorders>
              <w:top w:val="single" w:color="CCCCCC" w:sz="1"/>
              <w:left w:val="single" w:color="CCCCCC" w:sz="1"/>
              <w:bottom w:val="single" w:color="CCCCCC" w:sz="1"/>
              <w:right w:val="single" w:color="CCCCCC" w:sz="1"/>
            </w:tcBorders>
            <w:shd w:fill="1E4D78" w:val="clear"/>
            <w:tcMar>
              <w:top w:type="dxa" w:w="60"/>
              <w:left w:type="dxa" w:w="100"/>
              <w:bottom w:type="dxa" w:w="60"/>
              <w:right w:type="dxa" w:w="100"/>
            </w:tcMar>
          </w:tcPr>
          <w:p>
            <w:r>
              <w:rPr>
                <w:rFonts w:ascii="Arial" w:cs="Arial" w:eastAsia="Arial" w:hAnsi="Arial"/>
                <w:b/>
                <w:bCs/>
                <w:color w:val="FFFFFF"/>
                <w:sz w:val="20"/>
                <w:szCs w:val="20"/>
              </w:rPr>
              <w:t xml:space="preserve">Tab Name</w:t>
            </w:r>
          </w:p>
        </w:tc>
        <w:tc>
          <w:tcPr>
            <w:tcW w:type="dxa" w:w="3500"/>
            <w:tcBorders>
              <w:top w:val="single" w:color="CCCCCC" w:sz="1"/>
              <w:left w:val="single" w:color="CCCCCC" w:sz="1"/>
              <w:bottom w:val="single" w:color="CCCCCC" w:sz="1"/>
              <w:right w:val="single" w:color="CCCCCC" w:sz="1"/>
            </w:tcBorders>
            <w:shd w:fill="1E4D78"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dxa" w:w="2360"/>
            <w:tcBorders>
              <w:top w:val="single" w:color="CCCCCC" w:sz="1"/>
              <w:left w:val="single" w:color="CCCCCC" w:sz="1"/>
              <w:bottom w:val="single" w:color="CCCCCC" w:sz="1"/>
              <w:right w:val="single" w:color="CCCCCC" w:sz="1"/>
            </w:tcBorders>
            <w:shd w:fill="1E4D78" w:val="clear"/>
            <w:tcMar>
              <w:top w:type="dxa" w:w="60"/>
              <w:left w:type="dxa" w:w="100"/>
              <w:bottom w:type="dxa" w:w="60"/>
              <w:right w:type="dxa" w:w="100"/>
            </w:tcMar>
          </w:tcPr>
          <w:p>
            <w:r>
              <w:rPr>
                <w:rFonts w:ascii="Arial" w:cs="Arial" w:eastAsia="Arial" w:hAnsi="Arial"/>
                <w:b/>
                <w:bCs/>
                <w:color w:val="FFFFFF"/>
                <w:sz w:val="20"/>
                <w:szCs w:val="20"/>
              </w:rPr>
              <w:t xml:space="preserve">Update Method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Student_Selections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Stores all student form submissions with preferences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Automatic - do not edit manually</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Resolver</w:t>
            </w:r>
          </w:p>
        </w:tc>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Contains matched products for each student</w:t>
            </w:r>
          </w:p>
        </w:tc>
        <w:tc>
          <w:tcPr>
            <w:tcW w:type="dxa" w:w="2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Automatic - populated by script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Shopping_List</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Final shopping list for fulfillment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Generated via menu: Fulfillment Tools &gt; Generate Shopping List</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Errors</w:t>
            </w:r>
          </w:p>
        </w:tc>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Logs resolver errors when matching fails</w:t>
            </w:r>
          </w:p>
        </w:tc>
        <w:tc>
          <w:tcPr>
            <w:tcW w:type="dxa" w:w="2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Automatic - check when resolver has issues</w:t>
            </w:r>
          </w:p>
        </w:tc>
      </w:tr>
    </w:tbl>
    <w:p>
      <w:pPr>
        <w:pStyle w:val="Heading3"/>
        <w:spacing w:before="200" w:after="100"/>
      </w:pPr>
      <w:r>
        <w:rPr>
          <w:rFonts w:ascii="Arial" w:cs="Arial" w:eastAsia="Arial" w:hAnsi="Arial"/>
          <w:b/>
          <w:bCs/>
          <w:sz w:val="24"/>
          <w:szCs w:val="24"/>
        </w:rPr>
        <w:t xml:space="preserve">Product Logic Tabs (Auto-Populated)</w:t>
      </w:r>
    </w:p>
    <w:p>
      <w:pPr>
        <w:spacing w:after="120"/>
      </w:pPr>
      <w:r>
        <w:rPr>
          <w:rFonts w:ascii="Arial" w:cs="Arial" w:eastAsia="Arial" w:hAnsi="Arial"/>
          <w:sz w:val="22"/>
          <w:szCs w:val="22"/>
        </w:rPr>
        <w:t xml:space="preserve">This tab contains the master product database used by the resolver. It is populated by running Fulfillment Tools → Rebuild Product Logic (rebuildProductLogic()) and should NEVER be edited directly — changes belong on the research tabs (Personal_Care, Bedding, Pillows, Towels, Accessories, Universal Products). The PL_* intermediate tabs referenced in earlier versions of this manual (PL_Personal_Care, PL_Bedding, PL_Pillows, PL_Towels, PL_Accessories) are deprecated as of DEC-018 (June 2026) and are no longer part of the pipeline — they can be hidden or deleted if still present.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3360"/>
      </w:tblGrid>
      <w:tr>
        <w:tc>
          <w:tcPr>
            <w:tcW w:type="dxa" w:w="2500"/>
            <w:tcBorders>
              <w:top w:val="single" w:color="CCCCCC" w:sz="1"/>
              <w:left w:val="single" w:color="CCCCCC" w:sz="1"/>
              <w:bottom w:val="single" w:color="CCCCCC" w:sz="1"/>
              <w:right w:val="single" w:color="CCCCCC" w:sz="1"/>
            </w:tcBorders>
            <w:shd w:fill="1E4D78" w:val="clear"/>
            <w:tcMar>
              <w:top w:type="dxa" w:w="60"/>
              <w:left w:type="dxa" w:w="100"/>
              <w:bottom w:type="dxa" w:w="60"/>
              <w:right w:type="dxa" w:w="100"/>
            </w:tcMar>
          </w:tcPr>
          <w:p>
            <w:r>
              <w:rPr>
                <w:rFonts w:ascii="Arial" w:cs="Arial" w:eastAsia="Arial" w:hAnsi="Arial"/>
                <w:b/>
                <w:bCs/>
                <w:color w:val="FFFFFF"/>
                <w:sz w:val="20"/>
                <w:szCs w:val="20"/>
              </w:rPr>
              <w:t xml:space="preserve">Tab Name</w:t>
            </w:r>
          </w:p>
        </w:tc>
        <w:tc>
          <w:tcPr>
            <w:tcW w:type="dxa" w:w="2500"/>
            <w:tcBorders>
              <w:top w:val="single" w:color="CCCCCC" w:sz="1"/>
              <w:left w:val="single" w:color="CCCCCC" w:sz="1"/>
              <w:bottom w:val="single" w:color="CCCCCC" w:sz="1"/>
              <w:right w:val="single" w:color="CCCCCC" w:sz="1"/>
            </w:tcBorders>
            <w:shd w:fill="1E4D78" w:val="clear"/>
            <w:tcMar>
              <w:top w:type="dxa" w:w="60"/>
              <w:left w:type="dxa" w:w="100"/>
              <w:bottom w:type="dxa" w:w="60"/>
              <w:right w:type="dxa" w:w="100"/>
            </w:tcMar>
          </w:tcPr>
          <w:p>
            <w:r>
              <w:rPr>
                <w:rFonts w:ascii="Arial" w:cs="Arial" w:eastAsia="Arial" w:hAnsi="Arial"/>
                <w:b/>
                <w:bCs/>
                <w:color w:val="FFFFFF"/>
                <w:sz w:val="20"/>
                <w:szCs w:val="20"/>
              </w:rPr>
              <w:t xml:space="preserve">Source Tab</w:t>
            </w:r>
          </w:p>
        </w:tc>
        <w:tc>
          <w:tcPr>
            <w:tcW w:type="dxa" w:w="3360"/>
            <w:tcBorders>
              <w:top w:val="single" w:color="CCCCCC" w:sz="1"/>
              <w:left w:val="single" w:color="CCCCCC" w:sz="1"/>
              <w:bottom w:val="single" w:color="CCCCCC" w:sz="1"/>
              <w:right w:val="single" w:color="CCCCCC" w:sz="1"/>
            </w:tcBorders>
            <w:shd w:fill="1E4D78" w:val="clear"/>
            <w:tcMar>
              <w:top w:type="dxa" w:w="60"/>
              <w:left w:type="dxa" w:w="100"/>
              <w:bottom w:type="dxa" w:w="60"/>
              <w:right w:type="dxa" w:w="100"/>
            </w:tcMar>
          </w:tcPr>
          <w:p>
            <w:r>
              <w:rPr>
                <w:rFonts w:ascii="Arial" w:cs="Arial" w:eastAsia="Arial" w:hAnsi="Arial"/>
                <w:b/>
                <w:bCs/>
                <w:color w:val="FFFFFF"/>
                <w:sz w:val="20"/>
                <w:szCs w:val="20"/>
              </w:rPr>
              <w:t xml:space="preserve">Contents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Product_Logic</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rebuildProductLogic() (reads Personal_Care, Bedding, Pillows, Towels, Accessories, Universal Products by header name)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Master product database for matching</w:t>
            </w:r>
          </w:p>
        </w:tc>
      </w:tr>
    </w:tbl>
    <w:p>
      <w:pPr>
        <w:spacing w:after="60"/>
      </w:pPr>
    </w:p>
    <w:p>
      <w:pPr>
        <w:spacing w:after="120"/>
      </w:pPr>
      <w:r>
        <w:rPr>
          <w:rFonts w:ascii="Arial" w:cs="Arial" w:eastAsia="Arial" w:hAnsi="Arial"/>
          <w:sz w:val="22"/>
          <w:szCs w:val="22"/>
        </w:rPr>
        <w:t xml:space="preserve">CRITICAL: All changes must be made in the research tabs (Personal_Care, Bedding, Pillows, Towels, Accessories, Universal Products), not directly in Product_Logic. Changes take effect the next time Rebuild Product Logic is run — do not run it between a student submission and Shopping List generation, as this reassigns Product IDs and breaks the Resolver → Shopping List join (DEC-018).</w:t>
      </w:r>
    </w:p>
    <w:p>
      <w:pPr>
        <w:pStyle w:val="Heading3"/>
        <w:spacing w:before="200" w:after="100"/>
      </w:pPr>
      <w:r>
        <w:rPr>
          <w:rFonts w:ascii="Arial" w:cs="Arial" w:eastAsia="Arial" w:hAnsi="Arial"/>
          <w:b/>
          <w:bCs/>
          <w:sz w:val="24"/>
          <w:szCs w:val="24"/>
        </w:rPr>
        <w:t xml:space="preserve">Product Research Tabs (Source of Truth)</w:t>
      </w:r>
    </w:p>
    <w:p>
      <w:pPr>
        <w:spacing w:after="120"/>
      </w:pPr>
      <w:r>
        <w:rPr>
          <w:rFonts w:ascii="Arial" w:cs="Arial" w:eastAsia="Arial" w:hAnsi="Arial"/>
          <w:sz w:val="22"/>
          <w:szCs w:val="22"/>
        </w:rPr>
        <w:t xml:space="preserve">These are the primary workspace for all product management: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2360"/>
      </w:tblGrid>
      <w:tr>
        <w:tc>
          <w:tcPr>
            <w:tcW w:type="dxa" w:w="2500"/>
            <w:tcBorders>
              <w:top w:val="single" w:color="CCCCCC" w:sz="1"/>
              <w:left w:val="single" w:color="CCCCCC" w:sz="1"/>
              <w:bottom w:val="single" w:color="CCCCCC" w:sz="1"/>
              <w:right w:val="single" w:color="CCCCCC" w:sz="1"/>
            </w:tcBorders>
            <w:shd w:fill="1E4D78" w:val="clear"/>
            <w:tcMar>
              <w:top w:type="dxa" w:w="60"/>
              <w:left w:type="dxa" w:w="100"/>
              <w:bottom w:type="dxa" w:w="60"/>
              <w:right w:type="dxa" w:w="100"/>
            </w:tcMar>
          </w:tcPr>
          <w:p>
            <w:r>
              <w:rPr>
                <w:rFonts w:ascii="Arial" w:cs="Arial" w:eastAsia="Arial" w:hAnsi="Arial"/>
                <w:b/>
                <w:bCs/>
                <w:color w:val="FFFFFF"/>
                <w:sz w:val="20"/>
                <w:szCs w:val="20"/>
              </w:rPr>
              <w:t xml:space="preserve">Tab Name</w:t>
            </w:r>
          </w:p>
        </w:tc>
        <w:tc>
          <w:tcPr>
            <w:tcW w:type="dxa" w:w="3500"/>
            <w:tcBorders>
              <w:top w:val="single" w:color="CCCCCC" w:sz="1"/>
              <w:left w:val="single" w:color="CCCCCC" w:sz="1"/>
              <w:bottom w:val="single" w:color="CCCCCC" w:sz="1"/>
              <w:right w:val="single" w:color="CCCCCC" w:sz="1"/>
            </w:tcBorders>
            <w:shd w:fill="1E4D78" w:val="clear"/>
            <w:tcMar>
              <w:top w:type="dxa" w:w="60"/>
              <w:left w:type="dxa" w:w="100"/>
              <w:bottom w:type="dxa" w:w="60"/>
              <w:right w:type="dxa" w:w="100"/>
            </w:tcMar>
          </w:tcPr>
          <w:p>
            <w:r>
              <w:rPr>
                <w:rFonts w:ascii="Arial" w:cs="Arial" w:eastAsia="Arial" w:hAnsi="Arial"/>
                <w:b/>
                <w:bCs/>
                <w:color w:val="FFFFFF"/>
                <w:sz w:val="20"/>
                <w:szCs w:val="20"/>
              </w:rPr>
              <w:t xml:space="preserve">Contents</w:t>
            </w:r>
          </w:p>
        </w:tc>
        <w:tc>
          <w:tcPr>
            <w:tcW w:type="dxa" w:w="2360"/>
            <w:tcBorders>
              <w:top w:val="single" w:color="CCCCCC" w:sz="1"/>
              <w:left w:val="single" w:color="CCCCCC" w:sz="1"/>
              <w:bottom w:val="single" w:color="CCCCCC" w:sz="1"/>
              <w:right w:val="single" w:color="CCCCCC" w:sz="1"/>
            </w:tcBorders>
            <w:shd w:fill="1E4D78" w:val="clear"/>
            <w:tcMar>
              <w:top w:type="dxa" w:w="60"/>
              <w:left w:type="dxa" w:w="100"/>
              <w:bottom w:type="dxa" w:w="60"/>
              <w:right w:type="dxa" w:w="100"/>
            </w:tcMar>
          </w:tcPr>
          <w:p>
            <w:r>
              <w:rPr>
                <w:rFonts w:ascii="Arial" w:cs="Arial" w:eastAsia="Arial" w:hAnsi="Arial"/>
                <w:b/>
                <w:bCs/>
                <w:color w:val="FFFFFF"/>
                <w:sz w:val="20"/>
                <w:szCs w:val="20"/>
              </w:rPr>
              <w:t xml:space="preserve">Update When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Personal_Care</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Shaving cream, deodorant, body wash, razors, shampoo, etc.</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During product research phase</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Bedding</w:t>
            </w:r>
          </w:p>
        </w:tc>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Sheet sets, duvet covers, comforters</w:t>
            </w:r>
          </w:p>
        </w:tc>
        <w:tc>
          <w:tcPr>
            <w:tcW w:type="dxa" w:w="2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During product research phase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Pillows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Standard pillows in various firmness levels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During product research phase</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Towels</w:t>
            </w:r>
          </w:p>
        </w:tc>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Towel sets in different colors</w:t>
            </w:r>
          </w:p>
        </w:tc>
        <w:tc>
          <w:tcPr>
            <w:tcW w:type="dxa" w:w="2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During product research phase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Accessories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Toiletry bags, slides, storage items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During product research phase</w:t>
            </w:r>
          </w:p>
        </w:tc>
      </w:tr>
    </w:tbl>
    <w:p>
      <w:pPr>
        <w:pStyle w:val="Heading3"/>
        <w:spacing w:before="200" w:after="100"/>
      </w:pPr>
      <w:r>
        <w:rPr>
          <w:rFonts w:ascii="Arial" w:cs="Arial" w:eastAsia="Arial" w:hAnsi="Arial"/>
          <w:b/>
          <w:bCs/>
          <w:sz w:val="24"/>
          <w:szCs w:val="24"/>
        </w:rPr>
        <w:t xml:space="preserve">Universal Products Tabs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2060"/>
      </w:tblGrid>
      <w:tr>
        <w:tc>
          <w:tcPr>
            <w:tcW w:type="dxa" w:w="2800"/>
            <w:tcBorders>
              <w:top w:val="single" w:color="CCCCCC" w:sz="1"/>
              <w:left w:val="single" w:color="CCCCCC" w:sz="1"/>
              <w:bottom w:val="single" w:color="CCCCCC" w:sz="1"/>
              <w:right w:val="single" w:color="CCCCCC" w:sz="1"/>
            </w:tcBorders>
            <w:shd w:fill="1E4D78" w:val="clear"/>
            <w:tcMar>
              <w:top w:type="dxa" w:w="60"/>
              <w:left w:type="dxa" w:w="100"/>
              <w:bottom w:type="dxa" w:w="60"/>
              <w:right w:type="dxa" w:w="100"/>
            </w:tcMar>
          </w:tcPr>
          <w:p>
            <w:r>
              <w:rPr>
                <w:rFonts w:ascii="Arial" w:cs="Arial" w:eastAsia="Arial" w:hAnsi="Arial"/>
                <w:b/>
                <w:bCs/>
                <w:color w:val="FFFFFF"/>
                <w:sz w:val="20"/>
                <w:szCs w:val="20"/>
              </w:rPr>
              <w:t xml:space="preserve">Tab Name</w:t>
            </w:r>
          </w:p>
        </w:tc>
        <w:tc>
          <w:tcPr>
            <w:tcW w:type="dxa" w:w="3500"/>
            <w:tcBorders>
              <w:top w:val="single" w:color="CCCCCC" w:sz="1"/>
              <w:left w:val="single" w:color="CCCCCC" w:sz="1"/>
              <w:bottom w:val="single" w:color="CCCCCC" w:sz="1"/>
              <w:right w:val="single" w:color="CCCCCC" w:sz="1"/>
            </w:tcBorders>
            <w:shd w:fill="1E4D78"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dxa" w:w="2060"/>
            <w:tcBorders>
              <w:top w:val="single" w:color="CCCCCC" w:sz="1"/>
              <w:left w:val="single" w:color="CCCCCC" w:sz="1"/>
              <w:bottom w:val="single" w:color="CCCCCC" w:sz="1"/>
              <w:right w:val="single" w:color="CCCCCC" w:sz="1"/>
            </w:tcBorders>
            <w:shd w:fill="1E4D78" w:val="clear"/>
            <w:tcMar>
              <w:top w:type="dxa" w:w="60"/>
              <w:left w:type="dxa" w:w="100"/>
              <w:bottom w:type="dxa" w:w="60"/>
              <w:right w:type="dxa" w:w="100"/>
            </w:tcMar>
          </w:tcPr>
          <w:p>
            <w:r>
              <w:rPr>
                <w:rFonts w:ascii="Arial" w:cs="Arial" w:eastAsia="Arial" w:hAnsi="Arial"/>
                <w:b/>
                <w:bCs/>
                <w:color w:val="FFFFFF"/>
                <w:sz w:val="20"/>
                <w:szCs w:val="20"/>
              </w:rPr>
              <w:t xml:space="preserve">Update When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Universal Products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Lists products every student receives regardless of preferences</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Adding/removing universal items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Universal Bulk Order</w:t>
            </w:r>
          </w:p>
        </w:tc>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Calculates bulk quantities based on student count</w:t>
            </w:r>
          </w:p>
        </w:tc>
        <w:tc>
          <w:tcPr>
            <w:tcW w:type="dxa" w:w="20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Automatic from Meta_Data student count</w:t>
            </w:r>
          </w:p>
        </w:tc>
      </w:tr>
    </w:tbl>
    <w:p>
      <w:pPr>
        <w:pStyle w:val="Heading3"/>
        <w:spacing w:before="200" w:after="100"/>
      </w:pPr>
      <w:r>
        <w:rPr>
          <w:rFonts w:ascii="Arial" w:cs="Arial" w:eastAsia="Arial" w:hAnsi="Arial"/>
          <w:b/>
          <w:bCs/>
          <w:sz w:val="24"/>
          <w:szCs w:val="24"/>
        </w:rPr>
        <w:t xml:space="preserve">Tracking and Analysis Tabs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360"/>
      </w:tblGrid>
      <w:tr>
        <w:tc>
          <w:tcPr>
            <w:tcW w:type="dxa" w:w="3000"/>
            <w:tcBorders>
              <w:top w:val="single" w:color="CCCCCC" w:sz="1"/>
              <w:left w:val="single" w:color="CCCCCC" w:sz="1"/>
              <w:bottom w:val="single" w:color="CCCCCC" w:sz="1"/>
              <w:right w:val="single" w:color="CCCCCC" w:sz="1"/>
            </w:tcBorders>
            <w:shd w:fill="1E4D78" w:val="clear"/>
            <w:tcMar>
              <w:top w:type="dxa" w:w="60"/>
              <w:left w:type="dxa" w:w="100"/>
              <w:bottom w:type="dxa" w:w="60"/>
              <w:right w:type="dxa" w:w="100"/>
            </w:tcMar>
          </w:tcPr>
          <w:p>
            <w:r>
              <w:rPr>
                <w:rFonts w:ascii="Arial" w:cs="Arial" w:eastAsia="Arial" w:hAnsi="Arial"/>
                <w:b/>
                <w:bCs/>
                <w:color w:val="FFFFFF"/>
                <w:sz w:val="20"/>
                <w:szCs w:val="20"/>
              </w:rPr>
              <w:t xml:space="preserve">Tab Name</w:t>
            </w:r>
          </w:p>
        </w:tc>
        <w:tc>
          <w:tcPr>
            <w:tcW w:type="dxa" w:w="5360"/>
            <w:tcBorders>
              <w:top w:val="single" w:color="CCCCCC" w:sz="1"/>
              <w:left w:val="single" w:color="CCCCCC" w:sz="1"/>
              <w:bottom w:val="single" w:color="CCCCCC" w:sz="1"/>
              <w:right w:val="single" w:color="CCCCCC" w:sz="1"/>
            </w:tcBorders>
            <w:shd w:fill="1E4D78"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Budget Tracking</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Tracks costs by category with status indicators</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Impact_Dashboard</w:t>
            </w:r>
          </w:p>
        </w:tc>
        <w:tc>
          <w:tcPr>
            <w:tcW w:type="dxa" w:w="5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High-level metrics: students processed, total cost, average per student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Student_Archive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Archive of completed/fulfilled students</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Resolver_Test</w:t>
            </w:r>
          </w:p>
        </w:tc>
        <w:tc>
          <w:tcPr>
            <w:tcW w:type="dxa" w:w="5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Testing environment for resolver changes</w:t>
            </w:r>
          </w:p>
        </w:tc>
      </w:tr>
    </w:tbl>
    <w:p>
      <w:pPr>
        <w:pStyle w:val="Heading3"/>
        <w:spacing w:before="200" w:after="100"/>
      </w:pPr>
      <w:r>
        <w:rPr>
          <w:rFonts w:ascii="Arial" w:cs="Arial" w:eastAsia="Arial" w:hAnsi="Arial"/>
          <w:b/>
          <w:bCs/>
          <w:sz w:val="24"/>
          <w:szCs w:val="24"/>
        </w:rPr>
        <w:t xml:space="preserve">Supporting Tabs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360"/>
      </w:tblGrid>
      <w:tr>
        <w:tc>
          <w:tcPr>
            <w:tcW w:type="dxa" w:w="3000"/>
            <w:tcBorders>
              <w:top w:val="single" w:color="CCCCCC" w:sz="1"/>
              <w:left w:val="single" w:color="CCCCCC" w:sz="1"/>
              <w:bottom w:val="single" w:color="CCCCCC" w:sz="1"/>
              <w:right w:val="single" w:color="CCCCCC" w:sz="1"/>
            </w:tcBorders>
            <w:shd w:fill="1E4D78" w:val="clear"/>
            <w:tcMar>
              <w:top w:type="dxa" w:w="60"/>
              <w:left w:type="dxa" w:w="100"/>
              <w:bottom w:type="dxa" w:w="60"/>
              <w:right w:type="dxa" w:w="100"/>
            </w:tcMar>
          </w:tcPr>
          <w:p>
            <w:r>
              <w:rPr>
                <w:rFonts w:ascii="Arial" w:cs="Arial" w:eastAsia="Arial" w:hAnsi="Arial"/>
                <w:b/>
                <w:bCs/>
                <w:color w:val="FFFFFF"/>
                <w:sz w:val="20"/>
                <w:szCs w:val="20"/>
              </w:rPr>
              <w:t xml:space="preserve">Tab Name</w:t>
            </w:r>
          </w:p>
        </w:tc>
        <w:tc>
          <w:tcPr>
            <w:tcW w:type="dxa" w:w="5360"/>
            <w:tcBorders>
              <w:top w:val="single" w:color="CCCCCC" w:sz="1"/>
              <w:left w:val="single" w:color="CCCCCC" w:sz="1"/>
              <w:bottom w:val="single" w:color="CCCCCC" w:sz="1"/>
              <w:right w:val="single" w:color="CCCCCC" w:sz="1"/>
            </w:tcBorders>
            <w:shd w:fill="1E4D78"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Meta_Data</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Operational parameters: student count, order deadline dates</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Reference Lists</w:t>
            </w:r>
          </w:p>
        </w:tc>
        <w:tc>
          <w:tcPr>
            <w:tcW w:type="dxa" w:w="5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Lookup tables for form dropdowns (scents, styles, sizes, etc.)</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Resolver_Logic</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Documents matching rules for each product category</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Master List</w:t>
            </w:r>
          </w:p>
        </w:tc>
        <w:tc>
          <w:tcPr>
            <w:tcW w:type="dxa" w:w="5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Complete inventory reference (952 products) - do not edit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Template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Template structure for new product entries</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System Overview</w:t>
            </w:r>
          </w:p>
        </w:tc>
        <w:tc>
          <w:tcPr>
            <w:tcW w:type="dxa" w:w="5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Internal documentation within the database</w:t>
            </w:r>
          </w:p>
        </w:tc>
      </w:tr>
    </w:tbl>
    <w:p>
      <w:pPr>
        <w:pStyle w:val="Heading2"/>
        <w:spacing w:before="300" w:after="150"/>
      </w:pPr>
      <w:r>
        <w:rPr>
          <w:rFonts w:ascii="Arial" w:cs="Arial" w:eastAsia="Arial" w:hAnsi="Arial"/>
          <w:b/>
          <w:bCs/>
          <w:sz w:val="28"/>
          <w:szCs w:val="28"/>
        </w:rPr>
        <w:t xml:space="preserve">4.2 Data Relationships</w:t>
      </w:r>
    </w:p>
    <w:p>
      <w:pPr>
        <w:spacing w:after="120"/>
      </w:pPr>
      <w:r>
        <w:rPr>
          <w:rFonts w:ascii="Arial" w:cs="Arial" w:eastAsia="Arial" w:hAnsi="Arial"/>
          <w:sz w:val="22"/>
          <w:szCs w:val="22"/>
        </w:rPr>
        <w:t xml:space="preserve">Understanding how tabs connect is essential for troubleshooting:</w:t>
      </w:r>
    </w:p>
    <w:p>
      <w:pPr>
        <w:spacing w:after="60"/>
      </w:pPr>
    </w:p>
    <w:p>
      <w:pPr>
        <w:spacing w:after="120"/>
      </w:pPr>
      <w:r>
        <w:rPr>
          <w:rFonts w:ascii="Arial" w:cs="Arial" w:eastAsia="Arial" w:hAnsi="Arial"/>
          <w:b/>
          <w:bCs/>
          <w:sz w:val="22"/>
          <w:szCs w:val="22"/>
        </w:rPr>
        <w:t xml:space="preserve">Research Tabs → Product_Logic: </w:t>
      </w:r>
      <w:r>
        <w:rPr>
          <w:rFonts w:ascii="Arial" w:cs="Arial" w:eastAsia="Arial" w:hAnsi="Arial"/>
          <w:sz w:val="22"/>
          <w:szCs w:val="22"/>
        </w:rPr>
        <w:t xml:space="preserve">rebuildProductLogic() reads each research tab (Personal_Care, Bedding, Pillows, Towels, Accessories, Universal Products) by header name and compiles them into Product_Logic. The deprecated PL_* intermediate tabs (PL_Personal_Care, PL_Bedding, etc.) are no longer part of this pipeline as of DEC-018 (June 2026).</w:t>
      </w:r>
    </w:p>
    <w:p>
      <w:pPr>
        <w:spacing w:after="60"/>
      </w:pPr>
    </w:p>
    <w:p>
      <w:pPr>
        <w:spacing w:after="120"/>
      </w:pPr>
      <w:r>
        <w:rPr>
          <w:rFonts w:ascii="Arial" w:cs="Arial" w:eastAsia="Arial" w:hAnsi="Arial"/>
          <w:b/>
          <w:bCs/>
          <w:sz w:val="22"/>
          <w:szCs w:val="22"/>
        </w:rPr>
        <w:t xml:space="preserve">Product_Logic → Resolver: </w:t>
      </w:r>
      <w:r>
        <w:rPr>
          <w:rFonts w:ascii="Arial" w:cs="Arial" w:eastAsia="Arial" w:hAnsi="Arial"/>
          <w:sz w:val="22"/>
          <w:szCs w:val="22"/>
        </w:rPr>
        <w:t xml:space="preserve">The Resolver matches student preferences against Product_Logic. Rebuild Product Logic before the Pick Form window opens, but never between a submission and Shopping List generation — this reassigns Product IDs and breaks the Resolver→Shopping_List join (DEC-018).</w:t>
      </w:r>
    </w:p>
    <w:p>
      <w:pPr>
        <w:spacing w:after="60"/>
      </w:pPr>
    </w:p>
    <w:p>
      <w:pPr>
        <w:spacing w:after="120"/>
      </w:pPr>
      <w:r>
        <w:rPr>
          <w:rFonts w:ascii="Arial" w:cs="Arial" w:eastAsia="Arial" w:hAnsi="Arial"/>
          <w:b/>
          <w:bCs/>
          <w:sz w:val="22"/>
          <w:szCs w:val="22"/>
        </w:rPr>
        <w:t xml:space="preserve">Student_Selections → Resolver: </w:t>
      </w:r>
      <w:r>
        <w:rPr>
          <w:rFonts w:ascii="Arial" w:cs="Arial" w:eastAsia="Arial" w:hAnsi="Arial"/>
          <w:sz w:val="22"/>
          <w:szCs w:val="22"/>
        </w:rPr>
        <w:t xml:space="preserve">When a student submits the form, the resolver script reads their preferences from Student_Selections and matches against Product_Logic, writing results to Resolver.</w:t>
      </w:r>
    </w:p>
    <w:p>
      <w:pPr>
        <w:spacing w:after="60"/>
      </w:pPr>
    </w:p>
    <w:p>
      <w:pPr>
        <w:spacing w:after="120"/>
      </w:pPr>
      <w:r>
        <w:rPr>
          <w:rFonts w:ascii="Arial" w:cs="Arial" w:eastAsia="Arial" w:hAnsi="Arial"/>
          <w:b/>
          <w:bCs/>
          <w:sz w:val="22"/>
          <w:szCs w:val="22"/>
        </w:rPr>
        <w:t xml:space="preserve">Resolver + Student_Selections → Shopping_List: </w:t>
      </w:r>
      <w:r>
        <w:rPr>
          <w:rFonts w:ascii="Arial" w:cs="Arial" w:eastAsia="Arial" w:hAnsi="Arial"/>
          <w:sz w:val="22"/>
          <w:szCs w:val="22"/>
        </w:rPr>
        <w:t xml:space="preserve">The shopping list generator combines matched products from Resolver with addresses from Student_Selections to create fulfillment-ready lists.</w:t>
      </w:r>
    </w:p>
    <w:p>
      <w:pPr>
        <w:pStyle w:val="Heading2"/>
        <w:spacing w:before="300" w:after="150"/>
      </w:pPr>
      <w:r>
        <w:rPr>
          <w:rFonts w:ascii="Arial" w:cs="Arial" w:eastAsia="Arial" w:hAnsi="Arial"/>
          <w:b/>
          <w:bCs/>
          <w:sz w:val="28"/>
          <w:szCs w:val="28"/>
        </w:rPr>
        <w:t xml:space="preserve">4.3 Column Structure Standards</w:t>
      </w:r>
    </w:p>
    <w:p>
      <w:pPr>
        <w:spacing w:after="120"/>
      </w:pPr>
      <w:r>
        <w:rPr>
          <w:rFonts w:ascii="Arial" w:cs="Arial" w:eastAsia="Arial" w:hAnsi="Arial"/>
          <w:sz w:val="22"/>
          <w:szCs w:val="22"/>
        </w:rPr>
        <w:t xml:space="preserve">rebuildProductLogic() and the Resolver read every research tab by header name, not column position (DEC-018) — columns can appear in any order as long as the header text is spelled exactly as expected. The headers that matter across research tabs: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4360"/>
      </w:tblGrid>
      <w:tr>
        <w:tc>
          <w:tcPr>
            <w:tcW w:type="dxa" w:w="1500"/>
            <w:tcBorders>
              <w:top w:val="single" w:color="CCCCCC" w:sz="1"/>
              <w:left w:val="single" w:color="CCCCCC" w:sz="1"/>
              <w:bottom w:val="single" w:color="CCCCCC" w:sz="1"/>
              <w:right w:val="single" w:color="CCCCCC" w:sz="1"/>
            </w:tcBorders>
            <w:shd w:fill="1E4D78" w:val="clear"/>
            <w:tcMar>
              <w:top w:type="dxa" w:w="60"/>
              <w:left w:type="dxa" w:w="100"/>
              <w:bottom w:type="dxa" w:w="60"/>
              <w:right w:type="dxa" w:w="100"/>
            </w:tcMar>
          </w:tcPr>
          <w:p>
            <w:r>
              <w:rPr>
                <w:rFonts w:ascii="Arial" w:cs="Arial" w:eastAsia="Arial" w:hAnsi="Arial"/>
                <w:b/>
                <w:bCs/>
                <w:color w:val="FFFFFF"/>
                <w:sz w:val="20"/>
                <w:szCs w:val="20"/>
              </w:rPr>
              <w:t xml:space="preserve">Header Name</w:t>
            </w:r>
          </w:p>
        </w:tc>
        <w:tc>
          <w:tcPr>
            <w:tcW w:type="dxa" w:w="2500"/>
            <w:tcBorders>
              <w:top w:val="single" w:color="CCCCCC" w:sz="1"/>
              <w:left w:val="single" w:color="CCCCCC" w:sz="1"/>
              <w:bottom w:val="single" w:color="CCCCCC" w:sz="1"/>
              <w:right w:val="single" w:color="CCCCCC" w:sz="1"/>
            </w:tcBorders>
            <w:shd w:fill="1E4D78" w:val="clear"/>
            <w:tcMar>
              <w:top w:type="dxa" w:w="60"/>
              <w:left w:type="dxa" w:w="100"/>
              <w:bottom w:type="dxa" w:w="60"/>
              <w:right w:type="dxa" w:w="100"/>
            </w:tcMar>
          </w:tcPr>
          <w:p>
            <w:r>
              <w:rPr>
                <w:rFonts w:ascii="Arial" w:cs="Arial" w:eastAsia="Arial" w:hAnsi="Arial"/>
                <w:b/>
                <w:bCs/>
                <w:color w:val="FFFFFF"/>
                <w:sz w:val="20"/>
                <w:szCs w:val="20"/>
              </w:rPr>
              <w:t xml:space="preserve">Field Group</w:t>
            </w:r>
          </w:p>
        </w:tc>
        <w:tc>
          <w:tcPr>
            <w:tcW w:type="dxa" w:w="4360"/>
            <w:tcBorders>
              <w:top w:val="single" w:color="CCCCCC" w:sz="1"/>
              <w:left w:val="single" w:color="CCCCCC" w:sz="1"/>
              <w:bottom w:val="single" w:color="CCCCCC" w:sz="1"/>
              <w:right w:val="single" w:color="CCCCCC" w:sz="1"/>
            </w:tcBorders>
            <w:shd w:fill="1E4D78"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PRODUCT TYPE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Matching key</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Read by rebuildProductLogic() and the Resolver — must be spelled identically across every research tab</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PRODUCT</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Product identity</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Human-readable name; combined with attributes to form the Unique Lookup Key (DEC-019)</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CHOICE FIELD, COLOR, GENDER, SCENT, STYLE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Matching / choice fields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Whichever apply to a given product type — order does not matter, only the header text</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QTY PER STUDENT</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Quantity</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How many units each student receives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PRIMARY RETAILER, PRIMARY SKU, PRIMARY PRICE, PRIMARY URL, PRIMARY BRAND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Primary sourcing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Now Amazon for every category, not just Universal Products (DEC-060)</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BACKUP RETAILER, BACKUP SKU, BACKUP PRICE, BACKUP URL, BACKUP BRAND</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Backup sourcing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Optional, set per-SKU — not a category-wide fallback (DEC-060)</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TOTAL QUANTITY, TOTAL COST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Universal bulk math</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Used for Universal Bulk Order quantity and cost calculations</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LAST VERIFIED, PHASE 2B VERIFIED</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Verification tracking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Annual refresh checklist fields (Section 11)</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NOTES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Free text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Anything else worth flagging for the next researcher</w:t>
            </w:r>
          </w:p>
        </w:tc>
      </w:tr>
    </w:tbl>
    <w:p>
      <w:pPr>
        <w:spacing w:after="60"/>
      </w:pPr>
    </w:p>
    <w:p>
      <w:pPr>
        <w:spacing w:after="120"/>
      </w:pPr>
      <w:r>
        <w:rPr>
          <w:rFonts w:ascii="Arial" w:cs="Arial" w:eastAsia="Arial" w:hAnsi="Arial"/>
          <w:sz w:val="22"/>
          <w:szCs w:val="22"/>
        </w:rPr>
        <w:t xml:space="preserve">Use "--" for not-applicable fields to distinguish from missing data.</w:t>
      </w:r>
    </w:p>
    <w:p>
      <w:pPr>
        <w:pStyle w:val="Heading1"/>
        <w:spacing w:before="400" w:after="200"/>
      </w:pPr>
      <w:r>
        <w:rPr>
          <w:rFonts w:ascii="Arial" w:cs="Arial" w:eastAsia="Arial" w:hAnsi="Arial"/>
          <w:b/>
          <w:bCs/>
          <w:sz w:val="32"/>
          <w:szCs w:val="32"/>
        </w:rPr>
        <w:t xml:space="preserve">5. Product Research Workflow</w:t>
      </w:r>
    </w:p>
    <w:p>
      <w:pPr>
        <w:pStyle w:val="Heading2"/>
        <w:spacing w:before="300" w:after="150"/>
      </w:pPr>
      <w:r>
        <w:rPr>
          <w:rFonts w:ascii="Arial" w:cs="Arial" w:eastAsia="Arial" w:hAnsi="Arial"/>
          <w:b/>
          <w:bCs/>
          <w:sz w:val="28"/>
          <w:szCs w:val="28"/>
        </w:rPr>
        <w:t xml:space="preserve">5.1 Research Methodology</w:t>
      </w:r>
    </w:p>
    <w:p>
      <w:pPr>
        <w:spacing w:after="120"/>
      </w:pPr>
      <w:r>
        <w:rPr>
          <w:rFonts w:ascii="Arial" w:cs="Arial" w:eastAsia="Arial" w:hAnsi="Arial"/>
          <w:sz w:val="22"/>
          <w:szCs w:val="22"/>
        </w:rPr>
        <w:t xml:space="preserve">Product research follows a structured four-step process to ensure consistency and quality:</w:t>
      </w:r>
    </w:p>
    <w:p>
      <w:pPr>
        <w:pStyle w:val="Heading3"/>
        <w:spacing w:before="200" w:after="100"/>
      </w:pPr>
      <w:r>
        <w:rPr>
          <w:rFonts w:ascii="Arial" w:cs="Arial" w:eastAsia="Arial" w:hAnsi="Arial"/>
          <w:b/>
          <w:bCs/>
          <w:sz w:val="24"/>
          <w:szCs w:val="24"/>
        </w:rPr>
        <w:t xml:space="preserve">Step 1: Category Setup</w:t>
      </w:r>
    </w:p>
    <w:p>
      <w:pPr>
        <w:spacing w:after="120"/>
      </w:pPr>
      <w:r>
        <w:rPr>
          <w:rFonts w:ascii="Arial" w:cs="Arial" w:eastAsia="Arial" w:hAnsi="Arial"/>
          <w:sz w:val="22"/>
          <w:szCs w:val="22"/>
        </w:rPr>
        <w:t xml:space="preserve">Before researching products, establish the category parameters:</w:t>
      </w:r>
    </w:p>
    <w:p>
      <w:pPr>
        <w:pStyle w:val="ListParagraph"/>
        <w:numPr>
          <w:ilvl w:val="0"/>
          <w:numId w:val="2"/>
        </w:numPr>
        <w:spacing w:after="80"/>
      </w:pPr>
      <w:r>
        <w:rPr>
          <w:rFonts w:ascii="Arial" w:cs="Arial" w:eastAsia="Arial" w:hAnsi="Arial"/>
          <w:sz w:val="22"/>
          <w:szCs w:val="22"/>
        </w:rPr>
        <w:t xml:space="preserve">Define product types needed (e.g., Sheet Set, Duvet Cover, Comforter for Bedding)</w:t>
      </w:r>
    </w:p>
    <w:p>
      <w:pPr>
        <w:pStyle w:val="ListParagraph"/>
        <w:numPr>
          <w:ilvl w:val="0"/>
          <w:numId w:val="2"/>
        </w:numPr>
        <w:spacing w:after="80"/>
      </w:pPr>
      <w:r>
        <w:rPr>
          <w:rFonts w:ascii="Arial" w:cs="Arial" w:eastAsia="Arial" w:hAnsi="Arial"/>
          <w:sz w:val="22"/>
          <w:szCs w:val="22"/>
        </w:rPr>
        <w:t xml:space="preserve">Identify choice fields students will select (color, firmness, scent, size)</w:t>
      </w:r>
    </w:p>
    <w:p>
      <w:pPr>
        <w:pStyle w:val="ListParagraph"/>
        <w:numPr>
          <w:ilvl w:val="0"/>
          <w:numId w:val="2"/>
        </w:numPr>
        <w:spacing w:after="80"/>
      </w:pPr>
      <w:r>
        <w:rPr>
          <w:rFonts w:ascii="Arial" w:cs="Arial" w:eastAsia="Arial" w:hAnsi="Arial"/>
          <w:sz w:val="22"/>
          <w:szCs w:val="22"/>
        </w:rPr>
        <w:t xml:space="preserve">Set budget allocation for the category</w:t>
      </w:r>
    </w:p>
    <w:p>
      <w:pPr>
        <w:pStyle w:val="ListParagraph"/>
        <w:numPr>
          <w:ilvl w:val="0"/>
          <w:numId w:val="2"/>
        </w:numPr>
        <w:spacing w:after="80"/>
      </w:pPr>
      <w:r>
        <w:rPr>
          <w:rFonts w:ascii="Arial" w:cs="Arial" w:eastAsia="Arial" w:hAnsi="Arial"/>
          <w:sz w:val="22"/>
          <w:szCs w:val="22"/>
        </w:rPr>
        <w:t xml:space="preserve">Confirm Amazon as primary retailer for all categories (DEC-060); research a per-SKU backup retailer where a reasonable alternative exists</w:t>
      </w:r>
    </w:p>
    <w:p>
      <w:pPr>
        <w:pStyle w:val="Heading3"/>
        <w:spacing w:before="200" w:after="100"/>
      </w:pPr>
      <w:r>
        <w:rPr>
          <w:rFonts w:ascii="Arial" w:cs="Arial" w:eastAsia="Arial" w:hAnsi="Arial"/>
          <w:b/>
          <w:bCs/>
          <w:sz w:val="24"/>
          <w:szCs w:val="24"/>
        </w:rPr>
        <w:t xml:space="preserve">Step 2: Product Identification</w:t>
      </w:r>
    </w:p>
    <w:p>
      <w:pPr>
        <w:spacing w:after="120"/>
      </w:pPr>
      <w:r>
        <w:rPr>
          <w:rFonts w:ascii="Arial" w:cs="Arial" w:eastAsia="Arial" w:hAnsi="Arial"/>
          <w:sz w:val="22"/>
          <w:szCs w:val="22"/>
        </w:rPr>
        <w:t xml:space="preserve">For each product type, identify candidates using these criteria:</w:t>
      </w:r>
    </w:p>
    <w:p>
      <w:pPr>
        <w:pStyle w:val="ListParagraph"/>
        <w:numPr>
          <w:ilvl w:val="0"/>
          <w:numId w:val="2"/>
        </w:numPr>
        <w:spacing w:after="80"/>
      </w:pPr>
      <w:r>
        <w:rPr>
          <w:rFonts w:ascii="Arial" w:cs="Arial" w:eastAsia="Arial" w:hAnsi="Arial"/>
          <w:sz w:val="22"/>
          <w:szCs w:val="22"/>
        </w:rPr>
        <w:t xml:space="preserve">Mid-tier quality: Not bottom-shelf charity items, not premium luxury</w:t>
      </w:r>
    </w:p>
    <w:p>
      <w:pPr>
        <w:pStyle w:val="ListParagraph"/>
        <w:numPr>
          <w:ilvl w:val="0"/>
          <w:numId w:val="2"/>
        </w:numPr>
        <w:spacing w:after="80"/>
      </w:pPr>
      <w:r>
        <w:rPr>
          <w:rFonts w:ascii="Arial" w:cs="Arial" w:eastAsia="Arial" w:hAnsi="Arial"/>
          <w:sz w:val="22"/>
          <w:szCs w:val="22"/>
        </w:rPr>
        <w:t xml:space="preserve">Brand selection: no fixed house-brand list — verify quality, reviews (≥50, ≥3.5★), and availability per product on Amazon. Recent picks include Lane Linen, Utopia Bedding, Amazon Basics, and Native</w:t>
      </w:r>
    </w:p>
    <w:p>
      <w:pPr>
        <w:pStyle w:val="ListParagraph"/>
        <w:numPr>
          <w:ilvl w:val="0"/>
          <w:numId w:val="2"/>
        </w:numPr>
        <w:spacing w:after="80"/>
      </w:pPr>
      <w:r>
        <w:rPr>
          <w:rFonts w:ascii="Arial" w:cs="Arial" w:eastAsia="Arial" w:hAnsi="Arial"/>
          <w:sz w:val="22"/>
          <w:szCs w:val="22"/>
        </w:rPr>
        <w:t xml:space="preserve">Consistent availability: Products likely to remain in stock through fulfillment</w:t>
      </w:r>
    </w:p>
    <w:p>
      <w:pPr>
        <w:pStyle w:val="ListParagraph"/>
        <w:numPr>
          <w:ilvl w:val="0"/>
          <w:numId w:val="2"/>
        </w:numPr>
        <w:spacing w:after="80"/>
      </w:pPr>
      <w:r>
        <w:rPr>
          <w:rFonts w:ascii="Arial" w:cs="Arial" w:eastAsia="Arial" w:hAnsi="Arial"/>
          <w:sz w:val="22"/>
          <w:szCs w:val="22"/>
        </w:rPr>
        <w:t xml:space="preserve">Color/style coordination: Options that work together aesthetically</w:t>
      </w:r>
    </w:p>
    <w:p>
      <w:pPr>
        <w:pStyle w:val="ListParagraph"/>
        <w:numPr>
          <w:ilvl w:val="0"/>
          <w:numId w:val="2"/>
        </w:numPr>
        <w:spacing w:after="80"/>
      </w:pPr>
      <w:r>
        <w:rPr>
          <w:rFonts w:ascii="Arial" w:cs="Arial" w:eastAsia="Arial" w:hAnsi="Arial"/>
          <w:sz w:val="22"/>
          <w:szCs w:val="22"/>
        </w:rPr>
        <w:t xml:space="preserve">Twin XL sizing: Required for college dorm beds</w:t>
      </w:r>
    </w:p>
    <w:p>
      <w:pPr>
        <w:pStyle w:val="Heading3"/>
        <w:spacing w:before="200" w:after="100"/>
      </w:pPr>
      <w:r>
        <w:rPr>
          <w:rFonts w:ascii="Arial" w:cs="Arial" w:eastAsia="Arial" w:hAnsi="Arial"/>
          <w:b/>
          <w:bCs/>
          <w:sz w:val="24"/>
          <w:szCs w:val="24"/>
        </w:rPr>
        <w:t xml:space="preserve">Step 3: Data Collection</w:t>
      </w:r>
    </w:p>
    <w:p>
      <w:pPr>
        <w:spacing w:after="120"/>
      </w:pPr>
      <w:r>
        <w:rPr>
          <w:rFonts w:ascii="Arial" w:cs="Arial" w:eastAsia="Arial" w:hAnsi="Arial"/>
          <w:sz w:val="22"/>
          <w:szCs w:val="22"/>
        </w:rPr>
        <w:t xml:space="preserve">For each product, capture the following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3360"/>
      </w:tblGrid>
      <w:tr>
        <w:tc>
          <w:tcPr>
            <w:tcW w:type="dxa" w:w="2500"/>
            <w:tcBorders>
              <w:top w:val="single" w:color="CCCCCC" w:sz="1"/>
              <w:left w:val="single" w:color="CCCCCC" w:sz="1"/>
              <w:bottom w:val="single" w:color="CCCCCC" w:sz="1"/>
              <w:right w:val="single" w:color="CCCCCC" w:sz="1"/>
            </w:tcBorders>
            <w:shd w:fill="1E4D78"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2500"/>
            <w:tcBorders>
              <w:top w:val="single" w:color="CCCCCC" w:sz="1"/>
              <w:left w:val="single" w:color="CCCCCC" w:sz="1"/>
              <w:bottom w:val="single" w:color="CCCCCC" w:sz="1"/>
              <w:right w:val="single" w:color="CCCCCC" w:sz="1"/>
            </w:tcBorders>
            <w:shd w:fill="1E4D78" w:val="clear"/>
            <w:tcMar>
              <w:top w:type="dxa" w:w="60"/>
              <w:left w:type="dxa" w:w="100"/>
              <w:bottom w:type="dxa" w:w="60"/>
              <w:right w:type="dxa" w:w="100"/>
            </w:tcMar>
          </w:tcPr>
          <w:p>
            <w:r>
              <w:rPr>
                <w:rFonts w:ascii="Arial" w:cs="Arial" w:eastAsia="Arial" w:hAnsi="Arial"/>
                <w:b/>
                <w:bCs/>
                <w:color w:val="FFFFFF"/>
                <w:sz w:val="20"/>
                <w:szCs w:val="20"/>
              </w:rPr>
              <w:t xml:space="preserve">Source</w:t>
            </w:r>
          </w:p>
        </w:tc>
        <w:tc>
          <w:tcPr>
            <w:tcW w:type="dxa" w:w="3360"/>
            <w:tcBorders>
              <w:top w:val="single" w:color="CCCCCC" w:sz="1"/>
              <w:left w:val="single" w:color="CCCCCC" w:sz="1"/>
              <w:bottom w:val="single" w:color="CCCCCC" w:sz="1"/>
              <w:right w:val="single" w:color="CCCCCC" w:sz="1"/>
            </w:tcBorders>
            <w:shd w:fill="1E4D78" w:val="clear"/>
            <w:tcMar>
              <w:top w:type="dxa" w:w="60"/>
              <w:left w:type="dxa" w:w="100"/>
              <w:bottom w:type="dxa" w:w="60"/>
              <w:right w:type="dxa" w:w="100"/>
            </w:tcMar>
          </w:tcPr>
          <w:p>
            <w:r>
              <w:rPr>
                <w:rFonts w:ascii="Arial" w:cs="Arial" w:eastAsia="Arial" w:hAnsi="Arial"/>
                <w:b/>
                <w:bCs/>
                <w:color w:val="FFFFFF"/>
                <w:sz w:val="20"/>
                <w:szCs w:val="20"/>
              </w:rPr>
              <w:t xml:space="preserve">Example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Product Name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Retailer website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Lane Linen 400TC Cotton Sheet Set</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Product Type</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Standardized list</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Sheet Set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Choice Field(s)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Available options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Classic White / Soft Gray / Navy Blue</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Primary Retailer</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Amazon</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Amazon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Brand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Product listing</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Lane Linen</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SKU</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Product page URL</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84795432</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Unit Price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Current price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$24.50</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URL</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Direct product link</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https://amazon.com/dp/...</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Backup Retailer Info</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Backup retailer (if applicable, per BACKUP RETAILER column)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Backup retailer URL, SKU, price (if identified during research)</w:t>
            </w:r>
          </w:p>
        </w:tc>
      </w:tr>
    </w:tbl>
    <w:p>
      <w:pPr>
        <w:pStyle w:val="Heading3"/>
        <w:spacing w:before="200" w:after="100"/>
      </w:pPr>
      <w:r>
        <w:rPr>
          <w:rFonts w:ascii="Arial" w:cs="Arial" w:eastAsia="Arial" w:hAnsi="Arial"/>
          <w:b/>
          <w:bCs/>
          <w:sz w:val="24"/>
          <w:szCs w:val="24"/>
        </w:rPr>
        <w:t xml:space="preserve">Step 4: Verification and Entry</w:t>
      </w:r>
    </w:p>
    <w:p>
      <w:pPr>
        <w:spacing w:after="120"/>
      </w:pPr>
      <w:r>
        <w:rPr>
          <w:rFonts w:ascii="Arial" w:cs="Arial" w:eastAsia="Arial" w:hAnsi="Arial"/>
          <w:sz w:val="22"/>
          <w:szCs w:val="22"/>
        </w:rPr>
        <w:t xml:space="preserve">Before adding to the database:</w:t>
      </w:r>
    </w:p>
    <w:p>
      <w:pPr>
        <w:pStyle w:val="ListParagraph"/>
        <w:numPr>
          <w:ilvl w:val="0"/>
          <w:numId w:val="3"/>
        </w:numPr>
        <w:spacing w:after="80"/>
      </w:pPr>
      <w:r>
        <w:rPr>
          <w:rFonts w:ascii="Arial" w:cs="Arial" w:eastAsia="Arial" w:hAnsi="Arial"/>
          <w:sz w:val="22"/>
          <w:szCs w:val="22"/>
        </w:rPr>
        <w:t xml:space="preserve">Verify URL loads correctly and matches product</w:t>
      </w:r>
    </w:p>
    <w:p>
      <w:pPr>
        <w:pStyle w:val="ListParagraph"/>
        <w:numPr>
          <w:ilvl w:val="0"/>
          <w:numId w:val="3"/>
        </w:numPr>
        <w:spacing w:after="80"/>
      </w:pPr>
      <w:r>
        <w:rPr>
          <w:rFonts w:ascii="Arial" w:cs="Arial" w:eastAsia="Arial" w:hAnsi="Arial"/>
          <w:sz w:val="22"/>
          <w:szCs w:val="22"/>
        </w:rPr>
        <w:t xml:space="preserve">Confirm price is current (note if on sale)</w:t>
      </w:r>
    </w:p>
    <w:p>
      <w:pPr>
        <w:pStyle w:val="ListParagraph"/>
        <w:numPr>
          <w:ilvl w:val="0"/>
          <w:numId w:val="3"/>
        </w:numPr>
        <w:spacing w:after="80"/>
      </w:pPr>
      <w:r>
        <w:rPr>
          <w:rFonts w:ascii="Arial" w:cs="Arial" w:eastAsia="Arial" w:hAnsi="Arial"/>
          <w:sz w:val="22"/>
          <w:szCs w:val="22"/>
        </w:rPr>
        <w:t xml:space="preserve">Check stock status (In Stock, Limited, Out of Stock)</w:t>
      </w:r>
    </w:p>
    <w:p>
      <w:pPr>
        <w:pStyle w:val="ListParagraph"/>
        <w:numPr>
          <w:ilvl w:val="0"/>
          <w:numId w:val="3"/>
        </w:numPr>
        <w:spacing w:after="80"/>
      </w:pPr>
      <w:r>
        <w:rPr>
          <w:rFonts w:ascii="Arial" w:cs="Arial" w:eastAsia="Arial" w:hAnsi="Arial"/>
          <w:sz w:val="22"/>
          <w:szCs w:val="22"/>
        </w:rPr>
        <w:t xml:space="preserve">Test that backup retailer has equivalent product</w:t>
      </w:r>
    </w:p>
    <w:p>
      <w:pPr>
        <w:pStyle w:val="ListParagraph"/>
        <w:numPr>
          <w:ilvl w:val="0"/>
          <w:numId w:val="3"/>
        </w:numPr>
        <w:spacing w:after="80"/>
      </w:pPr>
      <w:r>
        <w:rPr>
          <w:rFonts w:ascii="Arial" w:cs="Arial" w:eastAsia="Arial" w:hAnsi="Arial"/>
          <w:sz w:val="22"/>
          <w:szCs w:val="22"/>
        </w:rPr>
        <w:t xml:space="preserve">Enter data in research tab with Last Verified date</w:t>
      </w:r>
    </w:p>
    <w:p>
      <w:pPr>
        <w:pStyle w:val="Heading2"/>
        <w:spacing w:before="300" w:after="150"/>
      </w:pPr>
      <w:r>
        <w:rPr>
          <w:rFonts w:ascii="Arial" w:cs="Arial" w:eastAsia="Arial" w:hAnsi="Arial"/>
          <w:b/>
          <w:bCs/>
          <w:sz w:val="28"/>
          <w:szCs w:val="28"/>
        </w:rPr>
        <w:t xml:space="preserve">5.2 Quality Standards</w:t>
      </w:r>
    </w:p>
    <w:p>
      <w:pPr>
        <w:pStyle w:val="Heading3"/>
        <w:spacing w:before="200" w:after="100"/>
      </w:pPr>
      <w:r>
        <w:rPr>
          <w:rFonts w:ascii="Arial" w:cs="Arial" w:eastAsia="Arial" w:hAnsi="Arial"/>
          <w:b/>
          <w:bCs/>
          <w:sz w:val="24"/>
          <w:szCs w:val="24"/>
        </w:rPr>
        <w:t xml:space="preserve">The Mid-Tier Definition</w:t>
      </w:r>
    </w:p>
    <w:p>
      <w:pPr>
        <w:spacing w:after="120"/>
      </w:pPr>
      <w:r>
        <w:rPr>
          <w:rFonts w:ascii="Arial" w:cs="Arial" w:eastAsia="Arial" w:hAnsi="Arial"/>
          <w:sz w:val="22"/>
          <w:szCs w:val="22"/>
        </w:rPr>
        <w:t xml:space="preserve">Products should fall in the middle range of available options:</w:t>
      </w:r>
    </w:p>
    <w:p>
      <w:pPr>
        <w:pStyle w:val="ListParagraph"/>
        <w:numPr>
          <w:ilvl w:val="0"/>
          <w:numId w:val="2"/>
        </w:numPr>
        <w:spacing w:after="80"/>
      </w:pPr>
      <w:r>
        <w:rPr>
          <w:rFonts w:ascii="Arial" w:cs="Arial" w:eastAsia="Arial" w:hAnsi="Arial"/>
          <w:sz w:val="22"/>
          <w:szCs w:val="22"/>
        </w:rPr>
        <w:t xml:space="preserve">NOT bottom tier: Avoid the cheapest available options that look or feel cheap</w:t>
      </w:r>
    </w:p>
    <w:p>
      <w:pPr>
        <w:pStyle w:val="ListParagraph"/>
        <w:numPr>
          <w:ilvl w:val="0"/>
          <w:numId w:val="2"/>
        </w:numPr>
        <w:spacing w:after="80"/>
      </w:pPr>
      <w:r>
        <w:rPr>
          <w:rFonts w:ascii="Arial" w:cs="Arial" w:eastAsia="Arial" w:hAnsi="Arial"/>
          <w:sz w:val="22"/>
          <w:szCs w:val="22"/>
        </w:rPr>
        <w:t xml:space="preserve">NOT premium tier: Avoid luxury brands or features that exceed student needs</w:t>
      </w:r>
    </w:p>
    <w:p>
      <w:pPr>
        <w:pStyle w:val="ListParagraph"/>
        <w:numPr>
          <w:ilvl w:val="0"/>
          <w:numId w:val="2"/>
        </w:numPr>
        <w:spacing w:after="80"/>
      </w:pPr>
      <w:r>
        <w:rPr>
          <w:rFonts w:ascii="Arial" w:cs="Arial" w:eastAsia="Arial" w:hAnsi="Arial"/>
          <w:sz w:val="22"/>
          <w:szCs w:val="22"/>
        </w:rPr>
        <w:t xml:space="preserve">Target sweet spot: Products a typical college student would purchase for themselves</w:t>
      </w:r>
    </w:p>
    <w:p>
      <w:pPr>
        <w:pStyle w:val="Heading3"/>
        <w:spacing w:before="200" w:after="100"/>
      </w:pPr>
      <w:r>
        <w:rPr>
          <w:rFonts w:ascii="Arial" w:cs="Arial" w:eastAsia="Arial" w:hAnsi="Arial"/>
          <w:b/>
          <w:bCs/>
          <w:sz w:val="24"/>
          <w:szCs w:val="24"/>
        </w:rPr>
        <w:t xml:space="preserve">Brand Strategy by Category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000"/>
      </w:tblGrid>
      <w:tr>
        <w:tc>
          <w:tcPr>
            <w:tcW w:type="dxa" w:w="2000"/>
            <w:tcBorders>
              <w:top w:val="single" w:color="CCCCCC" w:sz="1"/>
              <w:left w:val="single" w:color="CCCCCC" w:sz="1"/>
              <w:bottom w:val="single" w:color="CCCCCC" w:sz="1"/>
              <w:right w:val="single" w:color="CCCCCC" w:sz="1"/>
            </w:tcBorders>
            <w:shd w:fill="1E4D78"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2200"/>
            <w:tcBorders>
              <w:top w:val="single" w:color="CCCCCC" w:sz="1"/>
              <w:left w:val="single" w:color="CCCCCC" w:sz="1"/>
              <w:bottom w:val="single" w:color="CCCCCC" w:sz="1"/>
              <w:right w:val="single" w:color="CCCCCC" w:sz="1"/>
            </w:tcBorders>
            <w:shd w:fill="1E4D78" w:val="clear"/>
            <w:tcMar>
              <w:top w:type="dxa" w:w="60"/>
              <w:left w:type="dxa" w:w="100"/>
              <w:bottom w:type="dxa" w:w="60"/>
              <w:right w:type="dxa" w:w="100"/>
            </w:tcMar>
          </w:tcPr>
          <w:p>
            <w:r>
              <w:rPr>
                <w:rFonts w:ascii="Arial" w:cs="Arial" w:eastAsia="Arial" w:hAnsi="Arial"/>
                <w:b/>
                <w:bCs/>
                <w:color w:val="FFFFFF"/>
                <w:sz w:val="20"/>
                <w:szCs w:val="20"/>
              </w:rPr>
              <w:t xml:space="preserve">Amazon — Representative Brands</w:t>
            </w:r>
          </w:p>
        </w:tc>
        <w:tc>
          <w:tcPr>
            <w:tcW w:type="dxa" w:w="2200"/>
            <w:tcBorders>
              <w:top w:val="single" w:color="CCCCCC" w:sz="1"/>
              <w:left w:val="single" w:color="CCCCCC" w:sz="1"/>
              <w:bottom w:val="single" w:color="CCCCCC" w:sz="1"/>
              <w:right w:val="single" w:color="CCCCCC" w:sz="1"/>
            </w:tcBorders>
            <w:shd w:fill="1E4D78" w:val="clear"/>
            <w:tcMar>
              <w:top w:type="dxa" w:w="60"/>
              <w:left w:type="dxa" w:w="100"/>
              <w:bottom w:type="dxa" w:w="60"/>
              <w:right w:type="dxa" w:w="100"/>
            </w:tcMar>
          </w:tcPr>
          <w:p>
            <w:r>
              <w:rPr>
                <w:rFonts w:ascii="Arial" w:cs="Arial" w:eastAsia="Arial" w:hAnsi="Arial"/>
                <w:b/>
                <w:bCs/>
                <w:color w:val="FFFFFF"/>
                <w:sz w:val="20"/>
                <w:szCs w:val="20"/>
              </w:rPr>
              <w:t xml:space="preserve">Backup Retailer Notes</w:t>
            </w:r>
          </w:p>
        </w:tc>
        <w:tc>
          <w:tcPr>
            <w:tcW w:type="dxa" w:w="2000"/>
            <w:tcBorders>
              <w:top w:val="single" w:color="CCCCCC" w:sz="1"/>
              <w:left w:val="single" w:color="CCCCCC" w:sz="1"/>
              <w:bottom w:val="single" w:color="CCCCCC" w:sz="1"/>
              <w:right w:val="single" w:color="CCCCCC" w:sz="1"/>
            </w:tcBorders>
            <w:shd w:fill="1E4D78"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Bedding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Lane Linen, Utopia Bedding, Amazon Basics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No category-wide backup — check per-SKU BACKUP RETAILER column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400TC sateen preferred</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Towels</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Utopia Bedding, Amazon Basics</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Check per-SKU BACKUP RETAILER column</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4-pack sets standard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Personal Care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Native, Every Man Jack, Amazon Basics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Walmart backup for Toothbrush/Toothpaste only (DEC-060) — check BACKUP RETAILER column per product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Gender-specific options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Storage/Organization</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Various Amazon sellers</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Check per-SKU BACKUP RETAILER column</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Neutral colors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Electronics (power strips)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Amazon Basics, Belkin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Check per-SKU BACKUP RETAILER column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Safety certified</w:t>
            </w:r>
          </w:p>
        </w:tc>
      </w:tr>
    </w:tbl>
    <w:p>
      <w:pPr>
        <w:pStyle w:val="Heading3"/>
        <w:spacing w:before="200" w:after="100"/>
      </w:pPr>
      <w:r>
        <w:rPr>
          <w:rFonts w:ascii="Arial" w:cs="Arial" w:eastAsia="Arial" w:hAnsi="Arial"/>
          <w:b/>
          <w:bCs/>
          <w:sz w:val="24"/>
          <w:szCs w:val="24"/>
        </w:rPr>
        <w:t xml:space="preserve">Products to Avoid</w:t>
      </w:r>
    </w:p>
    <w:p>
      <w:pPr>
        <w:pStyle w:val="ListParagraph"/>
        <w:numPr>
          <w:ilvl w:val="0"/>
          <w:numId w:val="2"/>
        </w:numPr>
        <w:spacing w:after="80"/>
      </w:pPr>
      <w:r>
        <w:rPr>
          <w:rFonts w:ascii="Arial" w:cs="Arial" w:eastAsia="Arial" w:hAnsi="Arial"/>
          <w:sz w:val="22"/>
          <w:szCs w:val="22"/>
        </w:rPr>
        <w:t xml:space="preserve">Marketplace/third-party sellers (inconsistent return policies)</w:t>
      </w:r>
    </w:p>
    <w:p>
      <w:pPr>
        <w:pStyle w:val="ListParagraph"/>
        <w:numPr>
          <w:ilvl w:val="0"/>
          <w:numId w:val="2"/>
        </w:numPr>
        <w:spacing w:after="80"/>
      </w:pPr>
      <w:r>
        <w:rPr>
          <w:rFonts w:ascii="Arial" w:cs="Arial" w:eastAsia="Arial" w:hAnsi="Arial"/>
          <w:sz w:val="22"/>
          <w:szCs w:val="22"/>
        </w:rPr>
        <w:t xml:space="preserve">Products with "limited time" or "seasonal" indicators</w:t>
      </w:r>
    </w:p>
    <w:p>
      <w:pPr>
        <w:pStyle w:val="ListParagraph"/>
        <w:numPr>
          <w:ilvl w:val="0"/>
          <w:numId w:val="2"/>
        </w:numPr>
        <w:spacing w:after="80"/>
      </w:pPr>
      <w:r>
        <w:rPr>
          <w:rFonts w:ascii="Arial" w:cs="Arial" w:eastAsia="Arial" w:hAnsi="Arial"/>
          <w:sz w:val="22"/>
          <w:szCs w:val="22"/>
        </w:rPr>
        <w:t xml:space="preserve">Items with fewer than 50 reviews or below 3.5 stars</w:t>
      </w:r>
    </w:p>
    <w:p>
      <w:pPr>
        <w:pStyle w:val="ListParagraph"/>
        <w:numPr>
          <w:ilvl w:val="0"/>
          <w:numId w:val="2"/>
        </w:numPr>
        <w:spacing w:after="80"/>
      </w:pPr>
      <w:r>
        <w:rPr>
          <w:rFonts w:ascii="Arial" w:cs="Arial" w:eastAsia="Arial" w:hAnsi="Arial"/>
          <w:sz w:val="22"/>
          <w:szCs w:val="22"/>
        </w:rPr>
        <w:t xml:space="preserve">Products from unfamiliar brands with no quality track record</w:t>
      </w:r>
    </w:p>
    <w:p>
      <w:pPr>
        <w:pStyle w:val="ListParagraph"/>
        <w:numPr>
          <w:ilvl w:val="0"/>
          <w:numId w:val="2"/>
        </w:numPr>
        <w:spacing w:after="80"/>
      </w:pPr>
      <w:r>
        <w:rPr>
          <w:rFonts w:ascii="Arial" w:cs="Arial" w:eastAsia="Arial" w:hAnsi="Arial"/>
          <w:sz w:val="22"/>
          <w:szCs w:val="22"/>
        </w:rPr>
        <w:t xml:space="preserve">Items requiring assembly beyond simple unpacking</w:t>
      </w:r>
    </w:p>
    <w:p>
      <w:pPr>
        <w:pStyle w:val="Heading1"/>
        <w:spacing w:before="400" w:after="200"/>
      </w:pPr>
      <w:r>
        <w:rPr>
          <w:rFonts w:ascii="Arial" w:cs="Arial" w:eastAsia="Arial" w:hAnsi="Arial"/>
          <w:b/>
          <w:bCs/>
          <w:sz w:val="32"/>
          <w:szCs w:val="32"/>
        </w:rPr>
        <w:t xml:space="preserve">6. Retailer Strategy</w:t>
      </w:r>
    </w:p>
    <w:p>
      <w:pPr>
        <w:pStyle w:val="Heading2"/>
        <w:spacing w:before="300" w:after="150"/>
      </w:pPr>
      <w:r>
        <w:rPr>
          <w:rFonts w:ascii="Arial" w:cs="Arial" w:eastAsia="Arial" w:hAnsi="Arial"/>
          <w:b/>
          <w:bCs/>
          <w:sz w:val="28"/>
          <w:szCs w:val="28"/>
        </w:rPr>
        <w:t xml:space="preserve">6.1 Retailer Hierarchy</w:t>
      </w:r>
    </w:p>
    <w:p>
      <w:pPr>
        <w:spacing w:after="120"/>
      </w:pPr>
      <w:r>
        <w:rPr>
          <w:rFonts w:ascii="Arial" w:cs="Arial" w:eastAsia="Arial" w:hAnsi="Arial"/>
          <w:sz w:val="22"/>
          <w:szCs w:val="22"/>
        </w:rPr>
        <w:t xml:space="preserve">Amazon is the primary retailer for every product category — choice items and universal items alike (DEC-060, confirmed July 20, 2026). This replaces the earlier Target-primary model; Target is no longer part of the sourcing path for any category.</w:t>
      </w:r>
    </w:p>
    <w:p>
      <w:pPr>
        <w:pStyle w:val="Heading3"/>
        <w:spacing w:before="200" w:after="100"/>
      </w:pPr>
      <w:r>
        <w:rPr>
          <w:rFonts w:ascii="Arial" w:cs="Arial" w:eastAsia="Arial" w:hAnsi="Arial"/>
          <w:b/>
          <w:bCs/>
          <w:sz w:val="24"/>
          <w:szCs w:val="24"/>
        </w:rPr>
        <w:t xml:space="preserve">Amazon (Primary for All Categories)</w:t>
      </w:r>
    </w:p>
    <w:p>
      <w:pPr>
        <w:spacing w:after="120"/>
      </w:pPr>
      <w:r>
        <w:rPr>
          <w:rFonts w:ascii="Arial" w:cs="Arial" w:eastAsia="Arial" w:hAnsi="Arial"/>
          <w:b/>
          <w:bCs/>
          <w:sz w:val="22"/>
          <w:szCs w:val="22"/>
        </w:rPr>
        <w:t xml:space="preserve">Use When: </w:t>
      </w:r>
      <w:r>
        <w:rPr>
          <w:rFonts w:ascii="Arial" w:cs="Arial" w:eastAsia="Arial" w:hAnsi="Arial"/>
          <w:sz w:val="22"/>
          <w:szCs w:val="22"/>
        </w:rPr>
        <w:t xml:space="preserve">Ordering anything — student-selected choice items (bedding, towels, personal care, accessories) and universal items alike</w:t>
      </w:r>
    </w:p>
    <w:p>
      <w:pPr>
        <w:spacing w:after="60"/>
      </w:pPr>
    </w:p>
    <w:p>
      <w:pPr>
        <w:spacing w:after="120"/>
      </w:pPr>
      <w:r>
        <w:rPr>
          <w:rFonts w:ascii="Arial" w:cs="Arial" w:eastAsia="Arial" w:hAnsi="Arial"/>
          <w:b/>
          <w:bCs/>
          <w:sz w:val="22"/>
          <w:szCs w:val="22"/>
        </w:rPr>
        <w:t xml:space="preserve">Why: </w:t>
      </w:r>
      <w:r>
        <w:rPr>
          <w:rFonts w:ascii="Arial" w:cs="Arial" w:eastAsia="Arial" w:hAnsi="Arial"/>
          <w:sz w:val="22"/>
          <w:szCs w:val="22"/>
        </w:rPr>
        <w:t xml:space="preserve">Single-retailer sourcing simplifies research and ordering. Coordinated product lines still ensure consistent quality regardless of color/style choice — a student choosing Navy gets the same quality as one choosing Gray, since both come from the same Amazon-listed product line. Amazon Business multi-address shipping also allows universal items to be bulk-ordered once per item type rather than once per student (see Amazon Business Multi-Address Ordering, below).</w:t>
      </w:r>
    </w:p>
    <w:p>
      <w:pPr>
        <w:spacing w:after="60"/>
      </w:pPr>
    </w:p>
    <w:p>
      <w:pPr>
        <w:spacing w:after="120"/>
      </w:pPr>
      <w:r>
        <w:rPr>
          <w:rFonts w:ascii="Arial" w:cs="Arial" w:eastAsia="Arial" w:hAnsi="Arial"/>
          <w:b/>
          <w:bCs/>
          <w:sz w:val="22"/>
          <w:szCs w:val="22"/>
        </w:rPr>
        <w:t xml:space="preserve">Preferred Brands: </w:t>
      </w:r>
      <w:r>
        <w:rPr>
          <w:rFonts w:ascii="Arial" w:cs="Arial" w:eastAsia="Arial" w:hAnsi="Arial"/>
          <w:sz w:val="22"/>
          <w:szCs w:val="22"/>
        </w:rPr>
        <w:t xml:space="preserve">No fixed house-brand list — verify quality and reviews per product during research (see 5.2 Quality Standards). Recent picks include Lane Linen, Utopia Bedding, and Amazon Basics.</w:t>
      </w:r>
    </w:p>
    <w:p>
      <w:pPr>
        <w:pStyle w:val="Heading3"/>
        <w:spacing w:before="200" w:after="100"/>
      </w:pPr>
      <w:r>
        <w:rPr>
          <w:rFonts w:ascii="Arial" w:cs="Arial" w:eastAsia="Arial" w:hAnsi="Arial"/>
          <w:b/>
          <w:bCs/>
          <w:sz w:val="24"/>
          <w:szCs w:val="24"/>
        </w:rPr>
        <w:t xml:space="preserve">Backup Retailers (Per-SKU Only)</w:t>
      </w:r>
    </w:p>
    <w:p>
      <w:pPr>
        <w:spacing w:after="120"/>
      </w:pPr>
      <w:r>
        <w:rPr>
          <w:rFonts w:ascii="Arial" w:cs="Arial" w:eastAsia="Arial" w:hAnsi="Arial"/>
          <w:b/>
          <w:bCs/>
          <w:sz w:val="22"/>
          <w:szCs w:val="22"/>
        </w:rPr>
        <w:t xml:space="preserve">Use When: </w:t>
      </w:r>
      <w:r>
        <w:rPr>
          <w:rFonts w:ascii="Arial" w:cs="Arial" w:eastAsia="Arial" w:hAnsi="Arial"/>
          <w:sz w:val="22"/>
          <w:szCs w:val="22"/>
        </w:rPr>
        <w:t xml:space="preserve">An individual Amazon-listed item is out of stock — check the BACKUP RETAILER / BACKUP SKU / BACKUP PRICE / BACKUP URL columns on that product's row, if populated (e.g., Toothbrush and Toothpaste currently list Walmart as backup)</w:t>
      </w:r>
    </w:p>
    <w:p>
      <w:pPr>
        <w:spacing w:after="60"/>
      </w:pPr>
    </w:p>
    <w:p>
      <w:pPr>
        <w:spacing w:after="120"/>
      </w:pPr>
      <w:r>
        <w:rPr>
          <w:rFonts w:ascii="Arial" w:cs="Arial" w:eastAsia="Arial" w:hAnsi="Arial"/>
          <w:b/>
          <w:bCs/>
          <w:sz w:val="22"/>
          <w:szCs w:val="22"/>
        </w:rPr>
        <w:t xml:space="preserve">Why: </w:t>
      </w:r>
      <w:r>
        <w:rPr>
          <w:rFonts w:ascii="Arial" w:cs="Arial" w:eastAsia="Arial" w:hAnsi="Arial"/>
          <w:sz w:val="22"/>
          <w:szCs w:val="22"/>
        </w:rPr>
        <w:t xml:space="preserve">Alternative sourcing maintains the fulfillment timeline when Amazon's listing fails — this is now a per-SKU exception rather than a category-wide backup hierarchy (DEC-060)</w:t>
      </w:r>
    </w:p>
    <w:p>
      <w:pPr>
        <w:spacing w:after="60"/>
      </w:pPr>
    </w:p>
    <w:p>
      <w:pPr>
        <w:spacing w:after="120"/>
      </w:pPr>
      <w:r>
        <w:rPr>
          <w:rFonts w:ascii="Arial" w:cs="Arial" w:eastAsia="Arial" w:hAnsi="Arial"/>
          <w:b/>
          <w:bCs/>
          <w:sz w:val="22"/>
          <w:szCs w:val="22"/>
        </w:rPr>
        <w:t xml:space="preserve">Preferred Brands: </w:t>
      </w:r>
      <w:r>
        <w:rPr>
          <w:rFonts w:ascii="Arial" w:cs="Arial" w:eastAsia="Arial" w:hAnsi="Arial"/>
          <w:sz w:val="22"/>
          <w:szCs w:val="22"/>
        </w:rPr>
        <w:t xml:space="preserve">Varies by product — whatever backup vendor was captured during research for that specific SKU</w:t>
      </w:r>
    </w:p>
    <w:p>
      <w:pPr>
        <w:spacing w:after="60"/>
      </w:pPr>
    </w:p>
    <w:p>
      <w:pPr>
        <w:spacing w:after="120"/>
      </w:pPr>
      <w:r>
        <w:rPr>
          <w:rFonts w:ascii="Arial" w:cs="Arial" w:eastAsia="Arial" w:hAnsi="Arial"/>
          <w:sz w:val="22"/>
          <w:szCs w:val="22"/>
        </w:rPr>
        <w:t xml:space="preserve">IMPORTANT: Capture a backup retailer URL/SKU during research phase wherever a reasonable alternative exists, so a backup is ready if the Amazon listing goes out of stock. Not every product needs one — use judgment per item.</w:t>
      </w:r>
    </w:p>
    <w:p>
      <w:pPr>
        <w:pStyle w:val="Heading3"/>
        <w:spacing w:before="200" w:after="100"/>
      </w:pPr>
      <w:r>
        <w:rPr>
          <w:rFonts w:ascii="Arial" w:cs="Arial" w:eastAsia="Arial" w:hAnsi="Arial"/>
          <w:b/>
          <w:bCs/>
          <w:sz w:val="24"/>
          <w:szCs w:val="24"/>
        </w:rPr>
        <w:t xml:space="preserve">Amazon Business Multi-Address Ordering (Universal Items)</w:t>
      </w:r>
    </w:p>
    <w:p>
      <w:pPr>
        <w:spacing w:after="120"/>
      </w:pPr>
      <w:r>
        <w:rPr>
          <w:rFonts w:ascii="Arial" w:cs="Arial" w:eastAsia="Arial" w:hAnsi="Arial"/>
          <w:b/>
          <w:bCs/>
          <w:sz w:val="22"/>
          <w:szCs w:val="22"/>
        </w:rPr>
        <w:t xml:space="preserve">Use When: </w:t>
      </w:r>
      <w:r>
        <w:rPr>
          <w:rFonts w:ascii="Arial" w:cs="Arial" w:eastAsia="Arial" w:hAnsi="Arial"/>
          <w:sz w:val="22"/>
          <w:szCs w:val="22"/>
        </w:rPr>
        <w:t xml:space="preserve">Ordering universal items that every student (or a defined subset — see Gender-Restricted Items, below) receives, with no student choice involved</w:t>
      </w:r>
    </w:p>
    <w:p>
      <w:pPr>
        <w:spacing w:after="60"/>
      </w:pPr>
    </w:p>
    <w:p>
      <w:pPr>
        <w:spacing w:after="120"/>
      </w:pPr>
      <w:r>
        <w:rPr>
          <w:rFonts w:ascii="Arial" w:cs="Arial" w:eastAsia="Arial" w:hAnsi="Arial"/>
          <w:b/>
          <w:bCs/>
          <w:sz w:val="22"/>
          <w:szCs w:val="22"/>
        </w:rPr>
        <w:t xml:space="preserve">Why: </w:t>
      </w:r>
      <w:r>
        <w:rPr>
          <w:rFonts w:ascii="Arial" w:cs="Arial" w:eastAsia="Arial" w:hAnsi="Arial"/>
          <w:sz w:val="22"/>
          <w:szCs w:val="22"/>
        </w:rPr>
        <w:t xml:space="preserve">Amazon Business multi-address shipping allows placing one order per item type that ships to every recipient automatically, instead of one order per student per item. Confirmed constraints (DEC-061): a Shared Address group must contain 50 or fewer addresses, and the feature caps total shipped quantity at 50 items per checkout (e.g., 1 item × 50 addresses, or 2 items × 25 addresses). Any universal item where Qty per Student × cohort size exceeds 50 must be split into multiple batches. At the 2026 cohort size (35 students), only items with Qty per Student ≥ 2 are affected — Pillow Protectors (qty 2) requires 2 batches (e.g., 25 addresses × 2 = 50, then the remaining 10 addresses × 2 = 20). This will affect more items as cohort size grows; build batch-count logic into planning once cohort size approaches 50 divided by the highest Qty per Student on any universal item.</w:t>
      </w:r>
    </w:p>
    <w:p>
      <w:pPr>
        <w:spacing w:after="60"/>
      </w:pPr>
    </w:p>
    <w:p>
      <w:pPr>
        <w:spacing w:after="120"/>
      </w:pPr>
      <w:r>
        <w:rPr>
          <w:rFonts w:ascii="Arial" w:cs="Arial" w:eastAsia="Arial" w:hAnsi="Arial"/>
          <w:b/>
          <w:bCs/>
          <w:sz w:val="22"/>
          <w:szCs w:val="22"/>
        </w:rPr>
        <w:t xml:space="preserve">Items: </w:t>
      </w:r>
      <w:r>
        <w:rPr>
          <w:rFonts w:ascii="Arial" w:cs="Arial" w:eastAsia="Arial" w:hAnsi="Arial"/>
          <w:sz w:val="22"/>
          <w:szCs w:val="22"/>
        </w:rPr>
        <w:t xml:space="preserve">28 items across 7 categories as of the 2026 cohort: Move-In Essentials (6), Storage (6), Desk (4), Cleaning (4), Laundry (4), Bedding (2), Personal Care (2). See the Universal Products and Universal Bulk Order tabs for the current list — do not treat this as an exhaustive or fixed catalog, as items are added or removed during Phase 2A research.</w:t>
      </w:r>
    </w:p>
    <w:p>
      <w:pPr>
        <w:spacing w:after="60"/>
      </w:pPr>
    </w:p>
    <w:p>
      <w:pPr>
        <w:spacing w:after="120"/>
      </w:pPr>
      <w:r>
        <w:rPr>
          <w:rFonts w:ascii="Arial" w:cs="Arial" w:eastAsia="Arial" w:hAnsi="Arial"/>
          <w:b/>
          <w:bCs/>
          <w:sz w:val="22"/>
          <w:szCs w:val="22"/>
        </w:rPr>
        <w:t xml:space="preserve">Special Case: </w:t>
      </w:r>
      <w:r>
        <w:rPr>
          <w:rFonts w:ascii="Arial" w:cs="Arial" w:eastAsia="Arial" w:hAnsi="Arial"/>
          <w:sz w:val="22"/>
          <w:szCs w:val="22"/>
        </w:rPr>
        <w:t xml:space="preserve">Gender-restricted universal items (e.g., Feminine Hygiene): the address list for the multi-address order must be built only from students matching the required gender — never the full cohort. On the Universal Bulk Order tab, a Gender Specific? column (populated by lookup against the source tab's GENDER field, not hardcoded to a product name) flags which rows need this filtering, and the Total Students formula counts only matching students from Student_Selections rather than using the flat cohort count (DEC-062). Do not assume Feminine Hygiene is the only such item going forward — check the Gender Specific? column each cycle.</w:t>
      </w:r>
    </w:p>
    <w:p>
      <w:pPr>
        <w:pStyle w:val="Heading3"/>
        <w:spacing w:before="200" w:after="100"/>
      </w:pPr>
      <w:r>
        <w:rPr>
          <w:rFonts w:ascii="Arial" w:cs="Arial" w:eastAsia="Arial" w:hAnsi="Arial"/>
          <w:b/>
          <w:bCs/>
          <w:sz w:val="24"/>
          <w:szCs w:val="24"/>
        </w:rPr>
        <w:t xml:space="preserve">Per-Student List Ordering (Choice Items)</w:t>
      </w:r>
    </w:p>
    <w:p>
      <w:pPr>
        <w:spacing w:after="120"/>
      </w:pPr>
      <w:r>
        <w:rPr>
          <w:rFonts w:ascii="Arial" w:cs="Arial" w:eastAsia="Arial" w:hAnsi="Arial"/>
          <w:sz w:val="22"/>
          <w:szCs w:val="22"/>
        </w:rPr>
        <w:t xml:space="preserve">Choice items (bedding, towels, personal care, accessories, and any choice-driven universal items) are ordered using one Amazon Business List per student. Each list merges Universal and Choice items into a single combined list, and a separate checkout is placed for each student. This replaces the previously considered Track A approach (Amazon “Ship to Multiple Addresses” for choice items), which was abandoned after direct confirmation with Amazon that manual address selection and per-item shipping instructions are still required at checkout regardless of the feature, and bulk-discount eligibility is uncertain (DEC-063). Revisit for 2027 if Amazon offers a better bulk mechanism for choice items.</w:t>
      </w:r>
    </w:p>
    <w:p>
      <w:pPr>
        <w:pStyle w:val="Heading3"/>
        <w:spacing w:before="200" w:after="100"/>
      </w:pPr>
      <w:r>
        <w:rPr>
          <w:rFonts w:ascii="Arial" w:cs="Arial" w:eastAsia="Arial" w:hAnsi="Arial"/>
          <w:b/>
          <w:bCs/>
          <w:sz w:val="24"/>
          <w:szCs w:val="24"/>
        </w:rPr>
        <w:t xml:space="preserve">Never Use</w:t>
      </w:r>
    </w:p>
    <w:p>
      <w:pPr>
        <w:pStyle w:val="ListParagraph"/>
        <w:numPr>
          <w:ilvl w:val="0"/>
          <w:numId w:val="2"/>
        </w:numPr>
        <w:spacing w:after="80"/>
      </w:pPr>
      <w:r>
        <w:rPr>
          <w:rFonts w:ascii="Arial" w:cs="Arial" w:eastAsia="Arial" w:hAnsi="Arial"/>
          <w:sz w:val="22"/>
          <w:szCs w:val="22"/>
        </w:rPr>
        <w:t xml:space="preserve">Marketplace/third-party sellers at any retailer</w:t>
      </w:r>
    </w:p>
    <w:p>
      <w:pPr>
        <w:pStyle w:val="ListParagraph"/>
        <w:numPr>
          <w:ilvl w:val="0"/>
          <w:numId w:val="2"/>
        </w:numPr>
        <w:spacing w:after="80"/>
      </w:pPr>
      <w:r>
        <w:rPr>
          <w:rFonts w:ascii="Arial" w:cs="Arial" w:eastAsia="Arial" w:hAnsi="Arial"/>
          <w:sz w:val="22"/>
          <w:szCs w:val="22"/>
        </w:rPr>
        <w:t xml:space="preserve">Reason: Return and exchange policies are inconsistent with third-party sellers</w:t>
      </w:r>
    </w:p>
    <w:p>
      <w:pPr>
        <w:pStyle w:val="Heading2"/>
        <w:spacing w:before="300" w:after="150"/>
      </w:pPr>
      <w:r>
        <w:rPr>
          <w:rFonts w:ascii="Arial" w:cs="Arial" w:eastAsia="Arial" w:hAnsi="Arial"/>
          <w:b/>
          <w:bCs/>
          <w:sz w:val="28"/>
          <w:szCs w:val="28"/>
        </w:rPr>
        <w:t xml:space="preserve">6.2 Decision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3860"/>
      </w:tblGrid>
      <w:tr>
        <w:tc>
          <w:tcPr>
            <w:tcW w:type="dxa" w:w="4500"/>
            <w:tcBorders>
              <w:top w:val="single" w:color="CCCCCC" w:sz="1"/>
              <w:left w:val="single" w:color="CCCCCC" w:sz="1"/>
              <w:bottom w:val="single" w:color="CCCCCC" w:sz="1"/>
              <w:right w:val="single" w:color="CCCCCC" w:sz="1"/>
            </w:tcBorders>
            <w:shd w:fill="1E4D78" w:val="clear"/>
            <w:tcMar>
              <w:top w:type="dxa" w:w="60"/>
              <w:left w:type="dxa" w:w="100"/>
              <w:bottom w:type="dxa" w:w="60"/>
              <w:right w:type="dxa" w:w="100"/>
            </w:tcMar>
          </w:tcPr>
          <w:p>
            <w:r>
              <w:rPr>
                <w:rFonts w:ascii="Arial" w:cs="Arial" w:eastAsia="Arial" w:hAnsi="Arial"/>
                <w:b/>
                <w:bCs/>
                <w:color w:val="FFFFFF"/>
                <w:sz w:val="20"/>
                <w:szCs w:val="20"/>
              </w:rPr>
              <w:t xml:space="preserve">Scenario</w:t>
            </w:r>
          </w:p>
        </w:tc>
        <w:tc>
          <w:tcPr>
            <w:tcW w:type="dxa" w:w="3860"/>
            <w:tcBorders>
              <w:top w:val="single" w:color="CCCCCC" w:sz="1"/>
              <w:left w:val="single" w:color="CCCCCC" w:sz="1"/>
              <w:bottom w:val="single" w:color="CCCCCC" w:sz="1"/>
              <w:right w:val="single" w:color="CCCCCC" w:sz="1"/>
            </w:tcBorders>
            <w:shd w:fill="1E4D78" w:val="clear"/>
            <w:tcMar>
              <w:top w:type="dxa" w:w="60"/>
              <w:left w:type="dxa" w:w="100"/>
              <w:bottom w:type="dxa" w:w="60"/>
              <w:right w:type="dxa" w:w="100"/>
            </w:tcMar>
          </w:tcPr>
          <w:p>
            <w:r>
              <w:rPr>
                <w:rFonts w:ascii="Arial" w:cs="Arial" w:eastAsia="Arial" w:hAnsi="Arial"/>
                <w:b/>
                <w:bCs/>
                <w:color w:val="FFFFFF"/>
                <w:sz w:val="20"/>
                <w:szCs w:val="20"/>
              </w:rPr>
              <w:t xml:space="preserve">Action</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Amazon item out of stock</w:t>
            </w:r>
          </w:p>
        </w:tc>
        <w:tc>
          <w:tcPr>
            <w:tcW w:type="dxa" w:w="3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Check that specific product’s BACKUP RETAILER / BACKUP SKU columns, if populated — not a category-wide fallback (DEC-060)</w:t>
            </w:r>
          </w:p>
        </w:tc>
      </w:tr>
      <w:tr>
        <w:tc>
          <w:tcPr>
            <w:tcW w:type="dxa" w:w="4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No backup listed and item out of stock</w:t>
            </w:r>
          </w:p>
        </w:tc>
        <w:tc>
          <w:tcPr>
            <w:tcW w:type="dxa" w:w="3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Research an alternative product on Amazon and document the exception</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Product has a GENDER value set on its research tab</w:t>
            </w:r>
          </w:p>
        </w:tc>
        <w:tc>
          <w:tcPr>
            <w:tcW w:type="dxa" w:w="3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Build its multi-address shipping list only from matching students — never ship it to the full cohort (see Gender-Restricted Items, above; DEC-062)</w:t>
            </w:r>
          </w:p>
        </w:tc>
      </w:tr>
      <w:tr>
        <w:tc>
          <w:tcPr>
            <w:tcW w:type="dxa" w:w="4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Qty per Student × cohort size exceeds 50 total units</w:t>
            </w:r>
          </w:p>
        </w:tc>
        <w:tc>
          <w:tcPr>
            <w:tcW w:type="dxa" w:w="3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Split into multiple multi-address batches (DEC-061)</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Marketplace/third-party sellers</w:t>
            </w:r>
          </w:p>
        </w:tc>
        <w:tc>
          <w:tcPr>
            <w:tcW w:type="dxa" w:w="3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Never use, regardless of price — return and exchange policies are inconsistent</w:t>
            </w:r>
          </w:p>
        </w:tc>
      </w:tr>
    </w:tbl>
    <w:p>
      <w:pPr>
        <w:pStyle w:val="Heading1"/>
        <w:spacing w:before="400" w:after="200"/>
      </w:pPr>
      <w:r>
        <w:rPr>
          <w:rFonts w:ascii="Arial" w:cs="Arial" w:eastAsia="Arial" w:hAnsi="Arial"/>
          <w:b/>
          <w:bCs/>
          <w:sz w:val="32"/>
          <w:szCs w:val="32"/>
        </w:rPr>
        <w:t xml:space="preserve">7. Matching Logic Reference</w:t>
      </w:r>
    </w:p>
    <w:p>
      <w:pPr>
        <w:pStyle w:val="Heading2"/>
        <w:spacing w:before="300" w:after="150"/>
      </w:pPr>
      <w:r>
        <w:rPr>
          <w:rFonts w:ascii="Arial" w:cs="Arial" w:eastAsia="Arial" w:hAnsi="Arial"/>
          <w:b/>
          <w:bCs/>
          <w:sz w:val="28"/>
          <w:szCs w:val="28"/>
        </w:rPr>
        <w:t xml:space="preserve">7.1 How the Resolver Works</w:t>
      </w:r>
    </w:p>
    <w:p>
      <w:pPr>
        <w:spacing w:after="120"/>
      </w:pPr>
      <w:r>
        <w:rPr>
          <w:rFonts w:ascii="Arial" w:cs="Arial" w:eastAsia="Arial" w:hAnsi="Arial"/>
          <w:sz w:val="22"/>
          <w:szCs w:val="22"/>
        </w:rPr>
        <w:t xml:space="preserve">The resolver is a Google Apps Script function that automatically triggers when a student submits the Pick Form. It reads the student's preferences and finds the matching product for each product type in the Product_Logic database.</w:t>
      </w:r>
    </w:p>
    <w:p>
      <w:pPr>
        <w:pStyle w:val="Heading3"/>
        <w:spacing w:before="200" w:after="100"/>
      </w:pPr>
      <w:r>
        <w:rPr>
          <w:rFonts w:ascii="Arial" w:cs="Arial" w:eastAsia="Arial" w:hAnsi="Arial"/>
          <w:b/>
          <w:bCs/>
          <w:sz w:val="24"/>
          <w:szCs w:val="24"/>
        </w:rPr>
        <w:t xml:space="preserve">Matching Criteria by Category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3360"/>
      </w:tblGrid>
      <w:tr>
        <w:tc>
          <w:tcPr>
            <w:tcW w:type="dxa" w:w="2500"/>
            <w:tcBorders>
              <w:top w:val="single" w:color="CCCCCC" w:sz="1"/>
              <w:left w:val="single" w:color="CCCCCC" w:sz="1"/>
              <w:bottom w:val="single" w:color="CCCCCC" w:sz="1"/>
              <w:right w:val="single" w:color="CCCCCC" w:sz="1"/>
            </w:tcBorders>
            <w:shd w:fill="1E4D78"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2500"/>
            <w:tcBorders>
              <w:top w:val="single" w:color="CCCCCC" w:sz="1"/>
              <w:left w:val="single" w:color="CCCCCC" w:sz="1"/>
              <w:bottom w:val="single" w:color="CCCCCC" w:sz="1"/>
              <w:right w:val="single" w:color="CCCCCC" w:sz="1"/>
            </w:tcBorders>
            <w:shd w:fill="1E4D78" w:val="clear"/>
            <w:tcMar>
              <w:top w:type="dxa" w:w="60"/>
              <w:left w:type="dxa" w:w="100"/>
              <w:bottom w:type="dxa" w:w="60"/>
              <w:right w:type="dxa" w:w="100"/>
            </w:tcMar>
          </w:tcPr>
          <w:p>
            <w:r>
              <w:rPr>
                <w:rFonts w:ascii="Arial" w:cs="Arial" w:eastAsia="Arial" w:hAnsi="Arial"/>
                <w:b/>
                <w:bCs/>
                <w:color w:val="FFFFFF"/>
                <w:sz w:val="20"/>
                <w:szCs w:val="20"/>
              </w:rPr>
              <w:t xml:space="preserve">Matching Fields</w:t>
            </w:r>
          </w:p>
        </w:tc>
        <w:tc>
          <w:tcPr>
            <w:tcW w:type="dxa" w:w="3360"/>
            <w:tcBorders>
              <w:top w:val="single" w:color="CCCCCC" w:sz="1"/>
              <w:left w:val="single" w:color="CCCCCC" w:sz="1"/>
              <w:bottom w:val="single" w:color="CCCCCC" w:sz="1"/>
              <w:right w:val="single" w:color="CCCCCC" w:sz="1"/>
            </w:tcBorders>
            <w:shd w:fill="1E4D78" w:val="clear"/>
            <w:tcMar>
              <w:top w:type="dxa" w:w="60"/>
              <w:left w:type="dxa" w:w="100"/>
              <w:bottom w:type="dxa" w:w="60"/>
              <w:right w:type="dxa" w:w="100"/>
            </w:tcMar>
          </w:tcPr>
          <w:p>
            <w:r>
              <w:rPr>
                <w:rFonts w:ascii="Arial" w:cs="Arial" w:eastAsia="Arial" w:hAnsi="Arial"/>
                <w:b/>
                <w:bCs/>
                <w:color w:val="FFFFFF"/>
                <w:sz w:val="20"/>
                <w:szCs w:val="20"/>
              </w:rPr>
              <w:t xml:space="preserve">Example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Bedding (Sheets)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Bedding Color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Navy Blue → Navy Sheet Set</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Bedding (Duvet)</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Bedding Color</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Navy Blue → Navy Duvet Cover</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Pillows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Pillow Firmness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Medium Support → Medium Pillow</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Towels</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Towel Color</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Rockridge Gray → Gray Towel Set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Body Wash</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Gender + Scent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Women + Fresh &amp; Clean → Women's Fresh Body Wash</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Deodorant</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Gender + Scent + Type</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Men + Unscented + Stick → Men's Unscented Stick</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Razors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Gender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Women → Women's Razor Handle + Refills</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Shaving Cream</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Gender + Scent</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Men + Fresh &amp; Clean → Men's Fresh Shave Gel</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Slides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Style + Size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Modern + Medium 8-9 → Black Slides Size 8-9</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Toiletry Bag</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Style</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Cozy &amp; Warm → Warm-toned Toiletry Bag</w:t>
            </w:r>
          </w:p>
        </w:tc>
      </w:tr>
    </w:tbl>
    <w:p>
      <w:pPr>
        <w:pStyle w:val="Heading2"/>
        <w:spacing w:before="300" w:after="150"/>
      </w:pPr>
      <w:r>
        <w:rPr>
          <w:rFonts w:ascii="Arial" w:cs="Arial" w:eastAsia="Arial" w:hAnsi="Arial"/>
          <w:b/>
          <w:bCs/>
          <w:sz w:val="28"/>
          <w:szCs w:val="28"/>
        </w:rPr>
        <w:t xml:space="preserve">7.2 PNS (Prefer Not to Say) Fallback Rules</w:t>
      </w:r>
    </w:p>
    <w:p>
      <w:pPr>
        <w:spacing w:after="120"/>
      </w:pPr>
      <w:r>
        <w:rPr>
          <w:rFonts w:ascii="Arial" w:cs="Arial" w:eastAsia="Arial" w:hAnsi="Arial"/>
          <w:sz w:val="22"/>
          <w:szCs w:val="22"/>
        </w:rPr>
        <w:t xml:space="preserve">When a student selects "Prefer Not to Say" for gender, special fallback rules apply: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860"/>
      </w:tblGrid>
      <w:tr>
        <w:tc>
          <w:tcPr>
            <w:tcW w:type="dxa" w:w="2500"/>
            <w:tcBorders>
              <w:top w:val="single" w:color="CCCCCC" w:sz="1"/>
              <w:left w:val="single" w:color="CCCCCC" w:sz="1"/>
              <w:bottom w:val="single" w:color="CCCCCC" w:sz="1"/>
              <w:right w:val="single" w:color="CCCCCC" w:sz="1"/>
            </w:tcBorders>
            <w:shd w:fill="1E4D78" w:val="clear"/>
            <w:tcMar>
              <w:top w:type="dxa" w:w="60"/>
              <w:left w:type="dxa" w:w="100"/>
              <w:bottom w:type="dxa" w:w="60"/>
              <w:right w:type="dxa" w:w="100"/>
            </w:tcMar>
          </w:tcPr>
          <w:p>
            <w:r>
              <w:rPr>
                <w:rFonts w:ascii="Arial" w:cs="Arial" w:eastAsia="Arial" w:hAnsi="Arial"/>
                <w:b/>
                <w:bCs/>
                <w:color w:val="FFFFFF"/>
                <w:sz w:val="20"/>
                <w:szCs w:val="20"/>
              </w:rPr>
              <w:t xml:space="preserve">Product</w:t>
            </w:r>
          </w:p>
        </w:tc>
        <w:tc>
          <w:tcPr>
            <w:tcW w:type="dxa" w:w="3000"/>
            <w:tcBorders>
              <w:top w:val="single" w:color="CCCCCC" w:sz="1"/>
              <w:left w:val="single" w:color="CCCCCC" w:sz="1"/>
              <w:bottom w:val="single" w:color="CCCCCC" w:sz="1"/>
              <w:right w:val="single" w:color="CCCCCC" w:sz="1"/>
            </w:tcBorders>
            <w:shd w:fill="1E4D78" w:val="clear"/>
            <w:tcMar>
              <w:top w:type="dxa" w:w="60"/>
              <w:left w:type="dxa" w:w="100"/>
              <w:bottom w:type="dxa" w:w="60"/>
              <w:right w:type="dxa" w:w="100"/>
            </w:tcMar>
          </w:tcPr>
          <w:p>
            <w:r>
              <w:rPr>
                <w:rFonts w:ascii="Arial" w:cs="Arial" w:eastAsia="Arial" w:hAnsi="Arial"/>
                <w:b/>
                <w:bCs/>
                <w:color w:val="FFFFFF"/>
                <w:sz w:val="20"/>
                <w:szCs w:val="20"/>
              </w:rPr>
              <w:t xml:space="preserve">PNS Fallback</w:t>
            </w:r>
          </w:p>
        </w:tc>
        <w:tc>
          <w:tcPr>
            <w:tcW w:type="dxa" w:w="2860"/>
            <w:tcBorders>
              <w:top w:val="single" w:color="CCCCCC" w:sz="1"/>
              <w:left w:val="single" w:color="CCCCCC" w:sz="1"/>
              <w:bottom w:val="single" w:color="CCCCCC" w:sz="1"/>
              <w:right w:val="single" w:color="CCCCCC" w:sz="1"/>
            </w:tcBorders>
            <w:shd w:fill="1E4D78" w:val="clear"/>
            <w:tcMar>
              <w:top w:type="dxa" w:w="60"/>
              <w:left w:type="dxa" w:w="100"/>
              <w:bottom w:type="dxa" w:w="60"/>
              <w:right w:type="dxa" w:w="100"/>
            </w:tcMar>
          </w:tcPr>
          <w:p>
            <w:r>
              <w:rPr>
                <w:rFonts w:ascii="Arial" w:cs="Arial" w:eastAsia="Arial" w:hAnsi="Arial"/>
                <w:b/>
                <w:bCs/>
                <w:color w:val="FFFFFF"/>
                <w:sz w:val="20"/>
                <w:szCs w:val="20"/>
              </w:rPr>
              <w:t xml:space="preserve">Rationale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Body Wash</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Unisex + Unscented</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Override scent choice for safety</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Deodorant</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Regular Deodorant (not Antiperspirant) + Unisex + Unscented</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Safest default option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Shampoo/Conditioner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Unisex (already default)</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No change needed</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Razor Handle</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Unisex</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Gender-neutral option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Razor Refills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Must match Razor Handle gender</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Compatibility required</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Shaving Cream</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Unisex + Unscented</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Override scent choice for safety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Feminine Hygiene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Not included</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Only for Women selection</w:t>
            </w:r>
          </w:p>
        </w:tc>
      </w:tr>
    </w:tbl>
    <w:p>
      <w:pPr>
        <w:pStyle w:val="Heading2"/>
        <w:spacing w:before="300" w:after="150"/>
      </w:pPr>
      <w:r>
        <w:rPr>
          <w:rFonts w:ascii="Arial" w:cs="Arial" w:eastAsia="Arial" w:hAnsi="Arial"/>
          <w:b/>
          <w:bCs/>
          <w:sz w:val="28"/>
          <w:szCs w:val="28"/>
        </w:rPr>
        <w:t xml:space="preserve">7.3 Special Cases</w:t>
      </w:r>
    </w:p>
    <w:p>
      <w:pPr>
        <w:pStyle w:val="Heading3"/>
        <w:spacing w:before="200" w:after="100"/>
      </w:pPr>
      <w:r>
        <w:rPr>
          <w:rFonts w:ascii="Arial" w:cs="Arial" w:eastAsia="Arial" w:hAnsi="Arial"/>
          <w:b/>
          <w:bCs/>
          <w:sz w:val="24"/>
          <w:szCs w:val="24"/>
        </w:rPr>
        <w:t xml:space="preserve">Shampoo &amp; Conditioner</w:t>
      </w:r>
    </w:p>
    <w:p>
      <w:pPr>
        <w:spacing w:after="120"/>
      </w:pPr>
      <w:r>
        <w:rPr>
          <w:rFonts w:ascii="Arial" w:cs="Arial" w:eastAsia="Arial" w:hAnsi="Arial"/>
          <w:sz w:val="22"/>
          <w:szCs w:val="22"/>
        </w:rPr>
        <w:t xml:space="preserve">This product has a structural difference based on scent preference:</w:t>
      </w:r>
    </w:p>
    <w:p>
      <w:pPr>
        <w:pStyle w:val="ListParagraph"/>
        <w:numPr>
          <w:ilvl w:val="0"/>
          <w:numId w:val="2"/>
        </w:numPr>
        <w:spacing w:after="80"/>
      </w:pPr>
      <w:r>
        <w:rPr>
          <w:rFonts w:ascii="Arial" w:cs="Arial" w:eastAsia="Arial" w:hAnsi="Arial"/>
          <w:sz w:val="22"/>
          <w:szCs w:val="22"/>
        </w:rPr>
        <w:t xml:space="preserve">Scented options (Fresh &amp; Clean, Vanilla &amp; Botanicals): 1 combo set (shampoo + conditioner in one product)</w:t>
      </w:r>
    </w:p>
    <w:p>
      <w:pPr>
        <w:pStyle w:val="ListParagraph"/>
        <w:numPr>
          <w:ilvl w:val="0"/>
          <w:numId w:val="2"/>
        </w:numPr>
        <w:spacing w:after="80"/>
      </w:pPr>
      <w:r>
        <w:rPr>
          <w:rFonts w:ascii="Arial" w:cs="Arial" w:eastAsia="Arial" w:hAnsi="Arial"/>
          <w:sz w:val="22"/>
          <w:szCs w:val="22"/>
        </w:rPr>
        <w:t xml:space="preserve">Unscented option: 2 separate products (shampoo AND conditioner as individual items)</w:t>
      </w:r>
    </w:p>
    <w:p>
      <w:pPr>
        <w:spacing w:after="120"/>
      </w:pPr>
      <w:r>
        <w:rPr>
          <w:rFonts w:ascii="Arial" w:cs="Arial" w:eastAsia="Arial" w:hAnsi="Arial"/>
          <w:sz w:val="22"/>
          <w:szCs w:val="22"/>
        </w:rPr>
        <w:t xml:space="preserve">The resolver must handle this by including either 1 or 2 line items depending on scent selection.</w:t>
      </w:r>
    </w:p>
    <w:p>
      <w:pPr>
        <w:pStyle w:val="Heading3"/>
        <w:spacing w:before="200" w:after="100"/>
      </w:pPr>
      <w:r>
        <w:rPr>
          <w:rFonts w:ascii="Arial" w:cs="Arial" w:eastAsia="Arial" w:hAnsi="Arial"/>
          <w:b/>
          <w:bCs/>
          <w:sz w:val="24"/>
          <w:szCs w:val="24"/>
        </w:rPr>
        <w:t xml:space="preserve">Feminine Hygiene</w:t>
      </w:r>
    </w:p>
    <w:p>
      <w:pPr>
        <w:spacing w:after="120"/>
      </w:pPr>
      <w:r>
        <w:rPr>
          <w:rFonts w:ascii="Arial" w:cs="Arial" w:eastAsia="Arial" w:hAnsi="Arial"/>
          <w:sz w:val="22"/>
          <w:szCs w:val="22"/>
        </w:rPr>
        <w:t xml:space="preserve">Feminine hygiene products are automatically included ONLY when Gender Preference = "Women". They are not ordered for Men or PNS selections. These come from the Universal Products tab (same product for all, no choices).</w:t>
      </w:r>
    </w:p>
    <w:p>
      <w:pPr>
        <w:pStyle w:val="Heading3"/>
        <w:spacing w:before="200" w:after="100"/>
      </w:pPr>
      <w:r>
        <w:rPr>
          <w:rFonts w:ascii="Arial" w:cs="Arial" w:eastAsia="Arial" w:hAnsi="Arial"/>
          <w:b/>
          <w:bCs/>
          <w:sz w:val="24"/>
          <w:szCs w:val="24"/>
        </w:rPr>
        <w:t xml:space="preserve">Razor Handle + Refills Must Match</w:t>
      </w:r>
    </w:p>
    <w:p>
      <w:pPr>
        <w:spacing w:after="120"/>
      </w:pPr>
      <w:r>
        <w:rPr>
          <w:rFonts w:ascii="Arial" w:cs="Arial" w:eastAsia="Arial" w:hAnsi="Arial"/>
          <w:sz w:val="22"/>
          <w:szCs w:val="22"/>
        </w:rPr>
        <w:t xml:space="preserve">The resolver ensures razor refills match the razor handle gender. A mismatch (e.g., Women's handle with Men's refills) would result in incompatible products.</w:t>
      </w:r>
    </w:p>
    <w:p>
      <w:pPr>
        <w:pStyle w:val="Heading3"/>
        <w:spacing w:before="200" w:after="100"/>
      </w:pPr>
      <w:r>
        <w:rPr>
          <w:rFonts w:ascii="Arial" w:cs="Arial" w:eastAsia="Arial" w:hAnsi="Arial"/>
          <w:b/>
          <w:bCs/>
          <w:sz w:val="24"/>
          <w:szCs w:val="24"/>
        </w:rPr>
        <w:t xml:space="preserve">Vanilla &amp; Botanicals — Soft &amp; Floral Fallback</w:t>
      </w:r>
    </w:p>
    <w:p>
      <w:pPr>
        <w:spacing w:after="120"/>
      </w:pPr>
      <w:r>
        <w:rPr>
          <w:rFonts w:ascii="Arial" w:cs="Arial" w:eastAsia="Arial" w:hAnsi="Arial"/>
          <w:sz w:val="22"/>
          <w:szCs w:val="22"/>
        </w:rPr>
        <w:t xml:space="preserve">The intake form offers “Vanilla &amp; Botanicals” as a selectable Scent Preference. However, the Personal_Care catalog has no SKUs for this scent in four categories: Deodorant, Body Wash, Shampoo &amp; Conditioner Set, and Shaving Cream. When the resolver finds no catalog match for a Gender+Scent+Category combination, it silently drops the line item — no error is logged and nothing in Shopping_List or the order files indicates an item is missing. This is a known system limitation (see P-012 in PARKING_LOT.md).</w:t>
      </w:r>
    </w:p>
    <w:p>
      <w:pPr>
        <w:spacing w:after="120"/>
      </w:pPr>
      <w:r>
        <w:rPr>
          <w:rFonts w:ascii="Arial" w:cs="Arial" w:eastAsia="Arial" w:hAnsi="Arial"/>
          <w:sz w:val="22"/>
          <w:szCs w:val="22"/>
        </w:rPr>
        <w:t xml:space="preserve">Confirmed fallback rule (DEC-067): any student whose Scent Preference is “Vanilla &amp; Botanicals” receives Soft &amp; Floral products for all four affected categories. This fallback is consistent with a pre-existing catalog note on the Deodorant row and extends that logic to the other three categories. Confirmed SKUs (Women, Soft &amp; Floral): Deodorant — Native, B07GB1KJN3, $11.25; Body Wash — EOS, B0DPHQRLJC, $11.99; Shampoo &amp; Conditioner Set — Native, B0BBBSMV94, $19.99; Shaving Cream — EOS, B0CVCTQ1DK, $9.98.</w:t>
      </w:r>
    </w:p>
    <w:p>
      <w:pPr>
        <w:spacing w:after="120"/>
      </w:pPr>
      <w:r>
        <w:rPr>
          <w:rFonts w:ascii="Arial" w:cs="Arial" w:eastAsia="Arial" w:hAnsi="Arial"/>
          <w:sz w:val="22"/>
          <w:szCs w:val="22"/>
        </w:rPr>
        <w:t xml:space="preserve">IMPORTANT: This fallback must be applied manually to any Vanilla &amp; Botanicals student’s order file until the catalog gap is fixed at source. The resolver will not apply it automatically. Do not generate a Shopping List for a Vanilla &amp; Botanicals student without first verifying all four categories are present in their resolved output.</w:t>
      </w:r>
    </w:p>
    <w:p>
      <w:pPr>
        <w:pStyle w:val="Heading2"/>
        <w:spacing w:before="300" w:after="150"/>
      </w:pPr>
      <w:r>
        <w:rPr>
          <w:rFonts w:ascii="Arial" w:cs="Arial" w:eastAsia="Arial" w:hAnsi="Arial"/>
          <w:b/>
          <w:bCs/>
          <w:sz w:val="28"/>
          <w:szCs w:val="28"/>
        </w:rPr>
        <w:t xml:space="preserve">7.4 Troubleshooting Matching Issues</w:t>
      </w:r>
    </w:p>
    <w:p>
      <w:pPr>
        <w:spacing w:after="120"/>
      </w:pPr>
      <w:r>
        <w:rPr>
          <w:rFonts w:ascii="Arial" w:cs="Arial" w:eastAsia="Arial" w:hAnsi="Arial"/>
          <w:sz w:val="22"/>
          <w:szCs w:val="22"/>
        </w:rPr>
        <w:t xml:space="preserve">If the resolver fails to find a match, it logs an error to the Errors tab. Common causes: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860"/>
      </w:tblGrid>
      <w:tr>
        <w:tc>
          <w:tcPr>
            <w:tcW w:type="dxa" w:w="2500"/>
            <w:tcBorders>
              <w:top w:val="single" w:color="CCCCCC" w:sz="1"/>
              <w:left w:val="single" w:color="CCCCCC" w:sz="1"/>
              <w:bottom w:val="single" w:color="CCCCCC" w:sz="1"/>
              <w:right w:val="single" w:color="CCCCCC" w:sz="1"/>
            </w:tcBorders>
            <w:shd w:fill="1E4D78" w:val="clear"/>
            <w:tcMar>
              <w:top w:type="dxa" w:w="60"/>
              <w:left w:type="dxa" w:w="100"/>
              <w:bottom w:type="dxa" w:w="60"/>
              <w:right w:type="dxa" w:w="100"/>
            </w:tcMar>
          </w:tcPr>
          <w:p>
            <w:r>
              <w:rPr>
                <w:rFonts w:ascii="Arial" w:cs="Arial" w:eastAsia="Arial" w:hAnsi="Arial"/>
                <w:b/>
                <w:bCs/>
                <w:color w:val="FFFFFF"/>
                <w:sz w:val="20"/>
                <w:szCs w:val="20"/>
              </w:rPr>
              <w:t xml:space="preserve">Error</w:t>
            </w:r>
          </w:p>
        </w:tc>
        <w:tc>
          <w:tcPr>
            <w:tcW w:type="dxa" w:w="3000"/>
            <w:tcBorders>
              <w:top w:val="single" w:color="CCCCCC" w:sz="1"/>
              <w:left w:val="single" w:color="CCCCCC" w:sz="1"/>
              <w:bottom w:val="single" w:color="CCCCCC" w:sz="1"/>
              <w:right w:val="single" w:color="CCCCCC" w:sz="1"/>
            </w:tcBorders>
            <w:shd w:fill="1E4D78" w:val="clear"/>
            <w:tcMar>
              <w:top w:type="dxa" w:w="60"/>
              <w:left w:type="dxa" w:w="100"/>
              <w:bottom w:type="dxa" w:w="60"/>
              <w:right w:type="dxa" w:w="100"/>
            </w:tcMar>
          </w:tcPr>
          <w:p>
            <w:r>
              <w:rPr>
                <w:rFonts w:ascii="Arial" w:cs="Arial" w:eastAsia="Arial" w:hAnsi="Arial"/>
                <w:b/>
                <w:bCs/>
                <w:color w:val="FFFFFF"/>
                <w:sz w:val="20"/>
                <w:szCs w:val="20"/>
              </w:rPr>
              <w:t xml:space="preserve">Likely Cause</w:t>
            </w:r>
          </w:p>
        </w:tc>
        <w:tc>
          <w:tcPr>
            <w:tcW w:type="dxa" w:w="2860"/>
            <w:tcBorders>
              <w:top w:val="single" w:color="CCCCCC" w:sz="1"/>
              <w:left w:val="single" w:color="CCCCCC" w:sz="1"/>
              <w:bottom w:val="single" w:color="CCCCCC" w:sz="1"/>
              <w:right w:val="single" w:color="CCCCCC" w:sz="1"/>
            </w:tcBorders>
            <w:shd w:fill="1E4D78" w:val="clear"/>
            <w:tcMar>
              <w:top w:type="dxa" w:w="60"/>
              <w:left w:type="dxa" w:w="100"/>
              <w:bottom w:type="dxa" w:w="60"/>
              <w:right w:type="dxa" w:w="100"/>
            </w:tcMar>
          </w:tcPr>
          <w:p>
            <w:r>
              <w:rPr>
                <w:rFonts w:ascii="Arial" w:cs="Arial" w:eastAsia="Arial" w:hAnsi="Arial"/>
                <w:b/>
                <w:bCs/>
                <w:color w:val="FFFFFF"/>
                <w:sz w:val="20"/>
                <w:szCs w:val="20"/>
              </w:rPr>
              <w:t xml:space="preserve">Fix</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No matching product found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Product_Logic missing entry for combination</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Add product to research tab with correct criteria</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Multiple matches found</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Duplicate entries in Product_Logic</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Remove duplicate from research tab</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Student not found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Email mismatch between form and Student_Selections</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Verify email spelling in both locations</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NaN in tagging columns</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Array formula range too short</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Extend formula range to A2:Z100</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000000"/>
                <w:sz w:val="20"/>
                <w:szCs w:val="20"/>
              </w:rPr>
              <w:t xml:space="preserve">Scent/criteria combination with no catalog match</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000000"/>
                <w:sz w:val="20"/>
                <w:szCs w:val="20"/>
              </w:rPr>
              <w:t xml:space="preserve">Personal_Care catalog missing entry for Gender+Scent+Category combination — resolver silently drops line item (known limitation; see P-012)</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000000"/>
                <w:sz w:val="20"/>
                <w:szCs w:val="20"/>
              </w:rPr>
              <w:t xml:space="preserve">For Vanilla &amp; Botanicals: apply Soft &amp; Floral fallback manually (DEC-067). For other combinations: add missing product to research tab and rebuild Product Logic. Until P-012 is implemented, always diff resolved output against expected categories before generating Shopping List.</w:t>
            </w:r>
          </w:p>
        </w:tc>
      </w:tr>
    </w:tbl>
    <w:p>
      <w:pPr>
        <w:pStyle w:val="Heading1"/>
        <w:spacing w:before="400" w:after="200"/>
      </w:pPr>
      <w:r>
        <w:rPr>
          <w:rFonts w:ascii="Arial" w:cs="Arial" w:eastAsia="Arial" w:hAnsi="Arial"/>
          <w:b/>
          <w:bCs/>
          <w:sz w:val="32"/>
          <w:szCs w:val="32"/>
        </w:rPr>
        <w:t xml:space="preserve">8. Budget Management</w:t>
      </w:r>
    </w:p>
    <w:p>
      <w:pPr>
        <w:pStyle w:val="Heading2"/>
        <w:spacing w:before="300" w:after="150"/>
      </w:pPr>
      <w:r>
        <w:rPr>
          <w:rFonts w:ascii="Arial" w:cs="Arial" w:eastAsia="Arial" w:hAnsi="Arial"/>
          <w:b/>
          <w:bCs/>
          <w:sz w:val="28"/>
          <w:szCs w:val="28"/>
        </w:rPr>
        <w:t xml:space="preserve">8.1 Budget Tracking Methodology</w:t>
      </w:r>
    </w:p>
    <w:p>
      <w:pPr>
        <w:spacing w:after="120"/>
      </w:pPr>
      <w:r>
        <w:rPr>
          <w:rFonts w:ascii="Arial" w:cs="Arial" w:eastAsia="Arial" w:hAnsi="Arial"/>
          <w:sz w:val="22"/>
          <w:szCs w:val="22"/>
        </w:rPr>
        <w:t xml:space="preserve">The Budget Tracking tab monitors costs using AVERAGEIF formulas that calculate expected per-student costs for each category. This approach accounts for the fact that different students will select different options with varying prices.</w:t>
      </w:r>
    </w:p>
    <w:p>
      <w:pPr>
        <w:pStyle w:val="Heading3"/>
        <w:spacing w:before="200" w:after="100"/>
      </w:pPr>
      <w:r>
        <w:rPr>
          <w:rFonts w:ascii="Arial" w:cs="Arial" w:eastAsia="Arial" w:hAnsi="Arial"/>
          <w:b/>
          <w:bCs/>
          <w:sz w:val="24"/>
          <w:szCs w:val="24"/>
        </w:rPr>
        <w:t xml:space="preserve">Category Budget Formulas</w:t>
      </w:r>
    </w:p>
    <w:p>
      <w:pPr>
        <w:spacing w:after="120"/>
      </w:pPr>
      <w:r>
        <w:rPr>
          <w:rFonts w:ascii="Arial" w:cs="Arial" w:eastAsia="Arial" w:hAnsi="Arial"/>
          <w:sz w:val="22"/>
          <w:szCs w:val="22"/>
        </w:rPr>
        <w:t xml:space="preserve">Each research tab includes a Budget Summary section with formulas like: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2360"/>
      </w:tblGrid>
      <w:tr>
        <w:tc>
          <w:tcPr>
            <w:tcW w:type="dxa" w:w="2500"/>
            <w:tcBorders>
              <w:top w:val="single" w:color="CCCCCC" w:sz="1"/>
              <w:left w:val="single" w:color="CCCCCC" w:sz="1"/>
              <w:bottom w:val="single" w:color="CCCCCC" w:sz="1"/>
              <w:right w:val="single" w:color="CCCCCC" w:sz="1"/>
            </w:tcBorders>
            <w:shd w:fill="1E4D78"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3500"/>
            <w:tcBorders>
              <w:top w:val="single" w:color="CCCCCC" w:sz="1"/>
              <w:left w:val="single" w:color="CCCCCC" w:sz="1"/>
              <w:bottom w:val="single" w:color="CCCCCC" w:sz="1"/>
              <w:right w:val="single" w:color="CCCCCC" w:sz="1"/>
            </w:tcBorders>
            <w:shd w:fill="1E4D78" w:val="clear"/>
            <w:tcMar>
              <w:top w:type="dxa" w:w="60"/>
              <w:left w:type="dxa" w:w="100"/>
              <w:bottom w:type="dxa" w:w="60"/>
              <w:right w:type="dxa" w:w="100"/>
            </w:tcMar>
          </w:tcPr>
          <w:p>
            <w:r>
              <w:rPr>
                <w:rFonts w:ascii="Arial" w:cs="Arial" w:eastAsia="Arial" w:hAnsi="Arial"/>
                <w:b/>
                <w:bCs/>
                <w:color w:val="FFFFFF"/>
                <w:sz w:val="20"/>
                <w:szCs w:val="20"/>
              </w:rPr>
              <w:t xml:space="preserve">Formula Pattern</w:t>
            </w:r>
          </w:p>
        </w:tc>
        <w:tc>
          <w:tcPr>
            <w:tcW w:type="dxa" w:w="2360"/>
            <w:tcBorders>
              <w:top w:val="single" w:color="CCCCCC" w:sz="1"/>
              <w:left w:val="single" w:color="CCCCCC" w:sz="1"/>
              <w:bottom w:val="single" w:color="CCCCCC" w:sz="1"/>
              <w:right w:val="single" w:color="CCCCCC" w:sz="1"/>
            </w:tcBorders>
            <w:shd w:fill="1E4D78" w:val="clear"/>
            <w:tcMar>
              <w:top w:type="dxa" w:w="60"/>
              <w:left w:type="dxa" w:w="100"/>
              <w:bottom w:type="dxa" w:w="60"/>
              <w:right w:type="dxa" w:w="100"/>
            </w:tcMar>
          </w:tcPr>
          <w:p>
            <w:r>
              <w:rPr>
                <w:rFonts w:ascii="Arial" w:cs="Arial" w:eastAsia="Arial" w:hAnsi="Arial"/>
                <w:b/>
                <w:bCs/>
                <w:color w:val="FFFFFF"/>
                <w:sz w:val="20"/>
                <w:szCs w:val="20"/>
              </w:rPr>
              <w:t xml:space="preserve">Expected Result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Sheet Sets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=AVERAGEIF(B:B,"Sheet Set",L:L)</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Average price of all sheet set colors</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Duvet Covers</w:t>
            </w:r>
          </w:p>
        </w:tc>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=AVERAGEIF(B:B,"Duvet Cover",L:L)</w:t>
            </w:r>
          </w:p>
        </w:tc>
        <w:tc>
          <w:tcPr>
            <w:tcW w:type="dxa" w:w="2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Average price of all duvet cover colors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Pillows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=AVERAGEIF(B:B,"Pillow",G:G)</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Average price of all firmness options</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Body Wash</w:t>
            </w:r>
          </w:p>
        </w:tc>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=AVERAGEIF(A:A,"Body Wash",I:I)</w:t>
            </w:r>
          </w:p>
        </w:tc>
        <w:tc>
          <w:tcPr>
            <w:tcW w:type="dxa" w:w="2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Average across gender/scent combinations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Universal Items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=SUM(T:T)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Total of all universal product costs</w:t>
            </w:r>
          </w:p>
        </w:tc>
      </w:tr>
    </w:tbl>
    <w:p>
      <w:pPr>
        <w:pStyle w:val="Heading2"/>
        <w:spacing w:before="300" w:after="150"/>
      </w:pPr>
      <w:r>
        <w:rPr>
          <w:rFonts w:ascii="Arial" w:cs="Arial" w:eastAsia="Arial" w:hAnsi="Arial"/>
          <w:b/>
          <w:bCs/>
          <w:sz w:val="28"/>
          <w:szCs w:val="28"/>
        </w:rPr>
        <w:t xml:space="preserve">8.2 Budget Status Indicators</w:t>
      </w:r>
    </w:p>
    <w:p>
      <w:pPr>
        <w:spacing w:after="120"/>
      </w:pPr>
      <w:r>
        <w:rPr>
          <w:rFonts w:ascii="Arial" w:cs="Arial" w:eastAsia="Arial" w:hAnsi="Arial"/>
          <w:sz w:val="22"/>
          <w:szCs w:val="22"/>
        </w:rPr>
        <w:t xml:space="preserve">The Impact_Dashboard uses color-coded status indicators: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3360"/>
      </w:tblGrid>
      <w:tr>
        <w:tc>
          <w:tcPr>
            <w:tcW w:type="dxa" w:w="1800"/>
            <w:tcBorders>
              <w:top w:val="single" w:color="CCCCCC" w:sz="1"/>
              <w:left w:val="single" w:color="CCCCCC" w:sz="1"/>
              <w:bottom w:val="single" w:color="CCCCCC" w:sz="1"/>
              <w:right w:val="single" w:color="CCCCCC" w:sz="1"/>
            </w:tcBorders>
            <w:shd w:fill="1E4D78"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3200"/>
            <w:tcBorders>
              <w:top w:val="single" w:color="CCCCCC" w:sz="1"/>
              <w:left w:val="single" w:color="CCCCCC" w:sz="1"/>
              <w:bottom w:val="single" w:color="CCCCCC" w:sz="1"/>
              <w:right w:val="single" w:color="CCCCCC" w:sz="1"/>
            </w:tcBorders>
            <w:shd w:fill="1E4D78" w:val="clear"/>
            <w:tcMar>
              <w:top w:type="dxa" w:w="60"/>
              <w:left w:type="dxa" w:w="100"/>
              <w:bottom w:type="dxa" w:w="60"/>
              <w:right w:type="dxa" w:w="100"/>
            </w:tcMar>
          </w:tcPr>
          <w:p>
            <w:r>
              <w:rPr>
                <w:rFonts w:ascii="Arial" w:cs="Arial" w:eastAsia="Arial" w:hAnsi="Arial"/>
                <w:b/>
                <w:bCs/>
                <w:color w:val="FFFFFF"/>
                <w:sz w:val="20"/>
                <w:szCs w:val="20"/>
              </w:rPr>
              <w:t xml:space="preserve">Condition</w:t>
            </w:r>
          </w:p>
        </w:tc>
        <w:tc>
          <w:tcPr>
            <w:tcW w:type="dxa" w:w="3360"/>
            <w:tcBorders>
              <w:top w:val="single" w:color="CCCCCC" w:sz="1"/>
              <w:left w:val="single" w:color="CCCCCC" w:sz="1"/>
              <w:bottom w:val="single" w:color="CCCCCC" w:sz="1"/>
              <w:right w:val="single" w:color="CCCCCC" w:sz="1"/>
            </w:tcBorders>
            <w:shd w:fill="1E4D78" w:val="clear"/>
            <w:tcMar>
              <w:top w:type="dxa" w:w="60"/>
              <w:left w:type="dxa" w:w="100"/>
              <w:bottom w:type="dxa" w:w="60"/>
              <w:right w:type="dxa" w:w="100"/>
            </w:tcMar>
          </w:tcPr>
          <w:p>
            <w:r>
              <w:rPr>
                <w:rFonts w:ascii="Arial" w:cs="Arial" w:eastAsia="Arial" w:hAnsi="Arial"/>
                <w:b/>
                <w:bCs/>
                <w:color w:val="FFFFFF"/>
                <w:sz w:val="20"/>
                <w:szCs w:val="20"/>
              </w:rPr>
              <w:t xml:space="preserve">Action Required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Green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Under 70% of budget used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On track, no action needed</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Yellow</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70-80% of budget used</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Monitor closely, review high-cost items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Red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80-90% of budget used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Identify cost reduction opportunities</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Critical</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Over 90% of budget used</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Immediate review required, consider substitutions</w:t>
            </w:r>
          </w:p>
        </w:tc>
      </w:tr>
    </w:tbl>
    <w:p>
      <w:pPr>
        <w:pStyle w:val="Heading2"/>
        <w:spacing w:before="300" w:after="150"/>
      </w:pPr>
      <w:r>
        <w:rPr>
          <w:rFonts w:ascii="Arial" w:cs="Arial" w:eastAsia="Arial" w:hAnsi="Arial"/>
          <w:b/>
          <w:bCs/>
          <w:sz w:val="28"/>
          <w:szCs w:val="28"/>
        </w:rPr>
        <w:t xml:space="preserve">8.3 Sample Budget Rollup</w:t>
      </w:r>
    </w:p>
    <w:p>
      <w:pPr>
        <w:spacing w:after="120"/>
      </w:pPr>
      <w:r>
        <w:rPr>
          <w:rFonts w:ascii="Arial" w:cs="Arial" w:eastAsia="Arial" w:hAnsi="Arial"/>
          <w:sz w:val="22"/>
          <w:szCs w:val="22"/>
        </w:rPr>
        <w:t xml:space="preserve">Target budget breakdown for a typical student (actual will vary by selections):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2360"/>
      </w:tblGrid>
      <w:tr>
        <w:tc>
          <w:tcPr>
            <w:tcW w:type="dxa" w:w="4000"/>
            <w:tcBorders>
              <w:top w:val="single" w:color="CCCCCC" w:sz="1"/>
              <w:left w:val="single" w:color="CCCCCC" w:sz="1"/>
              <w:bottom w:val="single" w:color="CCCCCC" w:sz="1"/>
              <w:right w:val="single" w:color="CCCCCC" w:sz="1"/>
            </w:tcBorders>
            <w:shd w:fill="1E4D78"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2000"/>
            <w:tcBorders>
              <w:top w:val="single" w:color="CCCCCC" w:sz="1"/>
              <w:left w:val="single" w:color="CCCCCC" w:sz="1"/>
              <w:bottom w:val="single" w:color="CCCCCC" w:sz="1"/>
              <w:right w:val="single" w:color="CCCCCC" w:sz="1"/>
            </w:tcBorders>
            <w:shd w:fill="1E4D78" w:val="clear"/>
            <w:tcMar>
              <w:top w:type="dxa" w:w="60"/>
              <w:left w:type="dxa" w:w="100"/>
              <w:bottom w:type="dxa" w:w="60"/>
              <w:right w:type="dxa" w:w="100"/>
            </w:tcMar>
          </w:tcPr>
          <w:p>
            <w:r>
              <w:rPr>
                <w:rFonts w:ascii="Arial" w:cs="Arial" w:eastAsia="Arial" w:hAnsi="Arial"/>
                <w:b/>
                <w:bCs/>
                <w:color w:val="FFFFFF"/>
                <w:sz w:val="20"/>
                <w:szCs w:val="20"/>
              </w:rPr>
              <w:t xml:space="preserve">Expected Cost</w:t>
            </w:r>
          </w:p>
        </w:tc>
        <w:tc>
          <w:tcPr>
            <w:tcW w:type="dxa" w:w="2360"/>
            <w:tcBorders>
              <w:top w:val="single" w:color="CCCCCC" w:sz="1"/>
              <w:left w:val="single" w:color="CCCCCC" w:sz="1"/>
              <w:bottom w:val="single" w:color="CCCCCC" w:sz="1"/>
              <w:right w:val="single" w:color="CCCCCC" w:sz="1"/>
            </w:tcBorders>
            <w:shd w:fill="1E4D78"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Bedding (sheets + duvet + comforter)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~$78</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Varies by color choice</w:t>
            </w:r>
          </w:p>
        </w:tc>
      </w:tr>
      <w:tr>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Pillows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~$32</w:t>
            </w:r>
          </w:p>
        </w:tc>
        <w:tc>
          <w:tcPr>
            <w:tcW w:type="dxa" w:w="2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Varies by firmness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Towels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~$47</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Same price all colors</w:t>
            </w:r>
          </w:p>
        </w:tc>
      </w:tr>
      <w:tr>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Personal Care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~$77</w:t>
            </w:r>
          </w:p>
        </w:tc>
        <w:tc>
          <w:tcPr>
            <w:tcW w:type="dxa" w:w="2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Varies by gender/scent</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Style-Driven Accessories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~$37</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Toiletry bag + slides</w:t>
            </w:r>
          </w:p>
        </w:tc>
      </w:tr>
      <w:tr>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Universal Products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~$397</w:t>
            </w:r>
          </w:p>
        </w:tc>
        <w:tc>
          <w:tcPr>
            <w:tcW w:type="dxa" w:w="2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Same for all students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TOTAL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~$668</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Buffer of ~$82 under $750</w:t>
            </w:r>
          </w:p>
        </w:tc>
      </w:tr>
    </w:tbl>
    <w:p>
      <w:pPr>
        <w:pStyle w:val="Heading1"/>
        <w:spacing w:before="400" w:after="200"/>
      </w:pPr>
      <w:r>
        <w:rPr>
          <w:rFonts w:ascii="Arial" w:cs="Arial" w:eastAsia="Arial" w:hAnsi="Arial"/>
          <w:b/>
          <w:bCs/>
          <w:sz w:val="32"/>
          <w:szCs w:val="32"/>
        </w:rPr>
        <w:t xml:space="preserve">9. Pick Form Categories</w:t>
      </w:r>
    </w:p>
    <w:p>
      <w:pPr>
        <w:pStyle w:val="Heading2"/>
        <w:spacing w:before="300" w:after="150"/>
      </w:pPr>
      <w:r>
        <w:rPr>
          <w:rFonts w:ascii="Arial" w:cs="Arial" w:eastAsia="Arial" w:hAnsi="Arial"/>
          <w:b/>
          <w:bCs/>
          <w:sz w:val="28"/>
          <w:szCs w:val="28"/>
        </w:rPr>
        <w:t xml:space="preserve">9.1 Student Selection Categories</w:t>
      </w:r>
    </w:p>
    <w:p>
      <w:pPr>
        <w:spacing w:after="120"/>
      </w:pPr>
      <w:r>
        <w:rPr>
          <w:rFonts w:ascii="Arial" w:cs="Arial" w:eastAsia="Arial" w:hAnsi="Arial"/>
          <w:sz w:val="22"/>
          <w:szCs w:val="22"/>
        </w:rPr>
        <w:t xml:space="preserve">Students make selections across nine categories in the Customize Your Kit form: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2860"/>
      </w:tblGrid>
      <w:tr>
        <w:tc>
          <w:tcPr>
            <w:tcW w:type="dxa" w:w="2200"/>
            <w:tcBorders>
              <w:top w:val="single" w:color="CCCCCC" w:sz="1"/>
              <w:left w:val="single" w:color="CCCCCC" w:sz="1"/>
              <w:bottom w:val="single" w:color="CCCCCC" w:sz="1"/>
              <w:right w:val="single" w:color="CCCCCC" w:sz="1"/>
            </w:tcBorders>
            <w:shd w:fill="1E4D78"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3300"/>
            <w:tcBorders>
              <w:top w:val="single" w:color="CCCCCC" w:sz="1"/>
              <w:left w:val="single" w:color="CCCCCC" w:sz="1"/>
              <w:bottom w:val="single" w:color="CCCCCC" w:sz="1"/>
              <w:right w:val="single" w:color="CCCCCC" w:sz="1"/>
            </w:tcBorders>
            <w:shd w:fill="1E4D78" w:val="clear"/>
            <w:tcMar>
              <w:top w:type="dxa" w:w="60"/>
              <w:left w:type="dxa" w:w="100"/>
              <w:bottom w:type="dxa" w:w="60"/>
              <w:right w:type="dxa" w:w="100"/>
            </w:tcMar>
          </w:tcPr>
          <w:p>
            <w:r>
              <w:rPr>
                <w:rFonts w:ascii="Arial" w:cs="Arial" w:eastAsia="Arial" w:hAnsi="Arial"/>
                <w:b/>
                <w:bCs/>
                <w:color w:val="FFFFFF"/>
                <w:sz w:val="20"/>
                <w:szCs w:val="20"/>
              </w:rPr>
              <w:t xml:space="preserve">Options</w:t>
            </w:r>
          </w:p>
        </w:tc>
        <w:tc>
          <w:tcPr>
            <w:tcW w:type="dxa" w:w="2860"/>
            <w:tcBorders>
              <w:top w:val="single" w:color="CCCCCC" w:sz="1"/>
              <w:left w:val="single" w:color="CCCCCC" w:sz="1"/>
              <w:bottom w:val="single" w:color="CCCCCC" w:sz="1"/>
              <w:right w:val="single" w:color="CCCCCC" w:sz="1"/>
            </w:tcBorders>
            <w:shd w:fill="1E4D78" w:val="clear"/>
            <w:tcMar>
              <w:top w:type="dxa" w:w="60"/>
              <w:left w:type="dxa" w:w="100"/>
              <w:bottom w:type="dxa" w:w="60"/>
              <w:right w:type="dxa" w:w="100"/>
            </w:tcMar>
          </w:tcPr>
          <w:p>
            <w:r>
              <w:rPr>
                <w:rFonts w:ascii="Arial" w:cs="Arial" w:eastAsia="Arial" w:hAnsi="Arial"/>
                <w:b/>
                <w:bCs/>
                <w:color w:val="FFFFFF"/>
                <w:sz w:val="20"/>
                <w:szCs w:val="20"/>
              </w:rPr>
              <w:t xml:space="preserve">Affects Products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Bedding Color</w:t>
            </w:r>
          </w:p>
        </w:tc>
        <w:tc>
          <w:tcPr>
            <w:tcW w:type="dxa" w:w="3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Classic White, Soft Gray, Navy Blue, Warm Patterns</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Sheet sets, duvet covers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Pillow Firmness</w:t>
            </w:r>
          </w:p>
        </w:tc>
        <w:tc>
          <w:tcPr>
            <w:tcW w:type="dxa" w:w="3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Soft &amp; Plush, Medium Support, Firm Support</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Pillows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Towel Color</w:t>
            </w:r>
          </w:p>
        </w:tc>
        <w:tc>
          <w:tcPr>
            <w:tcW w:type="dxa" w:w="3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Multiple options including Rockridge Gray</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Towel sets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Scent Profile</w:t>
            </w:r>
          </w:p>
        </w:tc>
        <w:tc>
          <w:tcPr>
            <w:tcW w:type="dxa" w:w="3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Unscented, Fresh &amp; Clean, Vanilla &amp; Botanicals</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Body wash, shampoo, shaving cream, deodorant, laundry pods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Gender Preference</w:t>
            </w:r>
          </w:p>
        </w:tc>
        <w:tc>
          <w:tcPr>
            <w:tcW w:type="dxa" w:w="3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Men, Women, Prefer Not to Say</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Razors, shaving cream, deodorant, body wash</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Deodorant Type</w:t>
            </w:r>
          </w:p>
        </w:tc>
        <w:tc>
          <w:tcPr>
            <w:tcW w:type="dxa" w:w="3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Stick, Spray, etc.</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Deodorant product selection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Overall Style</w:t>
            </w:r>
          </w:p>
        </w:tc>
        <w:tc>
          <w:tcPr>
            <w:tcW w:type="dxa" w:w="3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Modern &amp; Minimalist, Cozy &amp; Warm, Bold &amp; Colorful</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Toiletry bag, slides, visible accessories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Slide Size</w:t>
            </w:r>
          </w:p>
        </w:tc>
        <w:tc>
          <w:tcPr>
            <w:tcW w:type="dxa" w:w="3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Small 6-7, Medium 8-9, Large 10-11, X-Large 12-13</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Shower slides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Shipping Address</w:t>
            </w:r>
          </w:p>
        </w:tc>
        <w:tc>
          <w:tcPr>
            <w:tcW w:type="dxa" w:w="3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Home address OR Campus address</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Delivery destination</w:t>
            </w:r>
          </w:p>
        </w:tc>
      </w:tr>
    </w:tbl>
    <w:p>
      <w:pPr>
        <w:pStyle w:val="Heading2"/>
        <w:spacing w:before="300" w:after="150"/>
      </w:pPr>
      <w:r>
        <w:rPr>
          <w:rFonts w:ascii="Arial" w:cs="Arial" w:eastAsia="Arial" w:hAnsi="Arial"/>
          <w:b/>
          <w:bCs/>
          <w:sz w:val="28"/>
          <w:szCs w:val="28"/>
        </w:rPr>
        <w:t xml:space="preserve">9.2 Form Features</w:t>
      </w:r>
    </w:p>
    <w:p>
      <w:pPr>
        <w:pStyle w:val="ListParagraph"/>
        <w:numPr>
          <w:ilvl w:val="0"/>
          <w:numId w:val="2"/>
        </w:numPr>
        <w:spacing w:after="80"/>
      </w:pPr>
      <w:r>
        <w:rPr>
          <w:rFonts w:ascii="Arial" w:cs="Arial" w:eastAsia="Arial" w:hAnsi="Arial"/>
          <w:sz w:val="22"/>
          <w:szCs w:val="22"/>
        </w:rPr>
        <w:t xml:space="preserve">Conditional logic shows/hides fields based on previous selections</w:t>
      </w:r>
    </w:p>
    <w:p>
      <w:pPr>
        <w:pStyle w:val="ListParagraph"/>
        <w:numPr>
          <w:ilvl w:val="0"/>
          <w:numId w:val="2"/>
        </w:numPr>
        <w:spacing w:after="80"/>
      </w:pPr>
      <w:r>
        <w:rPr>
          <w:rFonts w:ascii="Arial" w:cs="Arial" w:eastAsia="Arial" w:hAnsi="Arial"/>
          <w:sz w:val="22"/>
          <w:szCs w:val="22"/>
        </w:rPr>
        <w:t xml:space="preserve">Validation prevents submission with missing required fields</w:t>
      </w:r>
    </w:p>
    <w:p>
      <w:pPr>
        <w:pStyle w:val="ListParagraph"/>
        <w:numPr>
          <w:ilvl w:val="0"/>
          <w:numId w:val="2"/>
        </w:numPr>
        <w:spacing w:after="80"/>
      </w:pPr>
      <w:r>
        <w:rPr>
          <w:rFonts w:ascii="Arial" w:cs="Arial" w:eastAsia="Arial" w:hAnsi="Arial"/>
          <w:sz w:val="22"/>
          <w:szCs w:val="22"/>
        </w:rPr>
        <w:t xml:space="preserve">Confirmation email sent automatically after successful submission</w:t>
      </w:r>
    </w:p>
    <w:p>
      <w:pPr>
        <w:pStyle w:val="ListParagraph"/>
        <w:numPr>
          <w:ilvl w:val="0"/>
          <w:numId w:val="2"/>
        </w:numPr>
        <w:spacing w:after="80"/>
      </w:pPr>
      <w:r>
        <w:rPr>
          <w:rFonts w:ascii="Arial" w:cs="Arial" w:eastAsia="Arial" w:hAnsi="Arial"/>
          <w:sz w:val="22"/>
          <w:szCs w:val="22"/>
        </w:rPr>
        <w:t xml:space="preserve">Deadline management prevents late submissions</w:t>
      </w:r>
    </w:p>
    <w:p>
      <w:pPr>
        <w:pStyle w:val="ListParagraph"/>
        <w:numPr>
          <w:ilvl w:val="0"/>
          <w:numId w:val="2"/>
        </w:numPr>
        <w:spacing w:after="80"/>
      </w:pPr>
      <w:r>
        <w:rPr>
          <w:rFonts w:ascii="Arial" w:cs="Arial" w:eastAsia="Arial" w:hAnsi="Arial"/>
          <w:sz w:val="22"/>
          <w:szCs w:val="22"/>
        </w:rPr>
        <w:t xml:space="preserve">Guidance notes explain what products are affected by each choice</w:t>
      </w:r>
    </w:p>
    <w:p>
      <w:pPr>
        <w:pStyle w:val="Heading2"/>
        <w:spacing w:before="300" w:after="150"/>
      </w:pPr>
      <w:r>
        <w:rPr>
          <w:rFonts w:ascii="Arial" w:cs="Arial" w:eastAsia="Arial" w:hAnsi="Arial"/>
          <w:b/>
          <w:bCs/>
          <w:sz w:val="28"/>
          <w:szCs w:val="28"/>
        </w:rPr>
        <w:t xml:space="preserve">9.3 Scent Profile Cascade</w:t>
      </w:r>
    </w:p>
    <w:p>
      <w:pPr>
        <w:spacing w:after="120"/>
      </w:pPr>
      <w:r>
        <w:rPr>
          <w:rFonts w:ascii="Arial" w:cs="Arial" w:eastAsia="Arial" w:hAnsi="Arial"/>
          <w:sz w:val="22"/>
          <w:szCs w:val="22"/>
        </w:rPr>
        <w:t xml:space="preserve">When a student selects a scent profile, it automatically applies to multiple products:</w:t>
      </w:r>
    </w:p>
    <w:p>
      <w:pPr>
        <w:pStyle w:val="ListParagraph"/>
        <w:numPr>
          <w:ilvl w:val="0"/>
          <w:numId w:val="2"/>
        </w:numPr>
        <w:spacing w:after="80"/>
      </w:pPr>
      <w:r>
        <w:rPr>
          <w:rFonts w:ascii="Arial" w:cs="Arial" w:eastAsia="Arial" w:hAnsi="Arial"/>
          <w:sz w:val="22"/>
          <w:szCs w:val="22"/>
        </w:rPr>
        <w:t xml:space="preserve">Body wash</w:t>
      </w:r>
    </w:p>
    <w:p>
      <w:pPr>
        <w:pStyle w:val="ListParagraph"/>
        <w:numPr>
          <w:ilvl w:val="0"/>
          <w:numId w:val="2"/>
        </w:numPr>
        <w:spacing w:after="80"/>
      </w:pPr>
      <w:r>
        <w:rPr>
          <w:rFonts w:ascii="Arial" w:cs="Arial" w:eastAsia="Arial" w:hAnsi="Arial"/>
          <w:sz w:val="22"/>
          <w:szCs w:val="22"/>
        </w:rPr>
        <w:t xml:space="preserve">Shampoo and conditioner</w:t>
      </w:r>
    </w:p>
    <w:p>
      <w:pPr>
        <w:pStyle w:val="ListParagraph"/>
        <w:numPr>
          <w:ilvl w:val="0"/>
          <w:numId w:val="2"/>
        </w:numPr>
        <w:spacing w:after="80"/>
      </w:pPr>
      <w:r>
        <w:rPr>
          <w:rFonts w:ascii="Arial" w:cs="Arial" w:eastAsia="Arial" w:hAnsi="Arial"/>
          <w:sz w:val="22"/>
          <w:szCs w:val="22"/>
        </w:rPr>
        <w:t xml:space="preserve">Shaving cream/gel</w:t>
      </w:r>
    </w:p>
    <w:p>
      <w:pPr>
        <w:pStyle w:val="ListParagraph"/>
        <w:numPr>
          <w:ilvl w:val="0"/>
          <w:numId w:val="2"/>
        </w:numPr>
        <w:spacing w:after="80"/>
      </w:pPr>
      <w:r>
        <w:rPr>
          <w:rFonts w:ascii="Arial" w:cs="Arial" w:eastAsia="Arial" w:hAnsi="Arial"/>
          <w:sz w:val="22"/>
          <w:szCs w:val="22"/>
        </w:rPr>
        <w:t xml:space="preserve">Toothpaste (if scented option available)</w:t>
      </w:r>
    </w:p>
    <w:p>
      <w:pPr>
        <w:pStyle w:val="ListParagraph"/>
        <w:numPr>
          <w:ilvl w:val="0"/>
          <w:numId w:val="2"/>
        </w:numPr>
        <w:spacing w:after="80"/>
      </w:pPr>
      <w:r>
        <w:rPr>
          <w:rFonts w:ascii="Arial" w:cs="Arial" w:eastAsia="Arial" w:hAnsi="Arial"/>
          <w:sz w:val="22"/>
          <w:szCs w:val="22"/>
        </w:rPr>
        <w:t xml:space="preserve">Deodorant</w:t>
      </w:r>
    </w:p>
    <w:p>
      <w:pPr>
        <w:pStyle w:val="ListParagraph"/>
        <w:numPr>
          <w:ilvl w:val="0"/>
          <w:numId w:val="2"/>
        </w:numPr>
        <w:spacing w:after="80"/>
      </w:pPr>
      <w:r>
        <w:rPr>
          <w:rFonts w:ascii="Arial" w:cs="Arial" w:eastAsia="Arial" w:hAnsi="Arial"/>
          <w:sz w:val="22"/>
          <w:szCs w:val="22"/>
        </w:rPr>
        <w:t xml:space="preserve">Laundry pods</w:t>
      </w:r>
    </w:p>
    <w:p>
      <w:pPr>
        <w:spacing w:after="120"/>
      </w:pPr>
      <w:r>
        <w:rPr>
          <w:rFonts w:ascii="Arial" w:cs="Arial" w:eastAsia="Arial" w:hAnsi="Arial"/>
          <w:sz w:val="22"/>
          <w:szCs w:val="22"/>
        </w:rPr>
        <w:t xml:space="preserve">This creates a cohesive sensory experience without requiring students to make individual scent choices for each product.</w:t>
      </w:r>
    </w:p>
    <w:p>
      <w:pPr>
        <w:pStyle w:val="Heading1"/>
        <w:spacing w:before="400" w:after="200"/>
      </w:pPr>
      <w:r>
        <w:rPr>
          <w:rFonts w:ascii="Arial" w:cs="Arial" w:eastAsia="Arial" w:hAnsi="Arial"/>
          <w:b/>
          <w:bCs/>
          <w:sz w:val="32"/>
          <w:szCs w:val="32"/>
        </w:rPr>
        <w:t xml:space="preserve">10. Cohort Management</w:t>
      </w:r>
    </w:p>
    <w:p>
      <w:pPr>
        <w:pStyle w:val="Heading2"/>
        <w:spacing w:before="300" w:after="150"/>
      </w:pPr>
      <w:r>
        <w:rPr>
          <w:rFonts w:ascii="Arial" w:cs="Arial" w:eastAsia="Arial" w:hAnsi="Arial"/>
          <w:b/>
          <w:bCs/>
          <w:sz w:val="28"/>
          <w:szCs w:val="28"/>
        </w:rPr>
        <w:t xml:space="preserve">10.1 Three-Column Tagging System</w:t>
      </w:r>
    </w:p>
    <w:p>
      <w:pPr>
        <w:spacing w:after="120"/>
      </w:pPr>
      <w:r>
        <w:rPr>
          <w:rFonts w:ascii="Arial" w:cs="Arial" w:eastAsia="Arial" w:hAnsi="Arial"/>
          <w:sz w:val="22"/>
          <w:szCs w:val="22"/>
        </w:rPr>
        <w:t xml:space="preserve">The system uses three columns to track data across cohorts and prevent contamination: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500"/>
        <w:gridCol w:w="1860"/>
      </w:tblGrid>
      <w:tr>
        <w:tc>
          <w:tcPr>
            <w:tcW w:type="dxa" w:w="2200"/>
            <w:tcBorders>
              <w:top w:val="single" w:color="CCCCCC" w:sz="1"/>
              <w:left w:val="single" w:color="CCCCCC" w:sz="1"/>
              <w:bottom w:val="single" w:color="CCCCCC" w:sz="1"/>
              <w:right w:val="single" w:color="CCCCCC" w:sz="1"/>
            </w:tcBorders>
            <w:shd w:fill="1E4D78"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E4D78" w:val="clear"/>
            <w:tcMar>
              <w:top w:type="dxa" w:w="60"/>
              <w:left w:type="dxa" w:w="100"/>
              <w:bottom w:type="dxa" w:w="60"/>
              <w:right w:type="dxa" w:w="100"/>
            </w:tcMar>
          </w:tcPr>
          <w:p>
            <w:r>
              <w:rPr>
                <w:rFonts w:ascii="Arial" w:cs="Arial" w:eastAsia="Arial" w:hAnsi="Arial"/>
                <w:b/>
                <w:bCs/>
                <w:color w:val="FFFFFF"/>
                <w:sz w:val="20"/>
                <w:szCs w:val="20"/>
              </w:rPr>
              <w:t xml:space="preserve">Values</w:t>
            </w:r>
          </w:p>
        </w:tc>
        <w:tc>
          <w:tcPr>
            <w:tcW w:type="dxa" w:w="2500"/>
            <w:tcBorders>
              <w:top w:val="single" w:color="CCCCCC" w:sz="1"/>
              <w:left w:val="single" w:color="CCCCCC" w:sz="1"/>
              <w:bottom w:val="single" w:color="CCCCCC" w:sz="1"/>
              <w:right w:val="single" w:color="CCCCCC" w:sz="1"/>
            </w:tcBorders>
            <w:shd w:fill="1E4D78"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dxa" w:w="1860"/>
            <w:tcBorders>
              <w:top w:val="single" w:color="CCCCCC" w:sz="1"/>
              <w:left w:val="single" w:color="CCCCCC" w:sz="1"/>
              <w:bottom w:val="single" w:color="CCCCCC" w:sz="1"/>
              <w:right w:val="single" w:color="CCCCCC" w:sz="1"/>
            </w:tcBorders>
            <w:shd w:fill="1E4D78" w:val="clear"/>
            <w:tcMar>
              <w:top w:type="dxa" w:w="60"/>
              <w:left w:type="dxa" w:w="100"/>
              <w:bottom w:type="dxa" w:w="60"/>
              <w:right w:type="dxa" w:w="100"/>
            </w:tcMar>
          </w:tcPr>
          <w:p>
            <w:r>
              <w:rPr>
                <w:rFonts w:ascii="Arial" w:cs="Arial" w:eastAsia="Arial" w:hAnsi="Arial"/>
                <w:b/>
                <w:bCs/>
                <w:color w:val="FFFFFF"/>
                <w:sz w:val="20"/>
                <w:szCs w:val="20"/>
              </w:rPr>
              <w:t xml:space="preserve">Population Method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data_type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Live or Test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Distinguish test submissions from real students</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Auto-populated as Live; staff can change to Test</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cohort_year</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2026, 2027, etc.</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Identify which grant cycle the student belongs to</w:t>
            </w:r>
          </w:p>
        </w:tc>
        <w:tc>
          <w:tcPr>
            <w:tcW w:type="dxa" w:w="1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=YEAR(timestamp) formula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shopping_list_generated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TRUE or FALSE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Track which items have been included in shopping lists</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Set FALSE on submission, TRUE when included</w:t>
            </w:r>
          </w:p>
        </w:tc>
      </w:tr>
    </w:tbl>
    <w:p>
      <w:pPr>
        <w:pStyle w:val="Heading2"/>
        <w:spacing w:before="300" w:after="150"/>
      </w:pPr>
      <w:r>
        <w:rPr>
          <w:rFonts w:ascii="Arial" w:cs="Arial" w:eastAsia="Arial" w:hAnsi="Arial"/>
          <w:b/>
          <w:bCs/>
          <w:sz w:val="28"/>
          <w:szCs w:val="28"/>
        </w:rPr>
        <w:t xml:space="preserve">10.2 Why Tagging Matters</w:t>
      </w:r>
    </w:p>
    <w:p>
      <w:pPr>
        <w:pStyle w:val="Heading3"/>
        <w:spacing w:before="200" w:after="100"/>
      </w:pPr>
      <w:r>
        <w:rPr>
          <w:rFonts w:ascii="Arial" w:cs="Arial" w:eastAsia="Arial" w:hAnsi="Arial"/>
          <w:b/>
          <w:bCs/>
          <w:sz w:val="24"/>
          <w:szCs w:val="24"/>
        </w:rPr>
        <w:t xml:space="preserve">Problem 1: Test Data Contamination</w:t>
      </w:r>
    </w:p>
    <w:p>
      <w:pPr>
        <w:spacing w:after="120"/>
      </w:pPr>
      <w:r>
        <w:rPr>
          <w:rFonts w:ascii="Arial" w:cs="Arial" w:eastAsia="Arial" w:hAnsi="Arial"/>
          <w:sz w:val="22"/>
          <w:szCs w:val="22"/>
        </w:rPr>
        <w:t xml:space="preserve">Without tagging, test submissions mix with live student data, skewing metrics when the dataset is small and making it difficult to filter for accurate reporting.</w:t>
      </w:r>
    </w:p>
    <w:p>
      <w:pPr>
        <w:pStyle w:val="Heading3"/>
        <w:spacing w:before="200" w:after="100"/>
      </w:pPr>
      <w:r>
        <w:rPr>
          <w:rFonts w:ascii="Arial" w:cs="Arial" w:eastAsia="Arial" w:hAnsi="Arial"/>
          <w:b/>
          <w:bCs/>
          <w:sz w:val="24"/>
          <w:szCs w:val="24"/>
        </w:rPr>
        <w:t xml:space="preserve">Problem 2: Multi-Year Data Accumulation</w:t>
      </w:r>
    </w:p>
    <w:p>
      <w:pPr>
        <w:spacing w:after="120"/>
      </w:pPr>
      <w:r>
        <w:rPr>
          <w:rFonts w:ascii="Arial" w:cs="Arial" w:eastAsia="Arial" w:hAnsi="Arial"/>
          <w:sz w:val="22"/>
          <w:szCs w:val="22"/>
        </w:rPr>
        <w:t xml:space="preserve">Over time, 2025, 2026, 2027 data accumulates in the same tabs. Without cohort_year tagging, shopping list generation could include students from previous years, and Impact_Dashboard metrics would blend historical and current data.</w:t>
      </w:r>
    </w:p>
    <w:p>
      <w:pPr>
        <w:pStyle w:val="Heading3"/>
        <w:spacing w:before="200" w:after="100"/>
      </w:pPr>
      <w:r>
        <w:rPr>
          <w:rFonts w:ascii="Arial" w:cs="Arial" w:eastAsia="Arial" w:hAnsi="Arial"/>
          <w:b/>
          <w:bCs/>
          <w:sz w:val="24"/>
          <w:szCs w:val="24"/>
        </w:rPr>
        <w:t xml:space="preserve">Problem 3: Batched Fulfillment</w:t>
      </w:r>
    </w:p>
    <w:p>
      <w:pPr>
        <w:spacing w:after="120"/>
      </w:pPr>
      <w:r>
        <w:rPr>
          <w:rFonts w:ascii="Arial" w:cs="Arial" w:eastAsia="Arial" w:hAnsi="Arial"/>
          <w:sz w:val="22"/>
          <w:szCs w:val="22"/>
        </w:rPr>
        <w:t xml:space="preserve">Multiple shopping list generations may occur within the same season. The shopping_list_generated flag prevents duplicate items across batches.</w:t>
      </w:r>
    </w:p>
    <w:p>
      <w:pPr>
        <w:pStyle w:val="Heading2"/>
        <w:spacing w:before="300" w:after="150"/>
      </w:pPr>
      <w:r>
        <w:rPr>
          <w:rFonts w:ascii="Arial" w:cs="Arial" w:eastAsia="Arial" w:hAnsi="Arial"/>
          <w:b/>
          <w:bCs/>
          <w:sz w:val="28"/>
          <w:szCs w:val="28"/>
        </w:rPr>
        <w:t xml:space="preserve">10.3 Where Tags Appear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360"/>
      </w:tblGrid>
      <w:tr>
        <w:tc>
          <w:tcPr>
            <w:tcW w:type="dxa" w:w="3000"/>
            <w:tcBorders>
              <w:top w:val="single" w:color="CCCCCC" w:sz="1"/>
              <w:left w:val="single" w:color="CCCCCC" w:sz="1"/>
              <w:bottom w:val="single" w:color="CCCCCC" w:sz="1"/>
              <w:right w:val="single" w:color="CCCCCC" w:sz="1"/>
            </w:tcBorders>
            <w:shd w:fill="1E4D78" w:val="clear"/>
            <w:tcMar>
              <w:top w:type="dxa" w:w="60"/>
              <w:left w:type="dxa" w:w="100"/>
              <w:bottom w:type="dxa" w:w="60"/>
              <w:right w:type="dxa" w:w="100"/>
            </w:tcMar>
          </w:tcPr>
          <w:p>
            <w:r>
              <w:rPr>
                <w:rFonts w:ascii="Arial" w:cs="Arial" w:eastAsia="Arial" w:hAnsi="Arial"/>
                <w:b/>
                <w:bCs/>
                <w:color w:val="FFFFFF"/>
                <w:sz w:val="20"/>
                <w:szCs w:val="20"/>
              </w:rPr>
              <w:t xml:space="preserve">Tab</w:t>
            </w:r>
          </w:p>
        </w:tc>
        <w:tc>
          <w:tcPr>
            <w:tcW w:type="dxa" w:w="5360"/>
            <w:tcBorders>
              <w:top w:val="single" w:color="CCCCCC" w:sz="1"/>
              <w:left w:val="single" w:color="CCCCCC" w:sz="1"/>
              <w:bottom w:val="single" w:color="CCCCCC" w:sz="1"/>
              <w:right w:val="single" w:color="CCCCCC" w:sz="1"/>
            </w:tcBorders>
            <w:shd w:fill="1E4D78" w:val="clear"/>
            <w:tcMar>
              <w:top w:type="dxa" w:w="60"/>
              <w:left w:type="dxa" w:w="100"/>
              <w:bottom w:type="dxa" w:w="60"/>
              <w:right w:type="dxa" w:w="100"/>
            </w:tcMar>
          </w:tcPr>
          <w:p>
            <w:r>
              <w:rPr>
                <w:rFonts w:ascii="Arial" w:cs="Arial" w:eastAsia="Arial" w:hAnsi="Arial"/>
                <w:b/>
                <w:bCs/>
                <w:color w:val="FFFFFF"/>
                <w:sz w:val="20"/>
                <w:szCs w:val="20"/>
              </w:rPr>
              <w:t xml:space="preserve">Columns Present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Student_Selections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data_type, cohort_year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Resolver</w:t>
            </w:r>
          </w:p>
        </w:tc>
        <w:tc>
          <w:tcPr>
            <w:tcW w:type="dxa" w:w="5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data_type, cohort_year, shopping_list_generated (inherited from Student_Selections)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Shopping_List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data_type, cohort_year (carried forward for reference)</w:t>
            </w:r>
          </w:p>
        </w:tc>
      </w:tr>
    </w:tbl>
    <w:p>
      <w:pPr>
        <w:pStyle w:val="Heading2"/>
        <w:spacing w:before="300" w:after="150"/>
      </w:pPr>
      <w:r>
        <w:rPr>
          <w:rFonts w:ascii="Arial" w:cs="Arial" w:eastAsia="Arial" w:hAnsi="Arial"/>
          <w:b/>
          <w:bCs/>
          <w:sz w:val="28"/>
          <w:szCs w:val="28"/>
        </w:rPr>
        <w:t xml:space="preserve">10.4 Archive Process</w:t>
      </w:r>
    </w:p>
    <w:p>
      <w:pPr>
        <w:spacing w:after="120"/>
      </w:pPr>
      <w:r>
        <w:rPr>
          <w:rFonts w:ascii="Arial" w:cs="Arial" w:eastAsia="Arial" w:hAnsi="Arial"/>
          <w:sz w:val="22"/>
          <w:szCs w:val="22"/>
        </w:rPr>
        <w:t xml:space="preserve">At the end of each cohort year, data is archived to keep active tabs clean:</w:t>
      </w:r>
    </w:p>
    <w:p>
      <w:pPr>
        <w:pStyle w:val="ListParagraph"/>
        <w:numPr>
          <w:ilvl w:val="0"/>
          <w:numId w:val="4"/>
        </w:numPr>
        <w:spacing w:after="80"/>
      </w:pPr>
      <w:r>
        <w:rPr>
          <w:rFonts w:ascii="Arial" w:cs="Arial" w:eastAsia="Arial" w:hAnsi="Arial"/>
          <w:sz w:val="22"/>
          <w:szCs w:val="22"/>
        </w:rPr>
        <w:t xml:space="preserve">Staff determines cohort year is complete (all grants fulfilled)</w:t>
      </w:r>
    </w:p>
    <w:p>
      <w:pPr>
        <w:pStyle w:val="ListParagraph"/>
        <w:numPr>
          <w:ilvl w:val="0"/>
          <w:numId w:val="4"/>
        </w:numPr>
        <w:spacing w:after="80"/>
      </w:pPr>
      <w:r>
        <w:rPr>
          <w:rFonts w:ascii="Arial" w:cs="Arial" w:eastAsia="Arial" w:hAnsi="Arial"/>
          <w:sz w:val="22"/>
          <w:szCs w:val="22"/>
        </w:rPr>
        <w:t xml:space="preserve">Staff clicks Fulfillment Tools &gt; Archive Cohort</w:t>
      </w:r>
    </w:p>
    <w:p>
      <w:pPr>
        <w:pStyle w:val="ListParagraph"/>
        <w:numPr>
          <w:ilvl w:val="0"/>
          <w:numId w:val="4"/>
        </w:numPr>
        <w:spacing w:after="80"/>
      </w:pPr>
      <w:r>
        <w:rPr>
          <w:rFonts w:ascii="Arial" w:cs="Arial" w:eastAsia="Arial" w:hAnsi="Arial"/>
          <w:sz w:val="22"/>
          <w:szCs w:val="22"/>
        </w:rPr>
        <w:t xml:space="preserve">Script prompts: "Archive all [2026] data? This will move data to archives and clear active tabs."</w:t>
      </w:r>
    </w:p>
    <w:p>
      <w:pPr>
        <w:pStyle w:val="ListParagraph"/>
        <w:numPr>
          <w:ilvl w:val="0"/>
          <w:numId w:val="4"/>
        </w:numPr>
        <w:spacing w:after="80"/>
      </w:pPr>
      <w:r>
        <w:rPr>
          <w:rFonts w:ascii="Arial" w:cs="Arial" w:eastAsia="Arial" w:hAnsi="Arial"/>
          <w:sz w:val="22"/>
          <w:szCs w:val="22"/>
        </w:rPr>
        <w:t xml:space="preserve">Script copies rows WHERE cohort_year = 2026 to archive tabs (Student_Selections_Archive, Resolver_Archive, Shopping_List_Archive)</w:t>
      </w:r>
    </w:p>
    <w:p>
      <w:pPr>
        <w:pStyle w:val="ListParagraph"/>
        <w:numPr>
          <w:ilvl w:val="0"/>
          <w:numId w:val="4"/>
        </w:numPr>
        <w:spacing w:after="80"/>
      </w:pPr>
      <w:r>
        <w:rPr>
          <w:rFonts w:ascii="Arial" w:cs="Arial" w:eastAsia="Arial" w:hAnsi="Arial"/>
          <w:sz w:val="22"/>
          <w:szCs w:val="22"/>
        </w:rPr>
        <w:t xml:space="preserve">Script deletes archived rows from active tabs</w:t>
      </w:r>
    </w:p>
    <w:p>
      <w:pPr>
        <w:pStyle w:val="ListParagraph"/>
        <w:numPr>
          <w:ilvl w:val="0"/>
          <w:numId w:val="4"/>
        </w:numPr>
        <w:spacing w:after="80"/>
      </w:pPr>
      <w:r>
        <w:rPr>
          <w:rFonts w:ascii="Arial" w:cs="Arial" w:eastAsia="Arial" w:hAnsi="Arial"/>
          <w:sz w:val="22"/>
          <w:szCs w:val="22"/>
        </w:rPr>
        <w:t xml:space="preserve">Confirmation message displayed</w:t>
      </w:r>
    </w:p>
    <w:p>
      <w:pPr>
        <w:spacing w:after="60"/>
      </w:pPr>
    </w:p>
    <w:p>
      <w:pPr>
        <w:spacing w:after="120"/>
      </w:pPr>
      <w:r>
        <w:rPr>
          <w:rFonts w:ascii="Arial" w:cs="Arial" w:eastAsia="Arial" w:hAnsi="Arial"/>
          <w:sz w:val="22"/>
          <w:szCs w:val="22"/>
        </w:rPr>
        <w:t xml:space="preserve">Archive tabs use combined format (not year-specific) for easier historical analysis across multiple years.</w:t>
      </w:r>
    </w:p>
    <w:p>
      <w:pPr>
        <w:pStyle w:val="Heading1"/>
        <w:spacing w:before="400" w:after="200"/>
      </w:pPr>
      <w:r>
        <w:rPr>
          <w:rFonts w:ascii="Arial" w:cs="Arial" w:eastAsia="Arial" w:hAnsi="Arial"/>
          <w:b/>
          <w:bCs/>
          <w:sz w:val="32"/>
          <w:szCs w:val="32"/>
        </w:rPr>
        <w:t xml:space="preserve">11. Phase 2B Refresh Process</w:t>
      </w:r>
    </w:p>
    <w:p>
      <w:pPr>
        <w:pStyle w:val="Heading2"/>
        <w:spacing w:before="300" w:after="150"/>
      </w:pPr>
      <w:r>
        <w:rPr>
          <w:rFonts w:ascii="Arial" w:cs="Arial" w:eastAsia="Arial" w:hAnsi="Arial"/>
          <w:b/>
          <w:bCs/>
          <w:sz w:val="28"/>
          <w:szCs w:val="28"/>
        </w:rPr>
        <w:t xml:space="preserve">11.1 Purpose</w:t>
      </w:r>
    </w:p>
    <w:p>
      <w:pPr>
        <w:spacing w:after="120"/>
      </w:pPr>
      <w:r>
        <w:rPr>
          <w:rFonts w:ascii="Arial" w:cs="Arial" w:eastAsia="Arial" w:hAnsi="Arial"/>
          <w:sz w:val="22"/>
          <w:szCs w:val="22"/>
        </w:rPr>
        <w:t xml:space="preserve">The Phase 2B refresh ensures all products are still available at current prices before the summer fulfillment window. Products researched in October may be discontinued, price-changed, or out of stock by June.</w:t>
      </w:r>
    </w:p>
    <w:p>
      <w:pPr>
        <w:pStyle w:val="Heading2"/>
        <w:spacing w:before="300" w:after="150"/>
      </w:pPr>
      <w:r>
        <w:rPr>
          <w:rFonts w:ascii="Arial" w:cs="Arial" w:eastAsia="Arial" w:hAnsi="Arial"/>
          <w:b/>
          <w:bCs/>
          <w:sz w:val="28"/>
          <w:szCs w:val="28"/>
        </w:rPr>
        <w:t xml:space="preserve">11.2 Timeline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5860"/>
      </w:tblGrid>
      <w:tr>
        <w:tc>
          <w:tcPr>
            <w:tcW w:type="dxa" w:w="2500"/>
            <w:tcBorders>
              <w:top w:val="single" w:color="CCCCCC" w:sz="1"/>
              <w:left w:val="single" w:color="CCCCCC" w:sz="1"/>
              <w:bottom w:val="single" w:color="CCCCCC" w:sz="1"/>
              <w:right w:val="single" w:color="CCCCCC" w:sz="1"/>
            </w:tcBorders>
            <w:shd w:fill="1E4D78" w:val="clear"/>
            <w:tcMar>
              <w:top w:type="dxa" w:w="60"/>
              <w:left w:type="dxa" w:w="100"/>
              <w:bottom w:type="dxa" w:w="60"/>
              <w:right w:type="dxa" w:w="100"/>
            </w:tcMar>
          </w:tcPr>
          <w:p>
            <w:r>
              <w:rPr>
                <w:rFonts w:ascii="Arial" w:cs="Arial" w:eastAsia="Arial" w:hAnsi="Arial"/>
                <w:b/>
                <w:bCs/>
                <w:color w:val="FFFFFF"/>
                <w:sz w:val="20"/>
                <w:szCs w:val="20"/>
              </w:rPr>
              <w:t xml:space="preserve">Date</w:t>
            </w:r>
          </w:p>
        </w:tc>
        <w:tc>
          <w:tcPr>
            <w:tcW w:type="dxa" w:w="5860"/>
            <w:tcBorders>
              <w:top w:val="single" w:color="CCCCCC" w:sz="1"/>
              <w:left w:val="single" w:color="CCCCCC" w:sz="1"/>
              <w:bottom w:val="single" w:color="CCCCCC" w:sz="1"/>
              <w:right w:val="single" w:color="CCCCCC" w:sz="1"/>
            </w:tcBorders>
            <w:shd w:fill="1E4D78" w:val="clear"/>
            <w:tcMar>
              <w:top w:type="dxa" w:w="60"/>
              <w:left w:type="dxa" w:w="100"/>
              <w:bottom w:type="dxa" w:w="60"/>
              <w:right w:type="dxa" w:w="100"/>
            </w:tcMar>
          </w:tcPr>
          <w:p>
            <w:r>
              <w:rPr>
                <w:rFonts w:ascii="Arial" w:cs="Arial" w:eastAsia="Arial" w:hAnsi="Arial"/>
                <w:b/>
                <w:bCs/>
                <w:color w:val="FFFFFF"/>
                <w:sz w:val="20"/>
                <w:szCs w:val="20"/>
              </w:rPr>
              <w:t xml:space="preserve">Milestone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April 15</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Phase 2B refresh begins</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May 15</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Phase 2B refresh complete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May 15 - June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Buffer for surprises and replacements</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June-July</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Student award notifications and Pick Form submissions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July-August</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Fulfillment window</w:t>
            </w:r>
          </w:p>
        </w:tc>
      </w:tr>
    </w:tbl>
    <w:p>
      <w:pPr>
        <w:pStyle w:val="Heading2"/>
        <w:spacing w:before="300" w:after="150"/>
      </w:pPr>
      <w:r>
        <w:rPr>
          <w:rFonts w:ascii="Arial" w:cs="Arial" w:eastAsia="Arial" w:hAnsi="Arial"/>
          <w:b/>
          <w:bCs/>
          <w:sz w:val="28"/>
          <w:szCs w:val="28"/>
        </w:rPr>
        <w:t xml:space="preserve">11.3 Refresh Checklist</w:t>
      </w:r>
    </w:p>
    <w:p>
      <w:pPr>
        <w:spacing w:after="120"/>
      </w:pPr>
      <w:r>
        <w:rPr>
          <w:rFonts w:ascii="Arial" w:cs="Arial" w:eastAsia="Arial" w:hAnsi="Arial"/>
          <w:sz w:val="22"/>
          <w:szCs w:val="22"/>
        </w:rPr>
        <w:t xml:space="preserve">For each product in the database, verify:</w:t>
      </w:r>
    </w:p>
    <w:p>
      <w:pPr>
        <w:pStyle w:val="ListParagraph"/>
        <w:numPr>
          <w:ilvl w:val="0"/>
          <w:numId w:val="3"/>
        </w:numPr>
        <w:spacing w:after="80"/>
      </w:pPr>
      <w:r>
        <w:rPr>
          <w:rFonts w:ascii="Arial" w:cs="Arial" w:eastAsia="Arial" w:hAnsi="Arial"/>
          <w:sz w:val="22"/>
          <w:szCs w:val="22"/>
        </w:rPr>
        <w:t xml:space="preserve">URL still works and loads the correct product</w:t>
      </w:r>
    </w:p>
    <w:p>
      <w:pPr>
        <w:pStyle w:val="ListParagraph"/>
        <w:numPr>
          <w:ilvl w:val="0"/>
          <w:numId w:val="3"/>
        </w:numPr>
        <w:spacing w:after="80"/>
      </w:pPr>
      <w:r>
        <w:rPr>
          <w:rFonts w:ascii="Arial" w:cs="Arial" w:eastAsia="Arial" w:hAnsi="Arial"/>
          <w:sz w:val="22"/>
          <w:szCs w:val="22"/>
        </w:rPr>
        <w:t xml:space="preserve">Product is in stock (not discontinued or backordered)</w:t>
      </w:r>
    </w:p>
    <w:p>
      <w:pPr>
        <w:pStyle w:val="ListParagraph"/>
        <w:numPr>
          <w:ilvl w:val="0"/>
          <w:numId w:val="3"/>
        </w:numPr>
        <w:spacing w:after="80"/>
      </w:pPr>
      <w:r>
        <w:rPr>
          <w:rFonts w:ascii="Arial" w:cs="Arial" w:eastAsia="Arial" w:hAnsi="Arial"/>
          <w:sz w:val="22"/>
          <w:szCs w:val="22"/>
        </w:rPr>
        <w:t xml:space="preserve">Current price matches database price (note changes &gt;10%)</w:t>
      </w:r>
    </w:p>
    <w:p>
      <w:pPr>
        <w:pStyle w:val="ListParagraph"/>
        <w:numPr>
          <w:ilvl w:val="0"/>
          <w:numId w:val="3"/>
        </w:numPr>
        <w:spacing w:after="80"/>
      </w:pPr>
      <w:r>
        <w:rPr>
          <w:rFonts w:ascii="Arial" w:cs="Arial" w:eastAsia="Arial" w:hAnsi="Arial"/>
          <w:sz w:val="22"/>
          <w:szCs w:val="22"/>
        </w:rPr>
        <w:t xml:space="preserve">Backup retailer URL also valid and in stock</w:t>
      </w:r>
    </w:p>
    <w:p>
      <w:pPr>
        <w:pStyle w:val="ListParagraph"/>
        <w:numPr>
          <w:ilvl w:val="0"/>
          <w:numId w:val="3"/>
        </w:numPr>
        <w:spacing w:after="80"/>
      </w:pPr>
      <w:r>
        <w:rPr>
          <w:rFonts w:ascii="Arial" w:cs="Arial" w:eastAsia="Arial" w:hAnsi="Arial"/>
          <w:sz w:val="22"/>
          <w:szCs w:val="22"/>
        </w:rPr>
        <w:t xml:space="preserve">Product specifications unchanged (size, quantity, etc.)</w:t>
      </w:r>
    </w:p>
    <w:p>
      <w:pPr>
        <w:pStyle w:val="Heading2"/>
        <w:spacing w:before="300" w:after="150"/>
      </w:pPr>
      <w:r>
        <w:rPr>
          <w:rFonts w:ascii="Arial" w:cs="Arial" w:eastAsia="Arial" w:hAnsi="Arial"/>
          <w:b/>
          <w:bCs/>
          <w:sz w:val="28"/>
          <w:szCs w:val="28"/>
        </w:rPr>
        <w:t xml:space="preserve">11.4 Handling Changes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4860"/>
      </w:tblGrid>
      <w:tr>
        <w:tc>
          <w:tcPr>
            <w:tcW w:type="dxa" w:w="3500"/>
            <w:tcBorders>
              <w:top w:val="single" w:color="CCCCCC" w:sz="1"/>
              <w:left w:val="single" w:color="CCCCCC" w:sz="1"/>
              <w:bottom w:val="single" w:color="CCCCCC" w:sz="1"/>
              <w:right w:val="single" w:color="CCCCCC" w:sz="1"/>
            </w:tcBorders>
            <w:shd w:fill="1E4D78" w:val="clear"/>
            <w:tcMar>
              <w:top w:type="dxa" w:w="60"/>
              <w:left w:type="dxa" w:w="100"/>
              <w:bottom w:type="dxa" w:w="60"/>
              <w:right w:type="dxa" w:w="100"/>
            </w:tcMar>
          </w:tcPr>
          <w:p>
            <w:r>
              <w:rPr>
                <w:rFonts w:ascii="Arial" w:cs="Arial" w:eastAsia="Arial" w:hAnsi="Arial"/>
                <w:b/>
                <w:bCs/>
                <w:color w:val="FFFFFF"/>
                <w:sz w:val="20"/>
                <w:szCs w:val="20"/>
              </w:rPr>
              <w:t xml:space="preserve">Scenario</w:t>
            </w:r>
          </w:p>
        </w:tc>
        <w:tc>
          <w:tcPr>
            <w:tcW w:type="dxa" w:w="4860"/>
            <w:tcBorders>
              <w:top w:val="single" w:color="CCCCCC" w:sz="1"/>
              <w:left w:val="single" w:color="CCCCCC" w:sz="1"/>
              <w:bottom w:val="single" w:color="CCCCCC" w:sz="1"/>
              <w:right w:val="single" w:color="CCCCCC" w:sz="1"/>
            </w:tcBorders>
            <w:shd w:fill="1E4D78" w:val="clear"/>
            <w:tcMar>
              <w:top w:type="dxa" w:w="60"/>
              <w:left w:type="dxa" w:w="100"/>
              <w:bottom w:type="dxa" w:w="60"/>
              <w:right w:type="dxa" w:w="100"/>
            </w:tcMar>
          </w:tcPr>
          <w:p>
            <w:r>
              <w:rPr>
                <w:rFonts w:ascii="Arial" w:cs="Arial" w:eastAsia="Arial" w:hAnsi="Arial"/>
                <w:b/>
                <w:bCs/>
                <w:color w:val="FFFFFF"/>
                <w:sz w:val="20"/>
                <w:szCs w:val="20"/>
              </w:rPr>
              <w:t xml:space="preserve">Action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Price increased &lt;10%</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Update database, no approval needed</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Price increased &gt;10%</w:t>
            </w:r>
          </w:p>
        </w:tc>
        <w:tc>
          <w:tcPr>
            <w:tcW w:type="dxa" w:w="4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Flag for Eric review, consider alternatives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Price decreased</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Update database, capture savings</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Product discontinued</w:t>
            </w:r>
          </w:p>
        </w:tc>
        <w:tc>
          <w:tcPr>
            <w:tcW w:type="dxa" w:w="4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Research replacement using same quality standards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Amazon listing out of stock</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Check the product's BACKUP RETAILER / BACKUP SKU columns — not every SKU has a backup listed (DEC-060)</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No backup listed, or backup also unavailable</w:t>
            </w:r>
          </w:p>
        </w:tc>
        <w:tc>
          <w:tcPr>
            <w:tcW w:type="dxa" w:w="4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Research Amazon alternative, document the exception in the database</w:t>
            </w:r>
          </w:p>
        </w:tc>
      </w:tr>
    </w:tbl>
    <w:p>
      <w:pPr>
        <w:pStyle w:val="Heading2"/>
        <w:spacing w:before="300" w:after="150"/>
      </w:pPr>
      <w:r>
        <w:rPr>
          <w:rFonts w:ascii="Arial" w:cs="Arial" w:eastAsia="Arial" w:hAnsi="Arial"/>
          <w:b/>
          <w:bCs/>
          <w:sz w:val="28"/>
          <w:szCs w:val="28"/>
        </w:rPr>
        <w:t xml:space="preserve">11.5 Post-Refresh Actions</w:t>
      </w:r>
    </w:p>
    <w:p>
      <w:pPr>
        <w:pStyle w:val="ListParagraph"/>
        <w:numPr>
          <w:ilvl w:val="0"/>
          <w:numId w:val="3"/>
        </w:numPr>
        <w:spacing w:after="80"/>
      </w:pPr>
      <w:r>
        <w:rPr>
          <w:rFonts w:ascii="Arial" w:cs="Arial" w:eastAsia="Arial" w:hAnsi="Arial"/>
          <w:sz w:val="22"/>
          <w:szCs w:val="22"/>
        </w:rPr>
        <w:t xml:space="preserve">Update Last Verified date on all products</w:t>
      </w:r>
    </w:p>
    <w:p>
      <w:pPr>
        <w:pStyle w:val="ListParagraph"/>
        <w:numPr>
          <w:ilvl w:val="0"/>
          <w:numId w:val="3"/>
        </w:numPr>
        <w:spacing w:after="80"/>
      </w:pPr>
      <w:r>
        <w:rPr>
          <w:rFonts w:ascii="Arial" w:cs="Arial" w:eastAsia="Arial" w:hAnsi="Arial"/>
          <w:sz w:val="22"/>
          <w:szCs w:val="22"/>
        </w:rPr>
        <w:t xml:space="preserve">Regenerate email catalog if any choice options changed</w:t>
      </w:r>
    </w:p>
    <w:p>
      <w:pPr>
        <w:pStyle w:val="ListParagraph"/>
        <w:numPr>
          <w:ilvl w:val="0"/>
          <w:numId w:val="3"/>
        </w:numPr>
        <w:spacing w:after="80"/>
      </w:pPr>
      <w:r>
        <w:rPr>
          <w:rFonts w:ascii="Arial" w:cs="Arial" w:eastAsia="Arial" w:hAnsi="Arial"/>
          <w:sz w:val="22"/>
          <w:szCs w:val="22"/>
        </w:rPr>
        <w:t xml:space="preserve">Update Pick Form if choice categories changed</w:t>
      </w:r>
    </w:p>
    <w:p>
      <w:pPr>
        <w:pStyle w:val="ListParagraph"/>
        <w:numPr>
          <w:ilvl w:val="0"/>
          <w:numId w:val="3"/>
        </w:numPr>
        <w:spacing w:after="80"/>
      </w:pPr>
      <w:r>
        <w:rPr>
          <w:rFonts w:ascii="Arial" w:cs="Arial" w:eastAsia="Arial" w:hAnsi="Arial"/>
          <w:sz w:val="22"/>
          <w:szCs w:val="22"/>
        </w:rPr>
        <w:t xml:space="preserve">Run final budget validation across all categories</w:t>
      </w:r>
    </w:p>
    <w:p>
      <w:pPr>
        <w:pStyle w:val="ListParagraph"/>
        <w:numPr>
          <w:ilvl w:val="0"/>
          <w:numId w:val="3"/>
        </w:numPr>
        <w:spacing w:after="80"/>
      </w:pPr>
      <w:r>
        <w:rPr>
          <w:rFonts w:ascii="Arial" w:cs="Arial" w:eastAsia="Arial" w:hAnsi="Arial"/>
          <w:sz w:val="22"/>
          <w:szCs w:val="22"/>
        </w:rPr>
        <w:t xml:space="preserve">Lock database for ordering window (no further product changes)</w:t>
      </w:r>
    </w:p>
    <w:p>
      <w:pPr>
        <w:pStyle w:val="Heading2"/>
        <w:spacing w:before="300" w:after="150"/>
      </w:pPr>
      <w:r>
        <w:rPr>
          <w:rFonts w:ascii="Arial" w:cs="Arial" w:eastAsia="Arial" w:hAnsi="Arial"/>
          <w:b/>
          <w:bCs/>
          <w:sz w:val="28"/>
          <w:szCs w:val="28"/>
        </w:rPr>
        <w:t xml:space="preserve">11.6 Decision Point</w:t>
      </w:r>
    </w:p>
    <w:p>
      <w:pPr>
        <w:spacing w:after="120"/>
      </w:pPr>
      <w:r>
        <w:rPr>
          <w:rFonts w:ascii="Arial" w:cs="Arial" w:eastAsia="Arial" w:hAnsi="Arial"/>
          <w:sz w:val="22"/>
          <w:szCs w:val="22"/>
        </w:rPr>
        <w:t xml:space="preserve">If 10+ products are discontinued or unavailable, escalate to Eric before proceeding. The program may need to delay or accept significant substitutions.</w:t>
      </w:r>
    </w:p>
    <w:p>
      <w:pPr>
        <w:pStyle w:val="Heading1"/>
        <w:spacing w:before="400" w:after="200"/>
      </w:pPr>
      <w:r>
        <w:rPr>
          <w:rFonts w:ascii="Arial" w:cs="Arial" w:eastAsia="Arial" w:hAnsi="Arial"/>
          <w:b/>
          <w:bCs/>
          <w:sz w:val="32"/>
          <w:szCs w:val="32"/>
        </w:rPr>
        <w:t xml:space="preserve">12. Exchange and Return Policy</w:t>
      </w:r>
    </w:p>
    <w:p>
      <w:pPr>
        <w:pStyle w:val="Heading2"/>
        <w:spacing w:before="300" w:after="150"/>
      </w:pPr>
      <w:r>
        <w:rPr>
          <w:rFonts w:ascii="Arial" w:cs="Arial" w:eastAsia="Arial" w:hAnsi="Arial"/>
          <w:b/>
          <w:bCs/>
          <w:sz w:val="28"/>
          <w:szCs w:val="28"/>
        </w:rPr>
        <w:t xml:space="preserve">12.1 Policy Overview</w:t>
      </w:r>
    </w:p>
    <w:p>
      <w:pPr>
        <w:spacing w:after="120"/>
      </w:pPr>
      <w:r>
        <w:rPr>
          <w:rFonts w:ascii="Arial" w:cs="Arial" w:eastAsia="Arial" w:hAnsi="Arial"/>
          <w:sz w:val="22"/>
          <w:szCs w:val="22"/>
        </w:rPr>
        <w:t xml:space="preserve">The exchange policy protects program integrity while allowing students to address genuine sizing or preference issues.</w:t>
      </w:r>
    </w:p>
    <w:p>
      <w:pPr>
        <w:pStyle w:val="Heading3"/>
        <w:spacing w:before="200" w:after="100"/>
      </w:pPr>
      <w:r>
        <w:rPr>
          <w:rFonts w:ascii="Arial" w:cs="Arial" w:eastAsia="Arial" w:hAnsi="Arial"/>
          <w:b/>
          <w:bCs/>
          <w:sz w:val="24"/>
          <w:szCs w:val="24"/>
        </w:rPr>
        <w:t xml:space="preserve">For Non-Defective Items</w:t>
      </w:r>
    </w:p>
    <w:p>
      <w:pPr>
        <w:pStyle w:val="ListParagraph"/>
        <w:numPr>
          <w:ilvl w:val="0"/>
          <w:numId w:val="2"/>
        </w:numPr>
        <w:spacing w:after="80"/>
      </w:pPr>
      <w:r>
        <w:rPr>
          <w:rFonts w:ascii="Arial" w:cs="Arial" w:eastAsia="Arial" w:hAnsi="Arial"/>
          <w:sz w:val="22"/>
          <w:szCs w:val="22"/>
        </w:rPr>
        <w:t xml:space="preserve">Even exchange ONLY for same item, different size/color/firmness</w:t>
      </w:r>
    </w:p>
    <w:p>
      <w:pPr>
        <w:pStyle w:val="ListParagraph"/>
        <w:numPr>
          <w:ilvl w:val="0"/>
          <w:numId w:val="2"/>
        </w:numPr>
        <w:spacing w:after="80"/>
      </w:pPr>
      <w:r>
        <w:rPr>
          <w:rFonts w:ascii="Arial" w:cs="Arial" w:eastAsia="Arial" w:hAnsi="Arial"/>
          <w:sz w:val="22"/>
          <w:szCs w:val="22"/>
        </w:rPr>
        <w:t xml:space="preserve">One non-defective exchange per student</w:t>
      </w:r>
    </w:p>
    <w:p>
      <w:pPr>
        <w:pStyle w:val="ListParagraph"/>
        <w:numPr>
          <w:ilvl w:val="0"/>
          <w:numId w:val="2"/>
        </w:numPr>
        <w:spacing w:after="80"/>
      </w:pPr>
      <w:r>
        <w:rPr>
          <w:rFonts w:ascii="Arial" w:cs="Arial" w:eastAsia="Arial" w:hAnsi="Arial"/>
          <w:sz w:val="22"/>
          <w:szCs w:val="22"/>
        </w:rPr>
        <w:t xml:space="preserve">Item must be unopened/unwashed</w:t>
      </w:r>
    </w:p>
    <w:p>
      <w:pPr>
        <w:pStyle w:val="ListParagraph"/>
        <w:numPr>
          <w:ilvl w:val="0"/>
          <w:numId w:val="2"/>
        </w:numPr>
        <w:spacing w:after="80"/>
      </w:pPr>
      <w:r>
        <w:rPr>
          <w:rFonts w:ascii="Arial" w:cs="Arial" w:eastAsia="Arial" w:hAnsi="Arial"/>
          <w:sz w:val="22"/>
          <w:szCs w:val="22"/>
        </w:rPr>
        <w:t xml:space="preserve">30-day window from delivery date</w:t>
      </w:r>
    </w:p>
    <w:p>
      <w:pPr>
        <w:pStyle w:val="ListParagraph"/>
        <w:numPr>
          <w:ilvl w:val="0"/>
          <w:numId w:val="2"/>
        </w:numPr>
        <w:spacing w:after="80"/>
      </w:pPr>
      <w:r>
        <w:rPr>
          <w:rFonts w:ascii="Arial" w:cs="Arial" w:eastAsia="Arial" w:hAnsi="Arial"/>
          <w:sz w:val="22"/>
          <w:szCs w:val="22"/>
        </w:rPr>
        <w:t xml:space="preserve">NO refunds or store credit to students</w:t>
      </w:r>
    </w:p>
    <w:p>
      <w:pPr>
        <w:pStyle w:val="Heading3"/>
        <w:spacing w:before="200" w:after="100"/>
      </w:pPr>
      <w:r>
        <w:rPr>
          <w:rFonts w:ascii="Arial" w:cs="Arial" w:eastAsia="Arial" w:hAnsi="Arial"/>
          <w:b/>
          <w:bCs/>
          <w:sz w:val="24"/>
          <w:szCs w:val="24"/>
        </w:rPr>
        <w:t xml:space="preserve">For Defective Items</w:t>
      </w:r>
    </w:p>
    <w:p>
      <w:pPr>
        <w:pStyle w:val="ListParagraph"/>
        <w:numPr>
          <w:ilvl w:val="0"/>
          <w:numId w:val="2"/>
        </w:numPr>
        <w:spacing w:after="80"/>
      </w:pPr>
      <w:r>
        <w:rPr>
          <w:rFonts w:ascii="Arial" w:cs="Arial" w:eastAsia="Arial" w:hAnsi="Arial"/>
          <w:sz w:val="22"/>
          <w:szCs w:val="22"/>
        </w:rPr>
        <w:t xml:space="preserve">May be returned for replacement</w:t>
      </w:r>
    </w:p>
    <w:p>
      <w:pPr>
        <w:pStyle w:val="ListParagraph"/>
        <w:numPr>
          <w:ilvl w:val="0"/>
          <w:numId w:val="2"/>
        </w:numPr>
        <w:spacing w:after="80"/>
      </w:pPr>
      <w:r>
        <w:rPr>
          <w:rFonts w:ascii="Arial" w:cs="Arial" w:eastAsia="Arial" w:hAnsi="Arial"/>
          <w:sz w:val="22"/>
          <w:szCs w:val="22"/>
        </w:rPr>
        <w:t xml:space="preserve">Any refund routes back to Campus Ready Foundation (never to student)</w:t>
      </w:r>
    </w:p>
    <w:p>
      <w:pPr>
        <w:pStyle w:val="ListParagraph"/>
        <w:numPr>
          <w:ilvl w:val="0"/>
          <w:numId w:val="2"/>
        </w:numPr>
        <w:spacing w:after="80"/>
      </w:pPr>
      <w:r>
        <w:rPr>
          <w:rFonts w:ascii="Arial" w:cs="Arial" w:eastAsia="Arial" w:hAnsi="Arial"/>
          <w:sz w:val="22"/>
          <w:szCs w:val="22"/>
        </w:rPr>
        <w:t xml:space="preserve">No limit on defective item returns</w:t>
      </w:r>
    </w:p>
    <w:p>
      <w:pPr>
        <w:pStyle w:val="Heading2"/>
        <w:spacing w:before="300" w:after="150"/>
      </w:pPr>
      <w:r>
        <w:rPr>
          <w:rFonts w:ascii="Arial" w:cs="Arial" w:eastAsia="Arial" w:hAnsi="Arial"/>
          <w:b/>
          <w:bCs/>
          <w:sz w:val="28"/>
          <w:szCs w:val="28"/>
        </w:rPr>
        <w:t xml:space="preserve">12.2 Exchange Process</w:t>
      </w:r>
    </w:p>
    <w:p>
      <w:pPr>
        <w:pStyle w:val="ListParagraph"/>
        <w:numPr>
          <w:ilvl w:val="0"/>
          <w:numId w:val="3"/>
        </w:numPr>
        <w:spacing w:after="80"/>
      </w:pPr>
      <w:r>
        <w:rPr>
          <w:rFonts w:ascii="Arial" w:cs="Arial" w:eastAsia="Arial" w:hAnsi="Arial"/>
          <w:sz w:val="22"/>
          <w:szCs w:val="22"/>
        </w:rPr>
        <w:t xml:space="preserve">Student contacts Campus Ready explaining exchange need</w:t>
      </w:r>
    </w:p>
    <w:p>
      <w:pPr>
        <w:pStyle w:val="ListParagraph"/>
        <w:numPr>
          <w:ilvl w:val="0"/>
          <w:numId w:val="3"/>
        </w:numPr>
        <w:spacing w:after="80"/>
      </w:pPr>
      <w:r>
        <w:rPr>
          <w:rFonts w:ascii="Arial" w:cs="Arial" w:eastAsia="Arial" w:hAnsi="Arial"/>
          <w:sz w:val="22"/>
          <w:szCs w:val="22"/>
        </w:rPr>
        <w:t xml:space="preserve">Staff verifies exchange is within policy (30 days, one exchange, valid reason)</w:t>
      </w:r>
    </w:p>
    <w:p>
      <w:pPr>
        <w:pStyle w:val="ListParagraph"/>
        <w:numPr>
          <w:ilvl w:val="0"/>
          <w:numId w:val="3"/>
        </w:numPr>
        <w:spacing w:after="80"/>
      </w:pPr>
      <w:r>
        <w:rPr>
          <w:rFonts w:ascii="Arial" w:cs="Arial" w:eastAsia="Arial" w:hAnsi="Arial"/>
          <w:sz w:val="22"/>
          <w:szCs w:val="22"/>
        </w:rPr>
        <w:t xml:space="preserve">Staff provides Store Clerk Note and Student Script</w:t>
      </w:r>
    </w:p>
    <w:p>
      <w:pPr>
        <w:pStyle w:val="ListParagraph"/>
        <w:numPr>
          <w:ilvl w:val="0"/>
          <w:numId w:val="3"/>
        </w:numPr>
        <w:spacing w:after="80"/>
      </w:pPr>
      <w:r>
        <w:rPr>
          <w:rFonts w:ascii="Arial" w:cs="Arial" w:eastAsia="Arial" w:hAnsi="Arial"/>
          <w:sz w:val="22"/>
          <w:szCs w:val="22"/>
        </w:rPr>
        <w:t xml:space="preserve">Student visits store with original item and documentation</w:t>
      </w:r>
    </w:p>
    <w:p>
      <w:pPr>
        <w:pStyle w:val="ListParagraph"/>
        <w:numPr>
          <w:ilvl w:val="0"/>
          <w:numId w:val="3"/>
        </w:numPr>
        <w:spacing w:after="80"/>
      </w:pPr>
      <w:r>
        <w:rPr>
          <w:rFonts w:ascii="Arial" w:cs="Arial" w:eastAsia="Arial" w:hAnsi="Arial"/>
          <w:sz w:val="22"/>
          <w:szCs w:val="22"/>
        </w:rPr>
        <w:t xml:space="preserve">Student uses script: "I need to exchange this for a different [size/color]. The organization that purchased this provided these instructions."</w:t>
      </w:r>
    </w:p>
    <w:p>
      <w:pPr>
        <w:pStyle w:val="ListParagraph"/>
        <w:numPr>
          <w:ilvl w:val="0"/>
          <w:numId w:val="3"/>
        </w:numPr>
        <w:spacing w:after="80"/>
      </w:pPr>
      <w:r>
        <w:rPr>
          <w:rFonts w:ascii="Arial" w:cs="Arial" w:eastAsia="Arial" w:hAnsi="Arial"/>
          <w:sz w:val="22"/>
          <w:szCs w:val="22"/>
        </w:rPr>
        <w:t xml:space="preserve">If system issues occur, CRF places new in-store pickup order</w:t>
      </w:r>
    </w:p>
    <w:p>
      <w:pPr>
        <w:pStyle w:val="ListParagraph"/>
        <w:numPr>
          <w:ilvl w:val="0"/>
          <w:numId w:val="3"/>
        </w:numPr>
        <w:spacing w:after="80"/>
      </w:pPr>
      <w:r>
        <w:rPr>
          <w:rFonts w:ascii="Arial" w:cs="Arial" w:eastAsia="Arial" w:hAnsi="Arial"/>
          <w:sz w:val="22"/>
          <w:szCs w:val="22"/>
        </w:rPr>
        <w:t xml:space="preserve">Student returns original item so any refund routes to CRF</w:t>
      </w:r>
    </w:p>
    <w:p>
      <w:pPr>
        <w:pStyle w:val="Heading2"/>
        <w:spacing w:before="300" w:after="150"/>
      </w:pPr>
      <w:r>
        <w:rPr>
          <w:rFonts w:ascii="Arial" w:cs="Arial" w:eastAsia="Arial" w:hAnsi="Arial"/>
          <w:b/>
          <w:bCs/>
          <w:sz w:val="28"/>
          <w:szCs w:val="28"/>
        </w:rPr>
        <w:t xml:space="preserve">12.3 Supporting Materials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2360"/>
      </w:tblGrid>
      <w:tr>
        <w:tc>
          <w:tcPr>
            <w:tcW w:type="dxa" w:w="2500"/>
            <w:tcBorders>
              <w:top w:val="single" w:color="CCCCCC" w:sz="1"/>
              <w:left w:val="single" w:color="CCCCCC" w:sz="1"/>
              <w:bottom w:val="single" w:color="CCCCCC" w:sz="1"/>
              <w:right w:val="single" w:color="CCCCCC" w:sz="1"/>
            </w:tcBorders>
            <w:shd w:fill="1E4D78" w:val="clear"/>
            <w:tcMar>
              <w:top w:type="dxa" w:w="60"/>
              <w:left w:type="dxa" w:w="100"/>
              <w:bottom w:type="dxa" w:w="60"/>
              <w:right w:type="dxa" w:w="100"/>
            </w:tcMar>
          </w:tcPr>
          <w:p>
            <w:r>
              <w:rPr>
                <w:rFonts w:ascii="Arial" w:cs="Arial" w:eastAsia="Arial" w:hAnsi="Arial"/>
                <w:b/>
                <w:bCs/>
                <w:color w:val="FFFFFF"/>
                <w:sz w:val="20"/>
                <w:szCs w:val="20"/>
              </w:rPr>
              <w:t xml:space="preserve">Document</w:t>
            </w:r>
          </w:p>
        </w:tc>
        <w:tc>
          <w:tcPr>
            <w:tcW w:type="dxa" w:w="3500"/>
            <w:tcBorders>
              <w:top w:val="single" w:color="CCCCCC" w:sz="1"/>
              <w:left w:val="single" w:color="CCCCCC" w:sz="1"/>
              <w:bottom w:val="single" w:color="CCCCCC" w:sz="1"/>
              <w:right w:val="single" w:color="CCCCCC" w:sz="1"/>
            </w:tcBorders>
            <w:shd w:fill="1E4D78"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dxa" w:w="2360"/>
            <w:tcBorders>
              <w:top w:val="single" w:color="CCCCCC" w:sz="1"/>
              <w:left w:val="single" w:color="CCCCCC" w:sz="1"/>
              <w:bottom w:val="single" w:color="CCCCCC" w:sz="1"/>
              <w:right w:val="single" w:color="CCCCCC" w:sz="1"/>
            </w:tcBorders>
            <w:shd w:fill="1E4D78" w:val="clear"/>
            <w:tcMar>
              <w:top w:type="dxa" w:w="60"/>
              <w:left w:type="dxa" w:w="100"/>
              <w:bottom w:type="dxa" w:w="60"/>
              <w:right w:type="dxa" w:w="100"/>
            </w:tcMar>
          </w:tcPr>
          <w:p>
            <w:r>
              <w:rPr>
                <w:rFonts w:ascii="Arial" w:cs="Arial" w:eastAsia="Arial" w:hAnsi="Arial"/>
                <w:b/>
                <w:bCs/>
                <w:color w:val="FFFFFF"/>
                <w:sz w:val="20"/>
                <w:szCs w:val="20"/>
              </w:rPr>
              <w:t xml:space="preserve">Provided To</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Store Clerk Note</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One-pager explaining even exchange policy, no refund/credit to student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Store staff</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Student Script</w:t>
            </w:r>
          </w:p>
        </w:tc>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Exact words for student to use at counter</w:t>
            </w:r>
          </w:p>
        </w:tc>
        <w:tc>
          <w:tcPr>
            <w:tcW w:type="dxa" w:w="2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Student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Exchange Email Template</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Instructions sent to student with 30-day reminder</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Student via email</w:t>
            </w:r>
          </w:p>
        </w:tc>
      </w:tr>
    </w:tbl>
    <w:p>
      <w:pPr>
        <w:pStyle w:val="Heading2"/>
        <w:spacing w:before="300" w:after="150"/>
      </w:pPr>
      <w:r>
        <w:rPr>
          <w:rFonts w:ascii="Arial" w:cs="Arial" w:eastAsia="Arial" w:hAnsi="Arial"/>
          <w:b/>
          <w:bCs/>
          <w:sz w:val="28"/>
          <w:szCs w:val="28"/>
        </w:rPr>
        <w:t xml:space="preserve">12.4 Rationale</w:t>
      </w:r>
    </w:p>
    <w:p>
      <w:pPr>
        <w:spacing w:after="120"/>
      </w:pPr>
      <w:r>
        <w:rPr>
          <w:rFonts w:ascii="Arial" w:cs="Arial" w:eastAsia="Arial" w:hAnsi="Arial"/>
          <w:sz w:val="22"/>
          <w:szCs w:val="22"/>
        </w:rPr>
        <w:t xml:space="preserve">This policy exists to:</w:t>
      </w:r>
    </w:p>
    <w:p>
      <w:pPr>
        <w:pStyle w:val="ListParagraph"/>
        <w:numPr>
          <w:ilvl w:val="0"/>
          <w:numId w:val="2"/>
        </w:numPr>
        <w:spacing w:after="80"/>
      </w:pPr>
      <w:r>
        <w:rPr>
          <w:rFonts w:ascii="Arial" w:cs="Arial" w:eastAsia="Arial" w:hAnsi="Arial"/>
          <w:sz w:val="22"/>
          <w:szCs w:val="22"/>
        </w:rPr>
        <w:t xml:space="preserve">Prevent cash leakage from the program</w:t>
      </w:r>
    </w:p>
    <w:p>
      <w:pPr>
        <w:pStyle w:val="ListParagraph"/>
        <w:numPr>
          <w:ilvl w:val="0"/>
          <w:numId w:val="2"/>
        </w:numPr>
        <w:spacing w:after="80"/>
      </w:pPr>
      <w:r>
        <w:rPr>
          <w:rFonts w:ascii="Arial" w:cs="Arial" w:eastAsia="Arial" w:hAnsi="Arial"/>
          <w:sz w:val="22"/>
          <w:szCs w:val="22"/>
        </w:rPr>
        <w:t xml:space="preserve">Maintain program integrity</w:t>
      </w:r>
    </w:p>
    <w:p>
      <w:pPr>
        <w:pStyle w:val="ListParagraph"/>
        <w:numPr>
          <w:ilvl w:val="0"/>
          <w:numId w:val="2"/>
        </w:numPr>
        <w:spacing w:after="80"/>
      </w:pPr>
      <w:r>
        <w:rPr>
          <w:rFonts w:ascii="Arial" w:cs="Arial" w:eastAsia="Arial" w:hAnsi="Arial"/>
          <w:sz w:val="22"/>
          <w:szCs w:val="22"/>
        </w:rPr>
        <w:t xml:space="preserve">Allow for genuine sizing errors or preference changes</w:t>
      </w:r>
    </w:p>
    <w:p>
      <w:pPr>
        <w:pStyle w:val="ListParagraph"/>
        <w:numPr>
          <w:ilvl w:val="0"/>
          <w:numId w:val="2"/>
        </w:numPr>
        <w:spacing w:after="80"/>
      </w:pPr>
      <w:r>
        <w:rPr>
          <w:rFonts w:ascii="Arial" w:cs="Arial" w:eastAsia="Arial" w:hAnsi="Arial"/>
          <w:sz w:val="22"/>
          <w:szCs w:val="22"/>
        </w:rPr>
        <w:t xml:space="preserve">Protect student dignity (they can get what they need)</w:t>
      </w:r>
    </w:p>
    <w:p>
      <w:pPr>
        <w:pStyle w:val="Heading1"/>
        <w:spacing w:before="400" w:after="200"/>
      </w:pPr>
      <w:r>
        <w:rPr>
          <w:rFonts w:ascii="Arial" w:cs="Arial" w:eastAsia="Arial" w:hAnsi="Arial"/>
          <w:b/>
          <w:bCs/>
          <w:sz w:val="32"/>
          <w:szCs w:val="32"/>
        </w:rPr>
        <w:t xml:space="preserve">13. Troubleshooting Guide</w:t>
      </w:r>
    </w:p>
    <w:p>
      <w:pPr>
        <w:pStyle w:val="Heading2"/>
        <w:spacing w:before="300" w:after="150"/>
      </w:pPr>
      <w:r>
        <w:rPr>
          <w:rFonts w:ascii="Arial" w:cs="Arial" w:eastAsia="Arial" w:hAnsi="Arial"/>
          <w:b/>
          <w:bCs/>
          <w:sz w:val="28"/>
          <w:szCs w:val="28"/>
        </w:rPr>
        <w:t xml:space="preserve">13.1 Common Issues and Solutions</w:t>
      </w:r>
    </w:p>
    <w:p>
      <w:pPr>
        <w:pStyle w:val="Heading3"/>
        <w:spacing w:before="200" w:after="100"/>
      </w:pPr>
      <w:r>
        <w:rPr>
          <w:rFonts w:ascii="Arial" w:cs="Arial" w:eastAsia="Arial" w:hAnsi="Arial"/>
          <w:b/>
          <w:bCs/>
          <w:sz w:val="24"/>
          <w:szCs w:val="24"/>
        </w:rPr>
        <w:t xml:space="preserve">Student Doesn't Submit Pick Form by Deadline</w:t>
      </w:r>
    </w:p>
    <w:p>
      <w:pPr>
        <w:spacing w:after="120"/>
      </w:pPr>
      <w:r>
        <w:rPr>
          <w:rFonts w:ascii="Arial" w:cs="Arial" w:eastAsia="Arial" w:hAnsi="Arial"/>
          <w:b/>
          <w:bCs/>
          <w:sz w:val="22"/>
          <w:szCs w:val="22"/>
        </w:rPr>
        <w:t xml:space="preserve">Option A (Recommended): </w:t>
      </w:r>
      <w:r>
        <w:rPr>
          <w:rFonts w:ascii="Arial" w:cs="Arial" w:eastAsia="Arial" w:hAnsi="Arial"/>
          <w:sz w:val="22"/>
          <w:szCs w:val="22"/>
        </w:rPr>
        <w:t xml:space="preserve">Apply default selections (most popular choices from previous cohort) and ship anyway. Student still receives kit, just not personalized.</w:t>
      </w:r>
    </w:p>
    <w:p>
      <w:pPr>
        <w:spacing w:after="60"/>
      </w:pPr>
    </w:p>
    <w:p>
      <w:pPr>
        <w:spacing w:after="120"/>
      </w:pPr>
      <w:r>
        <w:rPr>
          <w:rFonts w:ascii="Arial" w:cs="Arial" w:eastAsia="Arial" w:hAnsi="Arial"/>
          <w:b/>
          <w:bCs/>
          <w:sz w:val="22"/>
          <w:szCs w:val="22"/>
        </w:rPr>
        <w:t xml:space="preserve">Option B: </w:t>
      </w:r>
      <w:r>
        <w:rPr>
          <w:rFonts w:ascii="Arial" w:cs="Arial" w:eastAsia="Arial" w:hAnsi="Arial"/>
          <w:sz w:val="22"/>
          <w:szCs w:val="22"/>
        </w:rPr>
        <w:t xml:space="preserve">Send follow-up email with 48-hour extension before applying defaults.</w:t>
      </w:r>
    </w:p>
    <w:p>
      <w:pPr>
        <w:pStyle w:val="Heading3"/>
        <w:spacing w:before="200" w:after="100"/>
      </w:pPr>
      <w:r>
        <w:rPr>
          <w:rFonts w:ascii="Arial" w:cs="Arial" w:eastAsia="Arial" w:hAnsi="Arial"/>
          <w:b/>
          <w:bCs/>
          <w:sz w:val="24"/>
          <w:szCs w:val="24"/>
        </w:rPr>
        <w:t xml:space="preserve">Item Unavailable at Time of Ordering</w:t>
      </w:r>
    </w:p>
    <w:p>
      <w:pPr>
        <w:pStyle w:val="ListParagraph"/>
        <w:numPr>
          <w:ilvl w:val="0"/>
          <w:numId w:val="3"/>
        </w:numPr>
        <w:spacing w:after="80"/>
      </w:pPr>
      <w:r>
        <w:rPr>
          <w:rFonts w:ascii="Arial" w:cs="Arial" w:eastAsia="Arial" w:hAnsi="Arial"/>
          <w:sz w:val="22"/>
          <w:szCs w:val="22"/>
        </w:rPr>
        <w:t xml:space="preserve">Check the product's BACKUP RETAILER / BACKUP SKU columns — not every item has a backup listed (DEC-060)</w:t>
      </w:r>
    </w:p>
    <w:p>
      <w:pPr>
        <w:pStyle w:val="ListParagraph"/>
        <w:numPr>
          <w:ilvl w:val="0"/>
          <w:numId w:val="3"/>
        </w:numPr>
        <w:spacing w:after="80"/>
      </w:pPr>
      <w:r>
        <w:rPr>
          <w:rFonts w:ascii="Arial" w:cs="Arial" w:eastAsia="Arial" w:hAnsi="Arial"/>
          <w:sz w:val="22"/>
          <w:szCs w:val="22"/>
        </w:rPr>
        <w:t xml:space="preserve">If no backup is listed or backup is also unavailable, source an Amazon alternative and document the exception</w:t>
      </w:r>
    </w:p>
    <w:p>
      <w:pPr>
        <w:pStyle w:val="ListParagraph"/>
        <w:numPr>
          <w:ilvl w:val="0"/>
          <w:numId w:val="3"/>
        </w:numPr>
        <w:spacing w:after="80"/>
      </w:pPr>
      <w:r>
        <w:rPr>
          <w:rFonts w:ascii="Arial" w:cs="Arial" w:eastAsia="Arial" w:hAnsi="Arial"/>
          <w:sz w:val="22"/>
          <w:szCs w:val="22"/>
        </w:rPr>
        <w:t xml:space="preserve">Document the exception in the Errors tab</w:t>
      </w:r>
    </w:p>
    <w:p>
      <w:pPr>
        <w:pStyle w:val="ListParagraph"/>
        <w:numPr>
          <w:ilvl w:val="0"/>
          <w:numId w:val="3"/>
        </w:numPr>
        <w:spacing w:after="80"/>
      </w:pPr>
      <w:r>
        <w:rPr>
          <w:rFonts w:ascii="Arial" w:cs="Arial" w:eastAsia="Arial" w:hAnsi="Arial"/>
          <w:sz w:val="22"/>
          <w:szCs w:val="22"/>
        </w:rPr>
        <w:t xml:space="preserve">Update database with new source for future orders</w:t>
      </w:r>
    </w:p>
    <w:p>
      <w:pPr>
        <w:pStyle w:val="Heading3"/>
        <w:spacing w:before="200" w:after="100"/>
      </w:pPr>
      <w:r>
        <w:rPr>
          <w:rFonts w:ascii="Arial" w:cs="Arial" w:eastAsia="Arial" w:hAnsi="Arial"/>
          <w:b/>
          <w:bCs/>
          <w:sz w:val="24"/>
          <w:szCs w:val="24"/>
        </w:rPr>
        <w:t xml:space="preserve">Wrong Item Ships to Student</w:t>
      </w:r>
    </w:p>
    <w:p>
      <w:pPr>
        <w:pStyle w:val="ListParagraph"/>
        <w:numPr>
          <w:ilvl w:val="0"/>
          <w:numId w:val="3"/>
        </w:numPr>
        <w:spacing w:after="80"/>
      </w:pPr>
      <w:r>
        <w:rPr>
          <w:rFonts w:ascii="Arial" w:cs="Arial" w:eastAsia="Arial" w:hAnsi="Arial"/>
          <w:sz w:val="22"/>
          <w:szCs w:val="22"/>
        </w:rPr>
        <w:t xml:space="preserve">Place replacement order immediately (correct item)</w:t>
      </w:r>
    </w:p>
    <w:p>
      <w:pPr>
        <w:pStyle w:val="ListParagraph"/>
        <w:numPr>
          <w:ilvl w:val="0"/>
          <w:numId w:val="3"/>
        </w:numPr>
        <w:spacing w:after="80"/>
      </w:pPr>
      <w:r>
        <w:rPr>
          <w:rFonts w:ascii="Arial" w:cs="Arial" w:eastAsia="Arial" w:hAnsi="Arial"/>
          <w:sz w:val="22"/>
          <w:szCs w:val="22"/>
        </w:rPr>
        <w:t xml:space="preserve">Provide student with return label or in-store return instructions</w:t>
      </w:r>
    </w:p>
    <w:p>
      <w:pPr>
        <w:pStyle w:val="ListParagraph"/>
        <w:numPr>
          <w:ilvl w:val="0"/>
          <w:numId w:val="3"/>
        </w:numPr>
        <w:spacing w:after="80"/>
      </w:pPr>
      <w:r>
        <w:rPr>
          <w:rFonts w:ascii="Arial" w:cs="Arial" w:eastAsia="Arial" w:hAnsi="Arial"/>
          <w:sz w:val="22"/>
          <w:szCs w:val="22"/>
        </w:rPr>
        <w:t xml:space="preserve">Student returns wrong item, refund routes back to CRF</w:t>
      </w:r>
    </w:p>
    <w:p>
      <w:pPr>
        <w:pStyle w:val="ListParagraph"/>
        <w:numPr>
          <w:ilvl w:val="0"/>
          <w:numId w:val="3"/>
        </w:numPr>
        <w:spacing w:after="80"/>
      </w:pPr>
      <w:r>
        <w:rPr>
          <w:rFonts w:ascii="Arial" w:cs="Arial" w:eastAsia="Arial" w:hAnsi="Arial"/>
          <w:sz w:val="22"/>
          <w:szCs w:val="22"/>
        </w:rPr>
        <w:t xml:space="preserve">CRF absorbs any cost difference for our error</w:t>
      </w:r>
    </w:p>
    <w:p>
      <w:pPr>
        <w:pStyle w:val="Heading3"/>
        <w:spacing w:before="200" w:after="100"/>
      </w:pPr>
      <w:r>
        <w:rPr>
          <w:rFonts w:ascii="Arial" w:cs="Arial" w:eastAsia="Arial" w:hAnsi="Arial"/>
          <w:b/>
          <w:bCs/>
          <w:sz w:val="24"/>
          <w:szCs w:val="24"/>
        </w:rPr>
        <w:t xml:space="preserve">Student Moves After Providing Address</w:t>
      </w:r>
    </w:p>
    <w:p>
      <w:pPr>
        <w:pStyle w:val="ListParagraph"/>
        <w:numPr>
          <w:ilvl w:val="0"/>
          <w:numId w:val="2"/>
        </w:numPr>
        <w:spacing w:after="80"/>
      </w:pPr>
      <w:r>
        <w:rPr>
          <w:rFonts w:ascii="Arial" w:cs="Arial" w:eastAsia="Arial" w:hAnsi="Arial"/>
          <w:sz w:val="22"/>
          <w:szCs w:val="22"/>
        </w:rPr>
        <w:t xml:space="preserve">Allow address updates with 1-week notice before ordering window</w:t>
      </w:r>
    </w:p>
    <w:p>
      <w:pPr>
        <w:pStyle w:val="ListParagraph"/>
        <w:numPr>
          <w:ilvl w:val="0"/>
          <w:numId w:val="2"/>
        </w:numPr>
        <w:spacing w:after="80"/>
      </w:pPr>
      <w:r>
        <w:rPr>
          <w:rFonts w:ascii="Arial" w:cs="Arial" w:eastAsia="Arial" w:hAnsi="Arial"/>
          <w:sz w:val="22"/>
          <w:szCs w:val="22"/>
        </w:rPr>
        <w:t xml:space="preserve">Require address confirmation 1 week before ordering</w:t>
      </w:r>
    </w:p>
    <w:p>
      <w:pPr>
        <w:pStyle w:val="ListParagraph"/>
        <w:numPr>
          <w:ilvl w:val="0"/>
          <w:numId w:val="2"/>
        </w:numPr>
        <w:spacing w:after="80"/>
      </w:pPr>
      <w:r>
        <w:rPr>
          <w:rFonts w:ascii="Arial" w:cs="Arial" w:eastAsia="Arial" w:hAnsi="Arial"/>
          <w:sz w:val="22"/>
          <w:szCs w:val="22"/>
        </w:rPr>
        <w:t xml:space="preserve">If change happens after items ship: coordinate with student for package forwarding</w:t>
      </w:r>
    </w:p>
    <w:p>
      <w:pPr>
        <w:pStyle w:val="Heading3"/>
        <w:spacing w:before="200" w:after="100"/>
      </w:pPr>
      <w:r>
        <w:rPr>
          <w:rFonts w:ascii="Arial" w:cs="Arial" w:eastAsia="Arial" w:hAnsi="Arial"/>
          <w:b/>
          <w:bCs/>
          <w:sz w:val="24"/>
          <w:szCs w:val="24"/>
        </w:rPr>
        <w:t xml:space="preserve">Amazon Business Multi-Address Shipping Fails</w:t>
      </w:r>
    </w:p>
    <w:p>
      <w:pPr>
        <w:spacing w:after="120"/>
      </w:pPr>
      <w:r>
        <w:rPr>
          <w:rFonts w:ascii="Arial" w:cs="Arial" w:eastAsia="Arial" w:hAnsi="Arial"/>
          <w:b/>
          <w:bCs/>
          <w:sz w:val="22"/>
          <w:szCs w:val="22"/>
        </w:rPr>
        <w:t xml:space="preserve">Fallback: </w:t>
      </w:r>
      <w:r>
        <w:rPr>
          <w:rFonts w:ascii="Arial" w:cs="Arial" w:eastAsia="Arial" w:hAnsi="Arial"/>
          <w:sz w:val="22"/>
          <w:szCs w:val="22"/>
        </w:rPr>
        <w:t xml:space="preserve">Place individual Amazon orders manually (adds 2-3 hours to fulfillment)</w:t>
      </w:r>
    </w:p>
    <w:p>
      <w:pPr>
        <w:spacing w:after="60"/>
      </w:pPr>
    </w:p>
    <w:p>
      <w:pPr>
        <w:spacing w:after="120"/>
      </w:pPr>
      <w:r>
        <w:rPr>
          <w:rFonts w:ascii="Arial" w:cs="Arial" w:eastAsia="Arial" w:hAnsi="Arial"/>
          <w:b/>
          <w:bCs/>
          <w:sz w:val="22"/>
          <w:szCs w:val="22"/>
        </w:rPr>
        <w:t xml:space="preserve">Prevention: </w:t>
      </w:r>
      <w:r>
        <w:rPr>
          <w:rFonts w:ascii="Arial" w:cs="Arial" w:eastAsia="Arial" w:hAnsi="Arial"/>
          <w:sz w:val="22"/>
          <w:szCs w:val="22"/>
        </w:rPr>
        <w:t xml:space="preserve">Test feature with small order before relying on it for full cohort</w:t>
      </w:r>
    </w:p>
    <w:p>
      <w:pPr>
        <w:pStyle w:val="Heading3"/>
        <w:spacing w:before="200" w:after="100"/>
      </w:pPr>
      <w:r>
        <w:rPr>
          <w:rFonts w:ascii="Arial" w:cs="Arial" w:eastAsia="Arial" w:hAnsi="Arial"/>
          <w:b/>
          <w:bCs/>
          <w:sz w:val="24"/>
          <w:szCs w:val="24"/>
        </w:rPr>
        <w:t xml:space="preserve">Retailer Website Down During Ordering Window</w:t>
      </w:r>
    </w:p>
    <w:p>
      <w:pPr>
        <w:pStyle w:val="ListParagraph"/>
        <w:numPr>
          <w:ilvl w:val="0"/>
          <w:numId w:val="3"/>
        </w:numPr>
        <w:spacing w:after="80"/>
      </w:pPr>
      <w:r>
        <w:rPr>
          <w:rFonts w:ascii="Arial" w:cs="Arial" w:eastAsia="Arial" w:hAnsi="Arial"/>
          <w:sz w:val="22"/>
          <w:szCs w:val="22"/>
        </w:rPr>
        <w:t xml:space="preserve">Try in-store ordering</w:t>
      </w:r>
    </w:p>
    <w:p>
      <w:pPr>
        <w:pStyle w:val="ListParagraph"/>
        <w:numPr>
          <w:ilvl w:val="0"/>
          <w:numId w:val="3"/>
        </w:numPr>
        <w:spacing w:after="80"/>
      </w:pPr>
      <w:r>
        <w:rPr>
          <w:rFonts w:ascii="Arial" w:cs="Arial" w:eastAsia="Arial" w:hAnsi="Arial"/>
          <w:sz w:val="22"/>
          <w:szCs w:val="22"/>
        </w:rPr>
        <w:t xml:space="preserve">Call retailer's business services line</w:t>
      </w:r>
    </w:p>
    <w:p>
      <w:pPr>
        <w:pStyle w:val="ListParagraph"/>
        <w:numPr>
          <w:ilvl w:val="0"/>
          <w:numId w:val="3"/>
        </w:numPr>
        <w:spacing w:after="80"/>
      </w:pPr>
      <w:r>
        <w:rPr>
          <w:rFonts w:ascii="Arial" w:cs="Arial" w:eastAsia="Arial" w:hAnsi="Arial"/>
          <w:sz w:val="22"/>
          <w:szCs w:val="22"/>
        </w:rPr>
        <w:t xml:space="preserve">Delay orders until site back up (if within timeline)</w:t>
      </w:r>
    </w:p>
    <w:p>
      <w:pPr>
        <w:pStyle w:val="ListParagraph"/>
        <w:numPr>
          <w:ilvl w:val="0"/>
          <w:numId w:val="3"/>
        </w:numPr>
        <w:spacing w:after="80"/>
      </w:pPr>
      <w:r>
        <w:rPr>
          <w:rFonts w:ascii="Arial" w:cs="Arial" w:eastAsia="Arial" w:hAnsi="Arial"/>
          <w:sz w:val="22"/>
          <w:szCs w:val="22"/>
        </w:rPr>
        <w:t xml:space="preserve">Switch to backup retailer if extended outage</w:t>
      </w:r>
    </w:p>
    <w:p>
      <w:pPr>
        <w:pStyle w:val="Heading3"/>
        <w:spacing w:before="200" w:after="100"/>
      </w:pPr>
      <w:r>
        <w:rPr>
          <w:rFonts w:ascii="Arial" w:cs="Arial" w:eastAsia="Arial" w:hAnsi="Arial"/>
          <w:b/>
          <w:bCs/>
          <w:sz w:val="24"/>
          <w:szCs w:val="24"/>
        </w:rPr>
        <w:t xml:space="preserve">Product Recalled After Ordering</w:t>
      </w:r>
    </w:p>
    <w:p>
      <w:pPr>
        <w:pStyle w:val="ListParagraph"/>
        <w:numPr>
          <w:ilvl w:val="0"/>
          <w:numId w:val="3"/>
        </w:numPr>
        <w:spacing w:after="80"/>
      </w:pPr>
      <w:r>
        <w:rPr>
          <w:rFonts w:ascii="Arial" w:cs="Arial" w:eastAsia="Arial" w:hAnsi="Arial"/>
          <w:sz w:val="22"/>
          <w:szCs w:val="22"/>
        </w:rPr>
        <w:t xml:space="preserve">Contact all affected students about recall</w:t>
      </w:r>
    </w:p>
    <w:p>
      <w:pPr>
        <w:pStyle w:val="ListParagraph"/>
        <w:numPr>
          <w:ilvl w:val="0"/>
          <w:numId w:val="3"/>
        </w:numPr>
        <w:spacing w:after="80"/>
      </w:pPr>
      <w:r>
        <w:rPr>
          <w:rFonts w:ascii="Arial" w:cs="Arial" w:eastAsia="Arial" w:hAnsi="Arial"/>
          <w:sz w:val="22"/>
          <w:szCs w:val="22"/>
        </w:rPr>
        <w:t xml:space="preserve">Arrange for product return if already delivered</w:t>
      </w:r>
    </w:p>
    <w:p>
      <w:pPr>
        <w:pStyle w:val="ListParagraph"/>
        <w:numPr>
          <w:ilvl w:val="0"/>
          <w:numId w:val="3"/>
        </w:numPr>
        <w:spacing w:after="80"/>
      </w:pPr>
      <w:r>
        <w:rPr>
          <w:rFonts w:ascii="Arial" w:cs="Arial" w:eastAsia="Arial" w:hAnsi="Arial"/>
          <w:sz w:val="22"/>
          <w:szCs w:val="22"/>
        </w:rPr>
        <w:t xml:space="preserve">Source replacement product immediately</w:t>
      </w:r>
    </w:p>
    <w:p>
      <w:pPr>
        <w:pStyle w:val="ListParagraph"/>
        <w:numPr>
          <w:ilvl w:val="0"/>
          <w:numId w:val="3"/>
        </w:numPr>
        <w:spacing w:after="80"/>
      </w:pPr>
      <w:r>
        <w:rPr>
          <w:rFonts w:ascii="Arial" w:cs="Arial" w:eastAsia="Arial" w:hAnsi="Arial"/>
          <w:sz w:val="22"/>
          <w:szCs w:val="22"/>
        </w:rPr>
        <w:t xml:space="preserve">Rush ship replacements to maintain delivery timeline</w:t>
      </w:r>
    </w:p>
    <w:p>
      <w:pPr>
        <w:pStyle w:val="Heading2"/>
        <w:spacing w:before="300" w:after="150"/>
      </w:pPr>
      <w:r>
        <w:rPr>
          <w:rFonts w:ascii="Arial" w:cs="Arial" w:eastAsia="Arial" w:hAnsi="Arial"/>
          <w:b/>
          <w:bCs/>
          <w:sz w:val="28"/>
          <w:szCs w:val="28"/>
        </w:rPr>
        <w:t xml:space="preserve">13.2 Technical Troubleshooting</w:t>
      </w:r>
    </w:p>
    <w:p>
      <w:pPr>
        <w:pStyle w:val="Heading3"/>
        <w:spacing w:before="200" w:after="100"/>
      </w:pPr>
      <w:r>
        <w:rPr>
          <w:rFonts w:ascii="Arial" w:cs="Arial" w:eastAsia="Arial" w:hAnsi="Arial"/>
          <w:b/>
          <w:bCs/>
          <w:sz w:val="24"/>
          <w:szCs w:val="24"/>
        </w:rPr>
        <w:t xml:space="preserve">Form Submissions Not Appearing in Student_Selections</w:t>
      </w:r>
    </w:p>
    <w:p>
      <w:pPr>
        <w:pStyle w:val="ListParagraph"/>
        <w:numPr>
          <w:ilvl w:val="0"/>
          <w:numId w:val="2"/>
        </w:numPr>
        <w:spacing w:after="80"/>
      </w:pPr>
      <w:r>
        <w:rPr>
          <w:rFonts w:ascii="Arial" w:cs="Arial" w:eastAsia="Arial" w:hAnsi="Arial"/>
          <w:sz w:val="22"/>
          <w:szCs w:val="22"/>
        </w:rPr>
        <w:t xml:space="preserve">Check Vercel proxy logs for errors</w:t>
      </w:r>
    </w:p>
    <w:p>
      <w:pPr>
        <w:pStyle w:val="ListParagraph"/>
        <w:numPr>
          <w:ilvl w:val="0"/>
          <w:numId w:val="2"/>
        </w:numPr>
        <w:spacing w:after="80"/>
      </w:pPr>
      <w:r>
        <w:rPr>
          <w:rFonts w:ascii="Arial" w:cs="Arial" w:eastAsia="Arial" w:hAnsi="Arial"/>
          <w:sz w:val="22"/>
          <w:szCs w:val="22"/>
        </w:rPr>
        <w:t xml:space="preserve">Verify Google Apps Script trigger is active</w:t>
      </w:r>
    </w:p>
    <w:p>
      <w:pPr>
        <w:pStyle w:val="ListParagraph"/>
        <w:numPr>
          <w:ilvl w:val="0"/>
          <w:numId w:val="2"/>
        </w:numPr>
        <w:spacing w:after="80"/>
      </w:pPr>
      <w:r>
        <w:rPr>
          <w:rFonts w:ascii="Arial" w:cs="Arial" w:eastAsia="Arial" w:hAnsi="Arial"/>
          <w:sz w:val="22"/>
          <w:szCs w:val="22"/>
        </w:rPr>
        <w:t xml:space="preserve">Test form submission with known test email</w:t>
      </w:r>
    </w:p>
    <w:p>
      <w:pPr>
        <w:pStyle w:val="ListParagraph"/>
        <w:numPr>
          <w:ilvl w:val="0"/>
          <w:numId w:val="2"/>
        </w:numPr>
        <w:spacing w:after="80"/>
      </w:pPr>
      <w:r>
        <w:rPr>
          <w:rFonts w:ascii="Arial" w:cs="Arial" w:eastAsia="Arial" w:hAnsi="Arial"/>
          <w:sz w:val="22"/>
          <w:szCs w:val="22"/>
        </w:rPr>
        <w:t xml:space="preserve">Check for JavaScript errors in browser console</w:t>
      </w:r>
    </w:p>
    <w:p>
      <w:pPr>
        <w:pStyle w:val="Heading3"/>
        <w:spacing w:before="200" w:after="100"/>
      </w:pPr>
      <w:r>
        <w:rPr>
          <w:rFonts w:ascii="Arial" w:cs="Arial" w:eastAsia="Arial" w:hAnsi="Arial"/>
          <w:b/>
          <w:bCs/>
          <w:sz w:val="24"/>
          <w:szCs w:val="24"/>
        </w:rPr>
        <w:t xml:space="preserve">Resolver Not Writing to Resolver Tab</w:t>
      </w:r>
    </w:p>
    <w:p>
      <w:pPr>
        <w:pStyle w:val="ListParagraph"/>
        <w:numPr>
          <w:ilvl w:val="0"/>
          <w:numId w:val="2"/>
        </w:numPr>
        <w:spacing w:after="80"/>
      </w:pPr>
      <w:r>
        <w:rPr>
          <w:rFonts w:ascii="Arial" w:cs="Arial" w:eastAsia="Arial" w:hAnsi="Arial"/>
          <w:sz w:val="22"/>
          <w:szCs w:val="22"/>
        </w:rPr>
        <w:t xml:space="preserve">Check Errors tab for logged issues</w:t>
      </w:r>
    </w:p>
    <w:p>
      <w:pPr>
        <w:pStyle w:val="ListParagraph"/>
        <w:numPr>
          <w:ilvl w:val="0"/>
          <w:numId w:val="2"/>
        </w:numPr>
        <w:spacing w:after="80"/>
      </w:pPr>
      <w:r>
        <w:rPr>
          <w:rFonts w:ascii="Arial" w:cs="Arial" w:eastAsia="Arial" w:hAnsi="Arial"/>
          <w:sz w:val="22"/>
          <w:szCs w:val="22"/>
        </w:rPr>
        <w:t xml:space="preserve">Verify onFormSubmit trigger is enabled</w:t>
      </w:r>
    </w:p>
    <w:p>
      <w:pPr>
        <w:pStyle w:val="ListParagraph"/>
        <w:numPr>
          <w:ilvl w:val="0"/>
          <w:numId w:val="2"/>
        </w:numPr>
        <w:spacing w:after="80"/>
      </w:pPr>
      <w:r>
        <w:rPr>
          <w:rFonts w:ascii="Arial" w:cs="Arial" w:eastAsia="Arial" w:hAnsi="Arial"/>
          <w:sz w:val="22"/>
          <w:szCs w:val="22"/>
        </w:rPr>
        <w:t xml:space="preserve">Run Test Resolver function from menu to debug</w:t>
      </w:r>
    </w:p>
    <w:p>
      <w:pPr>
        <w:pStyle w:val="ListParagraph"/>
        <w:numPr>
          <w:ilvl w:val="0"/>
          <w:numId w:val="2"/>
        </w:numPr>
        <w:spacing w:after="80"/>
      </w:pPr>
      <w:r>
        <w:rPr>
          <w:rFonts w:ascii="Arial" w:cs="Arial" w:eastAsia="Arial" w:hAnsi="Arial"/>
          <w:sz w:val="22"/>
          <w:szCs w:val="22"/>
        </w:rPr>
        <w:t xml:space="preserve">Check Product_Logic has entries for student's preference combination</w:t>
      </w:r>
    </w:p>
    <w:p>
      <w:pPr>
        <w:pStyle w:val="Heading3"/>
        <w:spacing w:before="200" w:after="100"/>
      </w:pPr>
      <w:r>
        <w:rPr>
          <w:rFonts w:ascii="Arial" w:cs="Arial" w:eastAsia="Arial" w:hAnsi="Arial"/>
          <w:b/>
          <w:bCs/>
          <w:sz w:val="24"/>
          <w:szCs w:val="24"/>
        </w:rPr>
        <w:t xml:space="preserve">Shopping List Shows NaN or Blank Values</w:t>
      </w:r>
    </w:p>
    <w:p>
      <w:pPr>
        <w:pStyle w:val="ListParagraph"/>
        <w:numPr>
          <w:ilvl w:val="0"/>
          <w:numId w:val="2"/>
        </w:numPr>
        <w:spacing w:after="80"/>
      </w:pPr>
      <w:r>
        <w:rPr>
          <w:rFonts w:ascii="Arial" w:cs="Arial" w:eastAsia="Arial" w:hAnsi="Arial"/>
          <w:sz w:val="22"/>
          <w:szCs w:val="22"/>
        </w:rPr>
        <w:t xml:space="preserve">Array formula range may be too short - extend to A2:Z100</w:t>
      </w:r>
    </w:p>
    <w:p>
      <w:pPr>
        <w:pStyle w:val="ListParagraph"/>
        <w:numPr>
          <w:ilvl w:val="0"/>
          <w:numId w:val="2"/>
        </w:numPr>
        <w:spacing w:after="80"/>
      </w:pPr>
      <w:r>
        <w:rPr>
          <w:rFonts w:ascii="Arial" w:cs="Arial" w:eastAsia="Arial" w:hAnsi="Arial"/>
          <w:sz w:val="22"/>
          <w:szCs w:val="22"/>
        </w:rPr>
        <w:t xml:space="preserve">Check for missing data in source tabs</w:t>
      </w:r>
    </w:p>
    <w:p>
      <w:pPr>
        <w:pStyle w:val="ListParagraph"/>
        <w:numPr>
          <w:ilvl w:val="0"/>
          <w:numId w:val="2"/>
        </w:numPr>
        <w:spacing w:after="80"/>
      </w:pPr>
      <w:r>
        <w:rPr>
          <w:rFonts w:ascii="Arial" w:cs="Arial" w:eastAsia="Arial" w:hAnsi="Arial"/>
          <w:sz w:val="22"/>
          <w:szCs w:val="22"/>
        </w:rPr>
        <w:t xml:space="preserve">Verify column headers match expected names</w:t>
      </w:r>
    </w:p>
    <w:p>
      <w:pPr>
        <w:pStyle w:val="Heading3"/>
        <w:spacing w:before="200" w:after="100"/>
      </w:pPr>
      <w:r>
        <w:rPr>
          <w:rFonts w:ascii="Arial" w:cs="Arial" w:eastAsia="Arial" w:hAnsi="Arial"/>
          <w:b/>
          <w:bCs/>
          <w:sz w:val="24"/>
          <w:szCs w:val="24"/>
        </w:rPr>
        <w:t xml:space="preserve">PL_ Tabs Not Updating from Research Tabs</w:t>
      </w:r>
    </w:p>
    <w:p>
      <w:pPr>
        <w:pStyle w:val="ListParagraph"/>
        <w:numPr>
          <w:ilvl w:val="0"/>
          <w:numId w:val="2"/>
        </w:numPr>
        <w:spacing w:after="80"/>
      </w:pPr>
      <w:r>
        <w:rPr>
          <w:rFonts w:ascii="Arial" w:cs="Arial" w:eastAsia="Arial" w:hAnsi="Arial"/>
          <w:sz w:val="22"/>
          <w:szCs w:val="22"/>
        </w:rPr>
        <w:t xml:space="preserve">Formula may have been accidentally deleted - restore from backup</w:t>
      </w:r>
    </w:p>
    <w:p>
      <w:pPr>
        <w:pStyle w:val="ListParagraph"/>
        <w:numPr>
          <w:ilvl w:val="0"/>
          <w:numId w:val="2"/>
        </w:numPr>
        <w:spacing w:after="80"/>
      </w:pPr>
      <w:r>
        <w:rPr>
          <w:rFonts w:ascii="Arial" w:cs="Arial" w:eastAsia="Arial" w:hAnsi="Arial"/>
          <w:sz w:val="22"/>
          <w:szCs w:val="22"/>
        </w:rPr>
        <w:t xml:space="preserve">Check research tab has data in expected columns</w:t>
      </w:r>
    </w:p>
    <w:p>
      <w:pPr>
        <w:pStyle w:val="ListParagraph"/>
        <w:numPr>
          <w:ilvl w:val="0"/>
          <w:numId w:val="2"/>
        </w:numPr>
        <w:spacing w:after="80"/>
      </w:pPr>
      <w:r>
        <w:rPr>
          <w:rFonts w:ascii="Arial" w:cs="Arial" w:eastAsia="Arial" w:hAnsi="Arial"/>
          <w:sz w:val="22"/>
          <w:szCs w:val="22"/>
        </w:rPr>
        <w:t xml:space="preserve">Verify no manual edits broke the formula chain</w:t>
      </w:r>
    </w:p>
    <w:p>
      <w:pPr>
        <w:pStyle w:val="Heading1"/>
        <w:spacing w:before="400" w:after="200"/>
      </w:pPr>
      <w:r>
        <w:rPr>
          <w:rFonts w:ascii="Arial" w:cs="Arial" w:eastAsia="Arial" w:hAnsi="Arial"/>
          <w:b/>
          <w:bCs/>
          <w:sz w:val="32"/>
          <w:szCs w:val="32"/>
        </w:rPr>
        <w:t xml:space="preserve">14. Testimonial System</w:t>
      </w:r>
    </w:p>
    <w:p>
      <w:pPr>
        <w:pStyle w:val="Heading2"/>
        <w:spacing w:before="300" w:after="150"/>
      </w:pPr>
      <w:r>
        <w:rPr>
          <w:rFonts w:ascii="Arial" w:cs="Arial" w:eastAsia="Arial" w:hAnsi="Arial"/>
          <w:b/>
          <w:bCs/>
          <w:sz w:val="28"/>
          <w:szCs w:val="28"/>
        </w:rPr>
        <w:t xml:space="preserve">14.1 Eligibility Criteria</w:t>
      </w:r>
    </w:p>
    <w:p>
      <w:pPr>
        <w:spacing w:after="120"/>
      </w:pPr>
      <w:r>
        <w:rPr>
          <w:rFonts w:ascii="Arial" w:cs="Arial" w:eastAsia="Arial" w:hAnsi="Arial"/>
          <w:sz w:val="22"/>
          <w:szCs w:val="22"/>
        </w:rPr>
        <w:t xml:space="preserve">Students become eligible for testimonial invites when ALL conditions are met:</w:t>
      </w:r>
    </w:p>
    <w:p>
      <w:pPr>
        <w:pStyle w:val="ListParagraph"/>
        <w:numPr>
          <w:ilvl w:val="0"/>
          <w:numId w:val="2"/>
        </w:numPr>
        <w:spacing w:after="80"/>
      </w:pPr>
      <w:r>
        <w:rPr>
          <w:rFonts w:ascii="Arial" w:cs="Arial" w:eastAsia="Arial" w:hAnsi="Arial"/>
          <w:sz w:val="22"/>
          <w:szCs w:val="22"/>
        </w:rPr>
        <w:t xml:space="preserve">College start date has passed</w:t>
      </w:r>
    </w:p>
    <w:p>
      <w:pPr>
        <w:pStyle w:val="ListParagraph"/>
        <w:numPr>
          <w:ilvl w:val="0"/>
          <w:numId w:val="2"/>
        </w:numPr>
        <w:spacing w:after="80"/>
      </w:pPr>
      <w:r>
        <w:rPr>
          <w:rFonts w:ascii="Arial" w:cs="Arial" w:eastAsia="Arial" w:hAnsi="Arial"/>
          <w:sz w:val="22"/>
          <w:szCs w:val="22"/>
        </w:rPr>
        <w:t xml:space="preserve">Items Selected = "Yes" (they completed the Pick Form)</w:t>
      </w:r>
    </w:p>
    <w:p>
      <w:pPr>
        <w:pStyle w:val="ListParagraph"/>
        <w:numPr>
          <w:ilvl w:val="0"/>
          <w:numId w:val="2"/>
        </w:numPr>
        <w:spacing w:after="80"/>
      </w:pPr>
      <w:r>
        <w:rPr>
          <w:rFonts w:ascii="Arial" w:cs="Arial" w:eastAsia="Arial" w:hAnsi="Arial"/>
          <w:sz w:val="22"/>
          <w:szCs w:val="22"/>
        </w:rPr>
        <w:t xml:space="preserve">Testimonial Invited = blank (haven't been invited yet)</w:t>
      </w:r>
    </w:p>
    <w:p>
      <w:pPr>
        <w:pStyle w:val="Heading2"/>
        <w:spacing w:before="300" w:after="150"/>
      </w:pPr>
      <w:r>
        <w:rPr>
          <w:rFonts w:ascii="Arial" w:cs="Arial" w:eastAsia="Arial" w:hAnsi="Arial"/>
          <w:b/>
          <w:bCs/>
          <w:sz w:val="28"/>
          <w:szCs w:val="28"/>
        </w:rPr>
        <w:t xml:space="preserve">14.2 Outreach Process</w:t>
      </w:r>
    </w:p>
    <w:p>
      <w:pPr>
        <w:pStyle w:val="ListParagraph"/>
        <w:numPr>
          <w:ilvl w:val="0"/>
          <w:numId w:val="3"/>
        </w:numPr>
        <w:spacing w:after="80"/>
      </w:pPr>
      <w:r>
        <w:rPr>
          <w:rFonts w:ascii="Arial" w:cs="Arial" w:eastAsia="Arial" w:hAnsi="Arial"/>
          <w:sz w:val="22"/>
          <w:szCs w:val="22"/>
        </w:rPr>
        <w:t xml:space="preserve">Admin runs Fulfillment Tools &gt; Send Testimonial Invites</w:t>
      </w:r>
    </w:p>
    <w:p>
      <w:pPr>
        <w:pStyle w:val="ListParagraph"/>
        <w:numPr>
          <w:ilvl w:val="0"/>
          <w:numId w:val="3"/>
        </w:numPr>
        <w:spacing w:after="80"/>
      </w:pPr>
      <w:r>
        <w:rPr>
          <w:rFonts w:ascii="Arial" w:cs="Arial" w:eastAsia="Arial" w:hAnsi="Arial"/>
          <w:sz w:val="22"/>
          <w:szCs w:val="22"/>
        </w:rPr>
        <w:t xml:space="preserve">System identifies eligible students and shows confirmation count</w:t>
      </w:r>
    </w:p>
    <w:p>
      <w:pPr>
        <w:pStyle w:val="ListParagraph"/>
        <w:numPr>
          <w:ilvl w:val="0"/>
          <w:numId w:val="3"/>
        </w:numPr>
        <w:spacing w:after="80"/>
      </w:pPr>
      <w:r>
        <w:rPr>
          <w:rFonts w:ascii="Arial" w:cs="Arial" w:eastAsia="Arial" w:hAnsi="Arial"/>
          <w:sz w:val="22"/>
          <w:szCs w:val="22"/>
        </w:rPr>
        <w:t xml:space="preserve">Email sent with friendly request for photo/video of dorm setup</w:t>
      </w:r>
    </w:p>
    <w:p>
      <w:pPr>
        <w:pStyle w:val="ListParagraph"/>
        <w:numPr>
          <w:ilvl w:val="0"/>
          <w:numId w:val="3"/>
        </w:numPr>
        <w:spacing w:after="80"/>
      </w:pPr>
      <w:r>
        <w:rPr>
          <w:rFonts w:ascii="Arial" w:cs="Arial" w:eastAsia="Arial" w:hAnsi="Arial"/>
          <w:sz w:val="22"/>
          <w:szCs w:val="22"/>
        </w:rPr>
        <w:t xml:space="preserve">Testimonial Invited timestamp recorded in Grant_Recipients</w:t>
      </w:r>
    </w:p>
    <w:p>
      <w:pPr>
        <w:pStyle w:val="ListParagraph"/>
        <w:numPr>
          <w:ilvl w:val="0"/>
          <w:numId w:val="3"/>
        </w:numPr>
        <w:spacing w:after="80"/>
      </w:pPr>
      <w:r>
        <w:rPr>
          <w:rFonts w:ascii="Arial" w:cs="Arial" w:eastAsia="Arial" w:hAnsi="Arial"/>
          <w:sz w:val="22"/>
          <w:szCs w:val="22"/>
        </w:rPr>
        <w:t xml:space="preserve">SMS reminder sent manually using template from Testimonial_Templates tab</w:t>
      </w:r>
    </w:p>
    <w:p>
      <w:pPr>
        <w:pStyle w:val="ListParagraph"/>
        <w:numPr>
          <w:ilvl w:val="0"/>
          <w:numId w:val="3"/>
        </w:numPr>
        <w:spacing w:after="80"/>
      </w:pPr>
      <w:r>
        <w:rPr>
          <w:rFonts w:ascii="Arial" w:cs="Arial" w:eastAsia="Arial" w:hAnsi="Arial"/>
          <w:sz w:val="22"/>
          <w:szCs w:val="22"/>
        </w:rPr>
        <w:t xml:space="preserve">Students reply to email with content</w:t>
      </w:r>
    </w:p>
    <w:p>
      <w:pPr>
        <w:pStyle w:val="ListParagraph"/>
        <w:numPr>
          <w:ilvl w:val="0"/>
          <w:numId w:val="3"/>
        </w:numPr>
        <w:spacing w:after="80"/>
      </w:pPr>
      <w:r>
        <w:rPr>
          <w:rFonts w:ascii="Arial" w:cs="Arial" w:eastAsia="Arial" w:hAnsi="Arial"/>
          <w:sz w:val="22"/>
          <w:szCs w:val="22"/>
        </w:rPr>
        <w:t xml:space="preserve">$50 Visa gift card sent as thank-you</w:t>
      </w:r>
    </w:p>
    <w:p>
      <w:pPr>
        <w:pStyle w:val="ListParagraph"/>
        <w:numPr>
          <w:ilvl w:val="0"/>
          <w:numId w:val="3"/>
        </w:numPr>
        <w:spacing w:after="80"/>
      </w:pPr>
      <w:r>
        <w:rPr>
          <w:rFonts w:ascii="Arial" w:cs="Arial" w:eastAsia="Arial" w:hAnsi="Arial"/>
          <w:sz w:val="22"/>
          <w:szCs w:val="22"/>
        </w:rPr>
        <w:t xml:space="preserve">Release Signed field updated; content may be used on website/social media</w:t>
      </w:r>
    </w:p>
    <w:p>
      <w:pPr>
        <w:pStyle w:val="Heading2"/>
        <w:spacing w:before="300" w:after="150"/>
      </w:pPr>
      <w:r>
        <w:rPr>
          <w:rFonts w:ascii="Arial" w:cs="Arial" w:eastAsia="Arial" w:hAnsi="Arial"/>
          <w:b/>
          <w:bCs/>
          <w:sz w:val="28"/>
          <w:szCs w:val="28"/>
        </w:rPr>
        <w:t xml:space="preserve">14.3 Email Template Elements</w:t>
      </w:r>
    </w:p>
    <w:p>
      <w:pPr>
        <w:pStyle w:val="ListParagraph"/>
        <w:numPr>
          <w:ilvl w:val="0"/>
          <w:numId w:val="2"/>
        </w:numPr>
        <w:spacing w:after="80"/>
      </w:pPr>
      <w:r>
        <w:rPr>
          <w:rFonts w:ascii="Arial" w:cs="Arial" w:eastAsia="Arial" w:hAnsi="Arial"/>
          <w:sz w:val="22"/>
          <w:szCs w:val="22"/>
        </w:rPr>
        <w:t xml:space="preserve">Warm, appreciative tone</w:t>
      </w:r>
    </w:p>
    <w:p>
      <w:pPr>
        <w:pStyle w:val="ListParagraph"/>
        <w:numPr>
          <w:ilvl w:val="0"/>
          <w:numId w:val="2"/>
        </w:numPr>
        <w:spacing w:after="80"/>
      </w:pPr>
      <w:r>
        <w:rPr>
          <w:rFonts w:ascii="Arial" w:cs="Arial" w:eastAsia="Arial" w:hAnsi="Arial"/>
          <w:sz w:val="22"/>
          <w:szCs w:val="22"/>
        </w:rPr>
        <w:t xml:space="preserve">Specific request: photo or short video of dorm setup</w:t>
      </w:r>
    </w:p>
    <w:p>
      <w:pPr>
        <w:pStyle w:val="ListParagraph"/>
        <w:numPr>
          <w:ilvl w:val="0"/>
          <w:numId w:val="2"/>
        </w:numPr>
        <w:spacing w:after="80"/>
      </w:pPr>
      <w:r>
        <w:rPr>
          <w:rFonts w:ascii="Arial" w:cs="Arial" w:eastAsia="Arial" w:hAnsi="Arial"/>
          <w:sz w:val="22"/>
          <w:szCs w:val="22"/>
        </w:rPr>
        <w:t xml:space="preserve">Explanation of how testimonial helps future students</w:t>
      </w:r>
    </w:p>
    <w:p>
      <w:pPr>
        <w:pStyle w:val="ListParagraph"/>
        <w:numPr>
          <w:ilvl w:val="0"/>
          <w:numId w:val="2"/>
        </w:numPr>
        <w:spacing w:after="80"/>
      </w:pPr>
      <w:r>
        <w:rPr>
          <w:rFonts w:ascii="Arial" w:cs="Arial" w:eastAsia="Arial" w:hAnsi="Arial"/>
          <w:sz w:val="22"/>
          <w:szCs w:val="22"/>
        </w:rPr>
        <w:t xml:space="preserve">Release language (implicit consent by responding)</w:t>
      </w:r>
    </w:p>
    <w:p>
      <w:pPr>
        <w:pStyle w:val="ListParagraph"/>
        <w:numPr>
          <w:ilvl w:val="0"/>
          <w:numId w:val="2"/>
        </w:numPr>
        <w:spacing w:after="80"/>
      </w:pPr>
      <w:r>
        <w:rPr>
          <w:rFonts w:ascii="Arial" w:cs="Arial" w:eastAsia="Arial" w:hAnsi="Arial"/>
          <w:sz w:val="22"/>
          <w:szCs w:val="22"/>
        </w:rPr>
        <w:t xml:space="preserve">Gift card mention as thank-you</w:t>
      </w:r>
    </w:p>
    <w:p>
      <w:pPr>
        <w:pStyle w:val="Heading2"/>
        <w:spacing w:before="300" w:after="150"/>
      </w:pPr>
      <w:r>
        <w:rPr>
          <w:rFonts w:ascii="Arial" w:cs="Arial" w:eastAsia="Arial" w:hAnsi="Arial"/>
          <w:b/>
          <w:bCs/>
          <w:sz w:val="28"/>
          <w:szCs w:val="28"/>
        </w:rPr>
        <w:t xml:space="preserve">14.4 SMS Reminder Template</w:t>
      </w:r>
    </w:p>
    <w:p>
      <w:pPr>
        <w:spacing w:after="120"/>
      </w:pPr>
      <w:r>
        <w:rPr>
          <w:rFonts w:ascii="Arial" w:cs="Arial" w:eastAsia="Arial" w:hAnsi="Arial"/>
          <w:sz w:val="22"/>
          <w:szCs w:val="22"/>
        </w:rPr>
        <w:t xml:space="preserve">Located in Testimonial_Templates tab. Sent manually approximately 1 week after email if no response. Keep casual and brief.</w:t>
      </w:r>
    </w:p>
    <w:p>
      <w:pPr>
        <w:pStyle w:val="Heading1"/>
        <w:spacing w:before="400" w:after="200"/>
      </w:pPr>
      <w:r>
        <w:rPr>
          <w:rFonts w:ascii="Arial" w:cs="Arial" w:eastAsia="Arial" w:hAnsi="Arial"/>
          <w:b/>
          <w:bCs/>
          <w:sz w:val="32"/>
          <w:szCs w:val="32"/>
        </w:rPr>
        <w:t xml:space="preserve">15. Admin Functions Reference</w:t>
      </w:r>
    </w:p>
    <w:p>
      <w:pPr>
        <w:pStyle w:val="Heading2"/>
        <w:spacing w:before="300" w:after="150"/>
      </w:pPr>
      <w:r>
        <w:rPr>
          <w:rFonts w:ascii="Arial" w:cs="Arial" w:eastAsia="Arial" w:hAnsi="Arial"/>
          <w:b/>
          <w:bCs/>
          <w:sz w:val="28"/>
          <w:szCs w:val="28"/>
        </w:rPr>
        <w:t xml:space="preserve">15.1 Fulfillment Tools Menu</w:t>
      </w:r>
    </w:p>
    <w:p>
      <w:pPr>
        <w:spacing w:after="120"/>
      </w:pPr>
      <w:r>
        <w:rPr>
          <w:rFonts w:ascii="Arial" w:cs="Arial" w:eastAsia="Arial" w:hAnsi="Arial"/>
          <w:sz w:val="22"/>
          <w:szCs w:val="22"/>
        </w:rPr>
        <w:t xml:space="preserve">When the Grant Fulfillment Database opens, a custom menu appears called "Fulfillment Tools" in the menu bar. Available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2360"/>
      </w:tblGrid>
      <w:tr>
        <w:tc>
          <w:tcPr>
            <w:tcW w:type="dxa" w:w="2500"/>
            <w:tcBorders>
              <w:top w:val="single" w:color="CCCCCC" w:sz="1"/>
              <w:left w:val="single" w:color="CCCCCC" w:sz="1"/>
              <w:bottom w:val="single" w:color="CCCCCC" w:sz="1"/>
              <w:right w:val="single" w:color="CCCCCC" w:sz="1"/>
            </w:tcBorders>
            <w:shd w:fill="1E4D78" w:val="clear"/>
            <w:tcMar>
              <w:top w:type="dxa" w:w="60"/>
              <w:left w:type="dxa" w:w="100"/>
              <w:bottom w:type="dxa" w:w="60"/>
              <w:right w:type="dxa" w:w="100"/>
            </w:tcMar>
          </w:tcPr>
          <w:p>
            <w:r>
              <w:rPr>
                <w:rFonts w:ascii="Arial" w:cs="Arial" w:eastAsia="Arial" w:hAnsi="Arial"/>
                <w:b/>
                <w:bCs/>
                <w:color w:val="FFFFFF"/>
                <w:sz w:val="20"/>
                <w:szCs w:val="20"/>
              </w:rPr>
              <w:t xml:space="preserve">Function</w:t>
            </w:r>
          </w:p>
        </w:tc>
        <w:tc>
          <w:tcPr>
            <w:tcW w:type="dxa" w:w="3500"/>
            <w:tcBorders>
              <w:top w:val="single" w:color="CCCCCC" w:sz="1"/>
              <w:left w:val="single" w:color="CCCCCC" w:sz="1"/>
              <w:bottom w:val="single" w:color="CCCCCC" w:sz="1"/>
              <w:right w:val="single" w:color="CCCCCC" w:sz="1"/>
            </w:tcBorders>
            <w:shd w:fill="1E4D78"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dxa" w:w="2360"/>
            <w:tcBorders>
              <w:top w:val="single" w:color="CCCCCC" w:sz="1"/>
              <w:left w:val="single" w:color="CCCCCC" w:sz="1"/>
              <w:bottom w:val="single" w:color="CCCCCC" w:sz="1"/>
              <w:right w:val="single" w:color="CCCCCC" w:sz="1"/>
            </w:tcBorders>
            <w:shd w:fill="1E4D78" w:val="clear"/>
            <w:tcMar>
              <w:top w:type="dxa" w:w="60"/>
              <w:left w:type="dxa" w:w="100"/>
              <w:bottom w:type="dxa" w:w="60"/>
              <w:right w:type="dxa" w:w="100"/>
            </w:tcMar>
          </w:tcPr>
          <w:p>
            <w:r>
              <w:rPr>
                <w:rFonts w:ascii="Arial" w:cs="Arial" w:eastAsia="Arial" w:hAnsi="Arial"/>
                <w:b/>
                <w:bCs/>
                <w:color w:val="FFFFFF"/>
                <w:sz w:val="20"/>
                <w:szCs w:val="20"/>
              </w:rPr>
              <w:t xml:space="preserve">When to Use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Generate Shopping List</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Combines Resolver results with student addresses to create Shopping_List tab</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After students have submitted forms and resolver has matched products</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Test Resolver (Gurn)</w:t>
            </w:r>
          </w:p>
        </w:tc>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Testing function for debugging resolver logic</w:t>
            </w:r>
          </w:p>
        </w:tc>
        <w:tc>
          <w:tcPr>
            <w:tcW w:type="dxa" w:w="2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When testing changes to resolver or troubleshooting matching issues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Debug Product Logic</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Diagnostic function for product matching issues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When resolver returns unexpected results</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Send Testimonial Invites</w:t>
            </w:r>
          </w:p>
        </w:tc>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Emails eligible students requesting photos/videos</w:t>
            </w:r>
          </w:p>
        </w:tc>
        <w:tc>
          <w:tcPr>
            <w:tcW w:type="dxa" w:w="2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After start dates have passed for cohort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Archive Cohort</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Moves completed cohort data to archive tabs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At end of fulfillment season when all orders complete</w:t>
            </w:r>
          </w:p>
        </w:tc>
      </w:tr>
    </w:tbl>
    <w:p>
      <w:pPr>
        <w:pStyle w:val="Heading2"/>
        <w:spacing w:before="300" w:after="150"/>
      </w:pPr>
      <w:r>
        <w:rPr>
          <w:rFonts w:ascii="Arial" w:cs="Arial" w:eastAsia="Arial" w:hAnsi="Arial"/>
          <w:b/>
          <w:bCs/>
          <w:sz w:val="28"/>
          <w:szCs w:val="28"/>
        </w:rPr>
        <w:t xml:space="preserve">15.2 Typical Daily Workflow</w:t>
      </w:r>
    </w:p>
    <w:p>
      <w:pPr>
        <w:pStyle w:val="ListParagraph"/>
        <w:numPr>
          <w:ilvl w:val="0"/>
          <w:numId w:val="3"/>
        </w:numPr>
        <w:spacing w:after="80"/>
      </w:pPr>
      <w:r>
        <w:rPr>
          <w:rFonts w:ascii="Arial" w:cs="Arial" w:eastAsia="Arial" w:hAnsi="Arial"/>
          <w:sz w:val="22"/>
          <w:szCs w:val="22"/>
        </w:rPr>
        <w:t xml:space="preserve">Open Grant Fulfillment Database</w:t>
      </w:r>
    </w:p>
    <w:p>
      <w:pPr>
        <w:pStyle w:val="ListParagraph"/>
        <w:numPr>
          <w:ilvl w:val="0"/>
          <w:numId w:val="3"/>
        </w:numPr>
        <w:spacing w:after="80"/>
      </w:pPr>
      <w:r>
        <w:rPr>
          <w:rFonts w:ascii="Arial" w:cs="Arial" w:eastAsia="Arial" w:hAnsi="Arial"/>
          <w:sz w:val="22"/>
          <w:szCs w:val="22"/>
        </w:rPr>
        <w:t xml:space="preserve">Check Student_Selections for new form submissions</w:t>
      </w:r>
    </w:p>
    <w:p>
      <w:pPr>
        <w:pStyle w:val="ListParagraph"/>
        <w:numPr>
          <w:ilvl w:val="0"/>
          <w:numId w:val="3"/>
        </w:numPr>
        <w:spacing w:after="80"/>
      </w:pPr>
      <w:r>
        <w:rPr>
          <w:rFonts w:ascii="Arial" w:cs="Arial" w:eastAsia="Arial" w:hAnsi="Arial"/>
          <w:sz w:val="22"/>
          <w:szCs w:val="22"/>
        </w:rPr>
        <w:t xml:space="preserve">Review Resolver tab to verify products matched correctly</w:t>
      </w:r>
    </w:p>
    <w:p>
      <w:pPr>
        <w:pStyle w:val="ListParagraph"/>
        <w:numPr>
          <w:ilvl w:val="0"/>
          <w:numId w:val="3"/>
        </w:numPr>
        <w:spacing w:after="80"/>
      </w:pPr>
      <w:r>
        <w:rPr>
          <w:rFonts w:ascii="Arial" w:cs="Arial" w:eastAsia="Arial" w:hAnsi="Arial"/>
          <w:sz w:val="22"/>
          <w:szCs w:val="22"/>
        </w:rPr>
        <w:t xml:space="preserve">Check Errors tab for any matching failures</w:t>
      </w:r>
    </w:p>
    <w:p>
      <w:pPr>
        <w:pStyle w:val="ListParagraph"/>
        <w:numPr>
          <w:ilvl w:val="0"/>
          <w:numId w:val="3"/>
        </w:numPr>
        <w:spacing w:after="80"/>
      </w:pPr>
      <w:r>
        <w:rPr>
          <w:rFonts w:ascii="Arial" w:cs="Arial" w:eastAsia="Arial" w:hAnsi="Arial"/>
          <w:sz w:val="22"/>
          <w:szCs w:val="22"/>
        </w:rPr>
        <w:t xml:space="preserve">When ready to order: Fulfillment Tools &gt; Generate Shopping List</w:t>
      </w:r>
    </w:p>
    <w:p>
      <w:pPr>
        <w:pStyle w:val="ListParagraph"/>
        <w:numPr>
          <w:ilvl w:val="0"/>
          <w:numId w:val="3"/>
        </w:numPr>
        <w:spacing w:after="80"/>
      </w:pPr>
      <w:r>
        <w:rPr>
          <w:rFonts w:ascii="Arial" w:cs="Arial" w:eastAsia="Arial" w:hAnsi="Arial"/>
          <w:sz w:val="22"/>
          <w:szCs w:val="22"/>
        </w:rPr>
        <w:t xml:space="preserve">Review Shopping_List and Final_Shopping_Lists for completeness</w:t>
      </w:r>
    </w:p>
    <w:p>
      <w:pPr>
        <w:pStyle w:val="ListParagraph"/>
        <w:numPr>
          <w:ilvl w:val="0"/>
          <w:numId w:val="3"/>
        </w:numPr>
        <w:spacing w:after="80"/>
      </w:pPr>
      <w:r>
        <w:rPr>
          <w:rFonts w:ascii="Arial" w:cs="Arial" w:eastAsia="Arial" w:hAnsi="Arial"/>
          <w:sz w:val="22"/>
          <w:szCs w:val="22"/>
        </w:rPr>
        <w:t xml:space="preserve">Order choice items per student from Shopping_List</w:t>
      </w:r>
    </w:p>
    <w:p>
      <w:pPr>
        <w:pStyle w:val="ListParagraph"/>
        <w:numPr>
          <w:ilvl w:val="0"/>
          <w:numId w:val="3"/>
        </w:numPr>
        <w:spacing w:after="80"/>
      </w:pPr>
      <w:r>
        <w:rPr>
          <w:rFonts w:ascii="Arial" w:cs="Arial" w:eastAsia="Arial" w:hAnsi="Arial"/>
          <w:sz w:val="22"/>
          <w:szCs w:val="22"/>
        </w:rPr>
        <w:t xml:space="preserve">Order universal items in bulk from Universal Bulk Order</w:t>
      </w:r>
    </w:p>
    <w:p>
      <w:pPr>
        <w:pStyle w:val="ListParagraph"/>
        <w:numPr>
          <w:ilvl w:val="0"/>
          <w:numId w:val="3"/>
        </w:numPr>
        <w:spacing w:after="80"/>
      </w:pPr>
      <w:r>
        <w:rPr>
          <w:rFonts w:ascii="Arial" w:cs="Arial" w:eastAsia="Arial" w:hAnsi="Arial"/>
          <w:sz w:val="22"/>
          <w:szCs w:val="22"/>
        </w:rPr>
        <w:t xml:space="preserve">Update Budget Tracking as orders are placed</w:t>
      </w:r>
    </w:p>
    <w:p>
      <w:pPr>
        <w:pStyle w:val="ListParagraph"/>
        <w:numPr>
          <w:ilvl w:val="0"/>
          <w:numId w:val="3"/>
        </w:numPr>
        <w:spacing w:after="80"/>
      </w:pPr>
      <w:r>
        <w:rPr>
          <w:rFonts w:ascii="Arial" w:cs="Arial" w:eastAsia="Arial" w:hAnsi="Arial"/>
          <w:sz w:val="22"/>
          <w:szCs w:val="22"/>
        </w:rPr>
        <w:t xml:space="preserve">Monitor Impact_Dashboard for overall metrics</w:t>
      </w:r>
    </w:p>
    <w:p>
      <w:pPr>
        <w:pStyle w:val="Heading2"/>
        <w:spacing w:before="300" w:after="150"/>
      </w:pPr>
      <w:r>
        <w:rPr>
          <w:rFonts w:ascii="Arial" w:cs="Arial" w:eastAsia="Arial" w:hAnsi="Arial"/>
          <w:b/>
          <w:bCs/>
          <w:sz w:val="28"/>
          <w:szCs w:val="28"/>
        </w:rPr>
        <w:t xml:space="preserve">15.3 Periodic Tasks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3360"/>
      </w:tblGrid>
      <w:tr>
        <w:tc>
          <w:tcPr>
            <w:tcW w:type="dxa" w:w="2500"/>
            <w:tcBorders>
              <w:top w:val="single" w:color="CCCCCC" w:sz="1"/>
              <w:left w:val="single" w:color="CCCCCC" w:sz="1"/>
              <w:bottom w:val="single" w:color="CCCCCC" w:sz="1"/>
              <w:right w:val="single" w:color="CCCCCC" w:sz="1"/>
            </w:tcBorders>
            <w:shd w:fill="1E4D78" w:val="clear"/>
            <w:tcMar>
              <w:top w:type="dxa" w:w="60"/>
              <w:left w:type="dxa" w:w="100"/>
              <w:bottom w:type="dxa" w:w="60"/>
              <w:right w:type="dxa" w:w="100"/>
            </w:tcMar>
          </w:tcPr>
          <w:p>
            <w:r>
              <w:rPr>
                <w:rFonts w:ascii="Arial" w:cs="Arial" w:eastAsia="Arial" w:hAnsi="Arial"/>
                <w:b/>
                <w:bCs/>
                <w:color w:val="FFFFFF"/>
                <w:sz w:val="20"/>
                <w:szCs w:val="20"/>
              </w:rPr>
              <w:t xml:space="preserve">Task</w:t>
            </w:r>
          </w:p>
        </w:tc>
        <w:tc>
          <w:tcPr>
            <w:tcW w:type="dxa" w:w="2500"/>
            <w:tcBorders>
              <w:top w:val="single" w:color="CCCCCC" w:sz="1"/>
              <w:left w:val="single" w:color="CCCCCC" w:sz="1"/>
              <w:bottom w:val="single" w:color="CCCCCC" w:sz="1"/>
              <w:right w:val="single" w:color="CCCCCC" w:sz="1"/>
            </w:tcBorders>
            <w:shd w:fill="1E4D78" w:val="clear"/>
            <w:tcMar>
              <w:top w:type="dxa" w:w="60"/>
              <w:left w:type="dxa" w:w="100"/>
              <w:bottom w:type="dxa" w:w="60"/>
              <w:right w:type="dxa" w:w="100"/>
            </w:tcMar>
          </w:tcPr>
          <w:p>
            <w:r>
              <w:rPr>
                <w:rFonts w:ascii="Arial" w:cs="Arial" w:eastAsia="Arial" w:hAnsi="Arial"/>
                <w:b/>
                <w:bCs/>
                <w:color w:val="FFFFFF"/>
                <w:sz w:val="20"/>
                <w:szCs w:val="20"/>
              </w:rPr>
              <w:t xml:space="preserve">Frequency</w:t>
            </w:r>
          </w:p>
        </w:tc>
        <w:tc>
          <w:tcPr>
            <w:tcW w:type="dxa" w:w="3360"/>
            <w:tcBorders>
              <w:top w:val="single" w:color="CCCCCC" w:sz="1"/>
              <w:left w:val="single" w:color="CCCCCC" w:sz="1"/>
              <w:bottom w:val="single" w:color="CCCCCC" w:sz="1"/>
              <w:right w:val="single" w:color="CCCCCC" w:sz="1"/>
            </w:tcBorders>
            <w:shd w:fill="1E4D78"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Review Errors tab</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After each form submission batch</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Identify and fix matching issues</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Budget validation</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Weekly during fulfillment</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Ensure staying within $750/student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Phase 2B refresh</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Annually (April-May)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Verify all products still available</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Archive cohort</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Annually (after fulfillment)</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Move completed data to archives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Testimonial outreach</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After move-in dates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Request photos/videos from students</w:t>
            </w:r>
          </w:p>
        </w:tc>
      </w:tr>
    </w:tbl>
    <w:p>
      <w:pPr>
        <w:pStyle w:val="Heading1"/>
        <w:spacing w:before="400" w:after="200"/>
      </w:pPr>
      <w:r>
        <w:rPr>
          <w:rFonts w:ascii="Arial" w:cs="Arial" w:eastAsia="Arial" w:hAnsi="Arial"/>
          <w:b/>
          <w:bCs/>
          <w:sz w:val="32"/>
          <w:szCs w:val="32"/>
        </w:rPr>
        <w:t xml:space="preserve">16. Connections to Other Systems</w:t>
      </w:r>
    </w:p>
    <w:p>
      <w:pPr>
        <w:spacing w:after="120"/>
      </w:pPr>
      <w:r>
        <w:rPr>
          <w:rFonts w:ascii="Arial" w:cs="Arial" w:eastAsia="Arial" w:hAnsi="Arial"/>
          <w:sz w:val="22"/>
          <w:szCs w:val="22"/>
        </w:rPr>
        <w:t xml:space="preserve">The Grant Fulfillment System integrates with several other Campus Ready systems: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3060"/>
      </w:tblGrid>
      <w:tr>
        <w:tc>
          <w:tcPr>
            <w:tcW w:type="dxa" w:w="2500"/>
            <w:tcBorders>
              <w:top w:val="single" w:color="CCCCCC" w:sz="1"/>
              <w:left w:val="single" w:color="CCCCCC" w:sz="1"/>
              <w:bottom w:val="single" w:color="CCCCCC" w:sz="1"/>
              <w:right w:val="single" w:color="CCCCCC" w:sz="1"/>
            </w:tcBorders>
            <w:shd w:fill="1E4D78" w:val="clear"/>
            <w:tcMar>
              <w:top w:type="dxa" w:w="60"/>
              <w:left w:type="dxa" w:w="100"/>
              <w:bottom w:type="dxa" w:w="60"/>
              <w:right w:type="dxa" w:w="100"/>
            </w:tcMar>
          </w:tcPr>
          <w:p>
            <w:r>
              <w:rPr>
                <w:rFonts w:ascii="Arial" w:cs="Arial" w:eastAsia="Arial" w:hAnsi="Arial"/>
                <w:b/>
                <w:bCs/>
                <w:color w:val="FFFFFF"/>
                <w:sz w:val="20"/>
                <w:szCs w:val="20"/>
              </w:rPr>
              <w:t xml:space="preserve">System</w:t>
            </w:r>
          </w:p>
        </w:tc>
        <w:tc>
          <w:tcPr>
            <w:tcW w:type="dxa" w:w="2800"/>
            <w:tcBorders>
              <w:top w:val="single" w:color="CCCCCC" w:sz="1"/>
              <w:left w:val="single" w:color="CCCCCC" w:sz="1"/>
              <w:bottom w:val="single" w:color="CCCCCC" w:sz="1"/>
              <w:right w:val="single" w:color="CCCCCC" w:sz="1"/>
            </w:tcBorders>
            <w:shd w:fill="1E4D78" w:val="clear"/>
            <w:tcMar>
              <w:top w:type="dxa" w:w="60"/>
              <w:left w:type="dxa" w:w="100"/>
              <w:bottom w:type="dxa" w:w="60"/>
              <w:right w:type="dxa" w:w="100"/>
            </w:tcMar>
          </w:tcPr>
          <w:p>
            <w:r>
              <w:rPr>
                <w:rFonts w:ascii="Arial" w:cs="Arial" w:eastAsia="Arial" w:hAnsi="Arial"/>
                <w:b/>
                <w:bCs/>
                <w:color w:val="FFFFFF"/>
                <w:sz w:val="20"/>
                <w:szCs w:val="20"/>
              </w:rPr>
              <w:t xml:space="preserve">Connection</w:t>
            </w:r>
          </w:p>
        </w:tc>
        <w:tc>
          <w:tcPr>
            <w:tcW w:type="dxa" w:w="3060"/>
            <w:tcBorders>
              <w:top w:val="single" w:color="CCCCCC" w:sz="1"/>
              <w:left w:val="single" w:color="CCCCCC" w:sz="1"/>
              <w:bottom w:val="single" w:color="CCCCCC" w:sz="1"/>
              <w:right w:val="single" w:color="CCCCCC" w:sz="1"/>
            </w:tcBorders>
            <w:shd w:fill="1E4D78" w:val="clear"/>
            <w:tcMar>
              <w:top w:type="dxa" w:w="60"/>
              <w:left w:type="dxa" w:w="100"/>
              <w:bottom w:type="dxa" w:w="60"/>
              <w:right w:type="dxa" w:w="100"/>
            </w:tcMar>
          </w:tcPr>
          <w:p>
            <w:r>
              <w:rPr>
                <w:rFonts w:ascii="Arial" w:cs="Arial" w:eastAsia="Arial" w:hAnsi="Arial"/>
                <w:b/>
                <w:bCs/>
                <w:color w:val="FFFFFF"/>
                <w:sz w:val="20"/>
                <w:szCs w:val="20"/>
              </w:rPr>
              <w:t xml:space="preserve">Data Exchanged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Application Reviews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Winners transferred via Admin function</w:t>
            </w:r>
          </w:p>
        </w:tc>
        <w:tc>
          <w:tcPr>
            <w:tcW w:type="dxa" w:w="3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Application ID, name, email, cohort, start date</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College Checklist Intelligence</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Informs kit contents</w:t>
            </w:r>
          </w:p>
        </w:tc>
        <w:tc>
          <w:tcPr>
            <w:tcW w:type="dxa" w:w="30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College-specific packing list requirements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Website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Hosts Customize Your Kit form</w:t>
            </w:r>
          </w:p>
        </w:tc>
        <w:tc>
          <w:tcPr>
            <w:tcW w:type="dxa" w:w="3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Form hosted on GitHub Pages, communicates via Vercel proxy</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Email (Gmail)</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Award notifications and testimonial invites</w:t>
            </w:r>
          </w:p>
        </w:tc>
        <w:tc>
          <w:tcPr>
            <w:tcW w:type="dxa" w:w="30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Sent from hello@campusready.foundation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Google Drive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Document storage</w:t>
            </w:r>
          </w:p>
        </w:tc>
        <w:tc>
          <w:tcPr>
            <w:tcW w:type="dxa" w:w="3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Verification documents with Application ID prefixes</w:t>
            </w:r>
          </w:p>
        </w:tc>
      </w:tr>
    </w:tbl>
    <w:p>
      <w:pPr>
        <w:pStyle w:val="Heading1"/>
        <w:spacing w:before="400" w:after="200"/>
      </w:pPr>
      <w:r>
        <w:rPr>
          <w:rFonts w:ascii="Arial" w:cs="Arial" w:eastAsia="Arial" w:hAnsi="Arial"/>
          <w:b/>
          <w:bCs/>
          <w:sz w:val="32"/>
          <w:szCs w:val="32"/>
        </w:rPr>
        <w:t xml:space="preserve">Appendix A: Handoff Checklist</w:t>
      </w:r>
    </w:p>
    <w:p>
      <w:pPr>
        <w:spacing w:after="120"/>
      </w:pPr>
      <w:r>
        <w:rPr>
          <w:rFonts w:ascii="Arial" w:cs="Arial" w:eastAsia="Arial" w:hAnsi="Arial"/>
          <w:sz w:val="22"/>
          <w:szCs w:val="22"/>
        </w:rPr>
        <w:t xml:space="preserve">When transitioning system responsibility to a new operator, ensure they have:</w:t>
      </w:r>
    </w:p>
    <w:p>
      <w:pPr>
        <w:pStyle w:val="Heading2"/>
        <w:spacing w:before="300" w:after="150"/>
      </w:pPr>
      <w:r>
        <w:rPr>
          <w:rFonts w:ascii="Arial" w:cs="Arial" w:eastAsia="Arial" w:hAnsi="Arial"/>
          <w:b/>
          <w:bCs/>
          <w:sz w:val="28"/>
          <w:szCs w:val="28"/>
        </w:rPr>
        <w:t xml:space="preserve">Account Access</w:t>
      </w:r>
    </w:p>
    <w:p>
      <w:pPr>
        <w:pStyle w:val="ListParagraph"/>
        <w:numPr>
          <w:ilvl w:val="0"/>
          <w:numId w:val="2"/>
        </w:numPr>
        <w:spacing w:after="80"/>
      </w:pPr>
      <w:r>
        <w:rPr>
          <w:rFonts w:ascii="Arial" w:cs="Arial" w:eastAsia="Arial" w:hAnsi="Arial"/>
          <w:sz w:val="22"/>
          <w:szCs w:val="22"/>
        </w:rPr>
        <w:t xml:space="preserve">Google account with edit access to Grant Fulfillment Database</w:t>
      </w:r>
    </w:p>
    <w:p>
      <w:pPr>
        <w:pStyle w:val="ListParagraph"/>
        <w:numPr>
          <w:ilvl w:val="0"/>
          <w:numId w:val="2"/>
        </w:numPr>
        <w:spacing w:after="80"/>
      </w:pPr>
      <w:r>
        <w:rPr>
          <w:rFonts w:ascii="Arial" w:cs="Arial" w:eastAsia="Arial" w:hAnsi="Arial"/>
          <w:sz w:val="22"/>
          <w:szCs w:val="22"/>
        </w:rPr>
        <w:t xml:space="preserve">Google Drive access to Verification Documents folder</w:t>
      </w:r>
    </w:p>
    <w:p>
      <w:pPr>
        <w:pStyle w:val="ListParagraph"/>
        <w:numPr>
          <w:ilvl w:val="0"/>
          <w:numId w:val="2"/>
        </w:numPr>
        <w:spacing w:after="80"/>
      </w:pPr>
      <w:r>
        <w:rPr>
          <w:rFonts w:ascii="Arial" w:cs="Arial" w:eastAsia="Arial" w:hAnsi="Arial"/>
          <w:sz w:val="22"/>
          <w:szCs w:val="22"/>
        </w:rPr>
        <w:t xml:space="preserve">GitHub access to form repository (for updates)</w:t>
      </w:r>
    </w:p>
    <w:p>
      <w:pPr>
        <w:pStyle w:val="ListParagraph"/>
        <w:numPr>
          <w:ilvl w:val="0"/>
          <w:numId w:val="2"/>
        </w:numPr>
        <w:spacing w:after="80"/>
      </w:pPr>
      <w:r>
        <w:rPr>
          <w:rFonts w:ascii="Arial" w:cs="Arial" w:eastAsia="Arial" w:hAnsi="Arial"/>
          <w:sz w:val="22"/>
          <w:szCs w:val="22"/>
        </w:rPr>
        <w:t xml:space="preserve">Vercel account access (for proxy management)</w:t>
      </w:r>
    </w:p>
    <w:p>
      <w:pPr>
        <w:pStyle w:val="ListParagraph"/>
        <w:numPr>
          <w:ilvl w:val="0"/>
          <w:numId w:val="2"/>
        </w:numPr>
        <w:spacing w:after="80"/>
      </w:pPr>
      <w:r>
        <w:rPr>
          <w:rFonts w:ascii="Arial" w:cs="Arial" w:eastAsia="Arial" w:hAnsi="Arial"/>
          <w:sz w:val="22"/>
          <w:szCs w:val="22"/>
        </w:rPr>
        <w:t xml:space="preserve">Gmail access to hello@campusready.foundation</w:t>
      </w:r>
    </w:p>
    <w:p>
      <w:pPr>
        <w:pStyle w:val="Heading2"/>
        <w:spacing w:before="300" w:after="150"/>
      </w:pPr>
      <w:r>
        <w:rPr>
          <w:rFonts w:ascii="Arial" w:cs="Arial" w:eastAsia="Arial" w:hAnsi="Arial"/>
          <w:b/>
          <w:bCs/>
          <w:sz w:val="28"/>
          <w:szCs w:val="28"/>
        </w:rPr>
        <w:t xml:space="preserve">Documentation</w:t>
      </w:r>
    </w:p>
    <w:p>
      <w:pPr>
        <w:pStyle w:val="ListParagraph"/>
        <w:numPr>
          <w:ilvl w:val="0"/>
          <w:numId w:val="2"/>
        </w:numPr>
        <w:spacing w:after="80"/>
      </w:pPr>
      <w:r>
        <w:rPr>
          <w:rFonts w:ascii="Arial" w:cs="Arial" w:eastAsia="Arial" w:hAnsi="Arial"/>
          <w:sz w:val="22"/>
          <w:szCs w:val="22"/>
        </w:rPr>
        <w:t xml:space="preserve">This Operations Manual</w:t>
      </w:r>
    </w:p>
    <w:p>
      <w:pPr>
        <w:pStyle w:val="ListParagraph"/>
        <w:numPr>
          <w:ilvl w:val="0"/>
          <w:numId w:val="2"/>
        </w:numPr>
        <w:spacing w:after="80"/>
      </w:pPr>
      <w:r>
        <w:rPr>
          <w:rFonts w:ascii="Arial" w:cs="Arial" w:eastAsia="Arial" w:hAnsi="Arial"/>
          <w:sz w:val="22"/>
          <w:szCs w:val="22"/>
        </w:rPr>
        <w:t xml:space="preserve">Technical documentation in Google Drive &gt; Grant Fulfillment &gt; Architecture</w:t>
      </w:r>
    </w:p>
    <w:p>
      <w:pPr>
        <w:pStyle w:val="ListParagraph"/>
        <w:numPr>
          <w:ilvl w:val="0"/>
          <w:numId w:val="2"/>
        </w:numPr>
        <w:spacing w:after="80"/>
      </w:pPr>
      <w:r>
        <w:rPr>
          <w:rFonts w:ascii="Arial" w:cs="Arial" w:eastAsia="Arial" w:hAnsi="Arial"/>
          <w:sz w:val="22"/>
          <w:szCs w:val="22"/>
        </w:rPr>
        <w:t xml:space="preserve">README_DOCUMENTATION_INDEX.html for file index</w:t>
      </w:r>
    </w:p>
    <w:p>
      <w:pPr>
        <w:pStyle w:val="Heading2"/>
        <w:spacing w:before="300" w:after="150"/>
      </w:pPr>
      <w:r>
        <w:rPr>
          <w:rFonts w:ascii="Arial" w:cs="Arial" w:eastAsia="Arial" w:hAnsi="Arial"/>
          <w:b/>
          <w:bCs/>
          <w:sz w:val="28"/>
          <w:szCs w:val="28"/>
        </w:rPr>
        <w:t xml:space="preserve">Key Information</w:t>
      </w:r>
    </w:p>
    <w:p>
      <w:pPr>
        <w:pStyle w:val="ListParagraph"/>
        <w:numPr>
          <w:ilvl w:val="0"/>
          <w:numId w:val="2"/>
        </w:numPr>
        <w:spacing w:after="80"/>
      </w:pPr>
      <w:r>
        <w:rPr>
          <w:rFonts w:ascii="Arial" w:cs="Arial" w:eastAsia="Arial" w:hAnsi="Arial"/>
          <w:sz w:val="22"/>
          <w:szCs w:val="22"/>
        </w:rPr>
        <w:t xml:space="preserve">Current cohort year and status</w:t>
      </w:r>
    </w:p>
    <w:p>
      <w:pPr>
        <w:pStyle w:val="ListParagraph"/>
        <w:numPr>
          <w:ilvl w:val="0"/>
          <w:numId w:val="2"/>
        </w:numPr>
        <w:spacing w:after="80"/>
      </w:pPr>
      <w:r>
        <w:rPr>
          <w:rFonts w:ascii="Arial" w:cs="Arial" w:eastAsia="Arial" w:hAnsi="Arial"/>
          <w:sz w:val="22"/>
          <w:szCs w:val="22"/>
        </w:rPr>
        <w:t xml:space="preserve">Any pending issues or exceptions</w:t>
      </w:r>
    </w:p>
    <w:p>
      <w:pPr>
        <w:pStyle w:val="ListParagraph"/>
        <w:numPr>
          <w:ilvl w:val="0"/>
          <w:numId w:val="2"/>
        </w:numPr>
        <w:spacing w:after="80"/>
      </w:pPr>
      <w:r>
        <w:rPr>
          <w:rFonts w:ascii="Arial" w:cs="Arial" w:eastAsia="Arial" w:hAnsi="Arial"/>
          <w:sz w:val="22"/>
          <w:szCs w:val="22"/>
        </w:rPr>
        <w:t xml:space="preserve">Budget status and remaining allocation</w:t>
      </w:r>
    </w:p>
    <w:p>
      <w:pPr>
        <w:pStyle w:val="ListParagraph"/>
        <w:numPr>
          <w:ilvl w:val="0"/>
          <w:numId w:val="2"/>
        </w:numPr>
        <w:spacing w:after="80"/>
      </w:pPr>
      <w:r>
        <w:rPr>
          <w:rFonts w:ascii="Arial" w:cs="Arial" w:eastAsia="Arial" w:hAnsi="Arial"/>
          <w:sz w:val="22"/>
          <w:szCs w:val="22"/>
        </w:rPr>
        <w:t xml:space="preserve">Timeline for upcoming milestones</w:t>
      </w:r>
    </w:p>
    <w:p>
      <w:pPr>
        <w:pStyle w:val="Heading2"/>
        <w:spacing w:before="300" w:after="150"/>
      </w:pPr>
      <w:r>
        <w:rPr>
          <w:rFonts w:ascii="Arial" w:cs="Arial" w:eastAsia="Arial" w:hAnsi="Arial"/>
          <w:b/>
          <w:bCs/>
          <w:sz w:val="28"/>
          <w:szCs w:val="28"/>
        </w:rPr>
        <w:t xml:space="preserve">Training Topics</w:t>
      </w:r>
    </w:p>
    <w:p>
      <w:pPr>
        <w:pStyle w:val="ListParagraph"/>
        <w:numPr>
          <w:ilvl w:val="0"/>
          <w:numId w:val="2"/>
        </w:numPr>
        <w:spacing w:after="80"/>
      </w:pPr>
      <w:r>
        <w:rPr>
          <w:rFonts w:ascii="Arial" w:cs="Arial" w:eastAsia="Arial" w:hAnsi="Arial"/>
          <w:sz w:val="22"/>
          <w:szCs w:val="22"/>
        </w:rPr>
        <w:t xml:space="preserve">How to verify new form submissions</w:t>
      </w:r>
    </w:p>
    <w:p>
      <w:pPr>
        <w:pStyle w:val="ListParagraph"/>
        <w:numPr>
          <w:ilvl w:val="0"/>
          <w:numId w:val="2"/>
        </w:numPr>
        <w:spacing w:after="80"/>
      </w:pPr>
      <w:r>
        <w:rPr>
          <w:rFonts w:ascii="Arial" w:cs="Arial" w:eastAsia="Arial" w:hAnsi="Arial"/>
          <w:sz w:val="22"/>
          <w:szCs w:val="22"/>
        </w:rPr>
        <w:t xml:space="preserve">How to generate shopping lists</w:t>
      </w:r>
    </w:p>
    <w:p>
      <w:pPr>
        <w:pStyle w:val="ListParagraph"/>
        <w:numPr>
          <w:ilvl w:val="0"/>
          <w:numId w:val="2"/>
        </w:numPr>
        <w:spacing w:after="80"/>
      </w:pPr>
      <w:r>
        <w:rPr>
          <w:rFonts w:ascii="Arial" w:cs="Arial" w:eastAsia="Arial" w:hAnsi="Arial"/>
          <w:sz w:val="22"/>
          <w:szCs w:val="22"/>
        </w:rPr>
        <w:t xml:space="preserve">How to troubleshoot common errors</w:t>
      </w:r>
    </w:p>
    <w:p>
      <w:pPr>
        <w:pStyle w:val="ListParagraph"/>
        <w:numPr>
          <w:ilvl w:val="0"/>
          <w:numId w:val="2"/>
        </w:numPr>
        <w:spacing w:after="80"/>
      </w:pPr>
      <w:r>
        <w:rPr>
          <w:rFonts w:ascii="Arial" w:cs="Arial" w:eastAsia="Arial" w:hAnsi="Arial"/>
          <w:sz w:val="22"/>
          <w:szCs w:val="22"/>
        </w:rPr>
        <w:t xml:space="preserve">How to process exchanges</w:t>
      </w:r>
    </w:p>
    <w:p>
      <w:pPr>
        <w:pStyle w:val="ListParagraph"/>
        <w:numPr>
          <w:ilvl w:val="0"/>
          <w:numId w:val="2"/>
        </w:numPr>
        <w:spacing w:after="80"/>
      </w:pPr>
      <w:r>
        <w:rPr>
          <w:rFonts w:ascii="Arial" w:cs="Arial" w:eastAsia="Arial" w:hAnsi="Arial"/>
          <w:sz w:val="22"/>
          <w:szCs w:val="22"/>
        </w:rPr>
        <w:t xml:space="preserve">How to run testimonial outreach</w:t>
      </w:r>
    </w:p>
    <w:p>
      <w:pPr>
        <w:pStyle w:val="Heading1"/>
        <w:spacing w:before="400" w:after="200"/>
      </w:pPr>
      <w:r>
        <w:rPr>
          <w:rFonts w:ascii="Arial" w:cs="Arial" w:eastAsia="Arial" w:hAnsi="Arial"/>
          <w:b/>
          <w:bCs/>
          <w:sz w:val="32"/>
          <w:szCs w:val="32"/>
        </w:rPr>
        <w:t xml:space="preserve">Appendix B: Key Decisions Log</w:t>
      </w:r>
    </w:p>
    <w:p>
      <w:pPr>
        <w:spacing w:after="120"/>
      </w:pPr>
      <w:r>
        <w:rPr>
          <w:rFonts w:ascii="Arial" w:cs="Arial" w:eastAsia="Arial" w:hAnsi="Arial"/>
          <w:sz w:val="22"/>
          <w:szCs w:val="22"/>
        </w:rPr>
        <w:t xml:space="preserve">Historical decisions that shaped the current system design: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3360"/>
      </w:tblGrid>
      <w:tr>
        <w:tc>
          <w:tcPr>
            <w:tcW w:type="dxa" w:w="1500"/>
            <w:tcBorders>
              <w:top w:val="single" w:color="CCCCCC" w:sz="1"/>
              <w:left w:val="single" w:color="CCCCCC" w:sz="1"/>
              <w:bottom w:val="single" w:color="CCCCCC" w:sz="1"/>
              <w:right w:val="single" w:color="CCCCCC" w:sz="1"/>
            </w:tcBorders>
            <w:shd w:fill="1E4D78" w:val="clear"/>
            <w:tcMar>
              <w:top w:type="dxa" w:w="60"/>
              <w:left w:type="dxa" w:w="100"/>
              <w:bottom w:type="dxa" w:w="60"/>
              <w:right w:type="dxa" w:w="100"/>
            </w:tcMar>
          </w:tcPr>
          <w:p>
            <w:r>
              <w:rPr>
                <w:rFonts w:ascii="Arial" w:cs="Arial" w:eastAsia="Arial" w:hAnsi="Arial"/>
                <w:b/>
                <w:bCs/>
                <w:color w:val="FFFFFF"/>
                <w:sz w:val="20"/>
                <w:szCs w:val="20"/>
              </w:rPr>
              <w:t xml:space="preserve">Date</w:t>
            </w:r>
          </w:p>
        </w:tc>
        <w:tc>
          <w:tcPr>
            <w:tcW w:type="dxa" w:w="3500"/>
            <w:tcBorders>
              <w:top w:val="single" w:color="CCCCCC" w:sz="1"/>
              <w:left w:val="single" w:color="CCCCCC" w:sz="1"/>
              <w:bottom w:val="single" w:color="CCCCCC" w:sz="1"/>
              <w:right w:val="single" w:color="CCCCCC" w:sz="1"/>
            </w:tcBorders>
            <w:shd w:fill="1E4D78" w:val="clear"/>
            <w:tcMar>
              <w:top w:type="dxa" w:w="60"/>
              <w:left w:type="dxa" w:w="100"/>
              <w:bottom w:type="dxa" w:w="60"/>
              <w:right w:type="dxa" w:w="100"/>
            </w:tcMar>
          </w:tcPr>
          <w:p>
            <w:r>
              <w:rPr>
                <w:rFonts w:ascii="Arial" w:cs="Arial" w:eastAsia="Arial" w:hAnsi="Arial"/>
                <w:b/>
                <w:bCs/>
                <w:color w:val="FFFFFF"/>
                <w:sz w:val="20"/>
                <w:szCs w:val="20"/>
              </w:rPr>
              <w:t xml:space="preserve">Decision</w:t>
            </w:r>
          </w:p>
        </w:tc>
        <w:tc>
          <w:tcPr>
            <w:tcW w:type="dxa" w:w="3360"/>
            <w:tcBorders>
              <w:top w:val="single" w:color="CCCCCC" w:sz="1"/>
              <w:left w:val="single" w:color="CCCCCC" w:sz="1"/>
              <w:bottom w:val="single" w:color="CCCCCC" w:sz="1"/>
              <w:right w:val="single" w:color="CCCCCC" w:sz="1"/>
            </w:tcBorders>
            <w:shd w:fill="1E4D78" w:val="clear"/>
            <w:tcMar>
              <w:top w:type="dxa" w:w="60"/>
              <w:left w:type="dxa" w:w="100"/>
              <w:bottom w:type="dxa" w:w="60"/>
              <w:right w:type="dxa" w:w="100"/>
            </w:tcMar>
          </w:tcPr>
          <w:p>
            <w:r>
              <w:rPr>
                <w:rFonts w:ascii="Arial" w:cs="Arial" w:eastAsia="Arial" w:hAnsi="Arial"/>
                <w:b/>
                <w:bCs/>
                <w:color w:val="FFFFFF"/>
                <w:sz w:val="20"/>
                <w:szCs w:val="20"/>
              </w:rPr>
              <w:t xml:space="preserve">Rationale</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Oct 2025</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Separate research tabs from PL_ tabs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Clean tracking during research, easier handoffs, clear progress. Superseded by DEC-018 (June 2026) — PL_* tabs replaced by rebuildProductLogic().</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Oct 2025</w:t>
            </w:r>
          </w:p>
        </w:tc>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Use Target as primary, Walmart as backup</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Consistency across color options, coordinated product lines. Superseded by DEC-060 (July 2026) — Amazon is now primary for every category.</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Oct 2025</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Amazon for universal items only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Multi-address shipping efficiency for bulk orders. Superseded by DEC-060 (July 2026) — Amazon now covers choice items too.</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Oct 2025</w:t>
            </w:r>
          </w:p>
        </w:tc>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PNS fallback to Unisex + Unscented</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Safest default when gender not specified</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Oct 2025</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Bedsure duvet covers from Amazon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Target/Walmart lack Twin XL duvet cover selection. No longer a special case as of DEC-060 (July 2026) — all choice items are now Amazon-sourced by default.</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Oct 2025</w:t>
            </w:r>
          </w:p>
        </w:tc>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Exchange-only policy (no refunds)</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Prevent cash leakage while allowing genuine corrections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Nov 2025</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Three-column tagging system</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Separate test from live data, track cohort years, prevent duplicates</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Nov 2025</w:t>
            </w:r>
          </w:p>
        </w:tc>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Combined archive tabs (not year-specific)</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Easier historical analysis, simpler archive scripts</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July 2026</w:t>
            </w:r>
          </w:p>
        </w:tc>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Amazon as primary retailer for all categories (DEC-060)</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Live product data already reflected this; formalizes and documents it after it went unlogged for months.</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July 2026</w:t>
            </w:r>
          </w:p>
        </w:tc>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Amazon Business multi-address cap confirmed at 50 total items per order (DEC-061)</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Corrects an earlier assumption of a per-address cap; the real constraint is total quantity (1 item × 50 addresses, or 2 × 25, etc.) — affects batch planning for any universal item with Qty per Student ≥ 2.</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July 2026</w:t>
            </w:r>
          </w:p>
        </w:tc>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Universal Bulk Order tab converted to self-maintaining formulas, including gender-aware quantity counting (DEC-062)</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Eliminates recurring hardcoded-headcount errors; recalculates automatically as cohort size changes or gender-restricted items are added.</w:t>
            </w:r>
          </w:p>
        </w:tc>
      </w:tr>
    </w:tbl>
    <w:p>
      <w:pPr>
        <w:pStyle w:val="Heading1"/>
        <w:spacing w:before="400" w:after="200"/>
      </w:pPr>
      <w:r>
        <w:rPr>
          <w:rFonts w:ascii="Arial" w:cs="Arial" w:eastAsia="Arial" w:hAnsi="Arial"/>
          <w:b/>
          <w:bCs/>
          <w:sz w:val="32"/>
          <w:szCs w:val="32"/>
        </w:rPr>
        <w:t xml:space="preserve">Appendix C: Glossary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5860"/>
      </w:tblGrid>
      <w:tr>
        <w:tc>
          <w:tcPr>
            <w:tcW w:type="dxa" w:w="2500"/>
            <w:tcBorders>
              <w:top w:val="single" w:color="CCCCCC" w:sz="1"/>
              <w:left w:val="single" w:color="CCCCCC" w:sz="1"/>
              <w:bottom w:val="single" w:color="CCCCCC" w:sz="1"/>
              <w:right w:val="single" w:color="CCCCCC" w:sz="1"/>
            </w:tcBorders>
            <w:shd w:fill="1E4D78" w:val="clear"/>
            <w:tcMar>
              <w:top w:type="dxa" w:w="60"/>
              <w:left w:type="dxa" w:w="100"/>
              <w:bottom w:type="dxa" w:w="60"/>
              <w:right w:type="dxa" w:w="100"/>
            </w:tcMar>
          </w:tcPr>
          <w:p>
            <w:r>
              <w:rPr>
                <w:rFonts w:ascii="Arial" w:cs="Arial" w:eastAsia="Arial" w:hAnsi="Arial"/>
                <w:b/>
                <w:bCs/>
                <w:color w:val="FFFFFF"/>
                <w:sz w:val="20"/>
                <w:szCs w:val="20"/>
              </w:rPr>
              <w:t xml:space="preserve">Term</w:t>
            </w:r>
          </w:p>
        </w:tc>
        <w:tc>
          <w:tcPr>
            <w:tcW w:type="dxa" w:w="5860"/>
            <w:tcBorders>
              <w:top w:val="single" w:color="CCCCCC" w:sz="1"/>
              <w:left w:val="single" w:color="CCCCCC" w:sz="1"/>
              <w:bottom w:val="single" w:color="CCCCCC" w:sz="1"/>
              <w:right w:val="single" w:color="CCCCCC" w:sz="1"/>
            </w:tcBorders>
            <w:shd w:fill="1E4D78" w:val="clear"/>
            <w:tcMar>
              <w:top w:type="dxa" w:w="60"/>
              <w:left w:type="dxa" w:w="100"/>
              <w:bottom w:type="dxa" w:w="60"/>
              <w:right w:type="dxa" w:w="100"/>
            </w:tcMar>
          </w:tcPr>
          <w:p>
            <w:r>
              <w:rPr>
                <w:rFonts w:ascii="Arial" w:cs="Arial" w:eastAsia="Arial" w:hAnsi="Arial"/>
                <w:b/>
                <w:bCs/>
                <w:color w:val="FFFFFF"/>
                <w:sz w:val="20"/>
                <w:szCs w:val="20"/>
              </w:rPr>
              <w:t xml:space="preserve">Definition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Choice Item</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Product where student selects color, scent, size, or style preference</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Universal Item</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Product every student receives regardless of preferences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Resolver</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Script that matches student preferences to specific products</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Product_Logic</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Master database containing all products with matching criteria</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PL_ Tab</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Deprecated intermediate tab type (PL_Personal_Care, PL_Bedding, etc.) replaced by rebuildProductLogic() in DEC-018 (June 2026). No longer part of the active pipeline — may be hidden or deleted if still present.</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PNS</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Prefer Not to Say (gender preference option)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Phase 2B</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Annual SKU refresh process (April-May)</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Cohort Year</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Grant cycle year (e.g., 2026 cohort)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Vercel Proxy</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Middleware that enables form-to-Google communication</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CORS</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Cross-Origin Resource Sharing (browser security restriction)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DXA</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Document units (1440 DXA = 1 inch)</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Twin XL</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000000"/>
                <w:sz w:val="20"/>
                <w:szCs w:val="20"/>
              </w:rPr>
              <w:t xml:space="preserve">Standard college dorm mattress size (39" x 80")</w:t>
            </w:r>
          </w:p>
        </w:tc>
      </w:tr>
    </w:tbl>
    <w:p>
      <w:pPr>
        <w:spacing w:after="60"/>
      </w:pPr>
    </w:p>
    <w:p>
      <w:pPr>
        <w:spacing w:after="60"/>
      </w:pPr>
    </w:p>
    <w:p>
      <w:pPr>
        <w:spacing w:before="400"/>
        <w:jc w:val="center"/>
      </w:pPr>
      <w:r>
        <w:rPr>
          <w:rFonts w:ascii="Arial" w:cs="Arial" w:eastAsia="Arial" w:hAnsi="Arial"/>
          <w:i/>
          <w:iCs/>
          <w:color w:val="666666"/>
          <w:sz w:val="22"/>
          <w:szCs w:val="22"/>
        </w:rPr>
        <w:t xml:space="preserve">— End of Operations Manual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Campus Ready Foundation — Grant Fulfillment Operations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4D78"/>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E5D88"/>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E6D9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2026-01-10T18:56:38.302Z</dcterms:created>
  <dcterms:modified xsi:type="dcterms:W3CDTF">2026-01-10T18:56:38.303Z</dcterms:modified>
</cp:coreProperties>
</file>

<file path=docProps/custom.xml><?xml version="1.0" encoding="utf-8"?>
<Properties xmlns="http://schemas.openxmlformats.org/officeDocument/2006/custom-properties" xmlns:vt="http://schemas.openxmlformats.org/officeDocument/2006/docPropsVTypes"/>
</file>