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475B" w14:textId="439D08F2" w:rsidR="003A4FF9" w:rsidRPr="001B12D5" w:rsidRDefault="003A4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2D5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C63F52" w:rsidRPr="001B12D5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E9B157E" w14:textId="46494C9F" w:rsidR="00521962" w:rsidRPr="00C63F52" w:rsidRDefault="00F662A2">
      <w:pPr>
        <w:rPr>
          <w:rFonts w:ascii="Times New Roman" w:hAnsi="Times New Roman" w:cs="Times New Roman"/>
          <w:sz w:val="24"/>
          <w:szCs w:val="24"/>
        </w:rPr>
      </w:pPr>
      <w:r w:rsidRPr="00C63F52">
        <w:rPr>
          <w:rFonts w:ascii="Times New Roman" w:hAnsi="Times New Roman" w:cs="Times New Roman"/>
          <w:i/>
          <w:iCs/>
          <w:sz w:val="24"/>
          <w:szCs w:val="24"/>
        </w:rPr>
        <w:t>Imputation via scImpute</w:t>
      </w:r>
      <w:r w:rsidR="00806DB2" w:rsidRPr="00C63F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5C5E" w:rsidRPr="00C63F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65FEA" w:rsidRPr="00C63F52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17A13CA4" w14:textId="2134B4AC" w:rsidR="00DF68EB" w:rsidRPr="00C63F52" w:rsidRDefault="00F662A2">
      <w:pPr>
        <w:rPr>
          <w:rFonts w:ascii="Times New Roman" w:hAnsi="Times New Roman" w:cs="Times New Roman"/>
          <w:sz w:val="24"/>
          <w:szCs w:val="24"/>
        </w:rPr>
      </w:pPr>
      <w:r w:rsidRPr="00C63F52">
        <w:rPr>
          <w:rFonts w:ascii="Times New Roman" w:hAnsi="Times New Roman" w:cs="Times New Roman"/>
          <w:sz w:val="24"/>
          <w:szCs w:val="24"/>
        </w:rPr>
        <w:t xml:space="preserve">To </w:t>
      </w:r>
      <w:r w:rsidR="00321E85" w:rsidRPr="00C63F52">
        <w:rPr>
          <w:rFonts w:ascii="Times New Roman" w:hAnsi="Times New Roman" w:cs="Times New Roman"/>
          <w:sz w:val="24"/>
          <w:szCs w:val="24"/>
        </w:rPr>
        <w:t>test</w:t>
      </w:r>
      <w:r w:rsidRPr="00C63F52">
        <w:rPr>
          <w:rFonts w:ascii="Times New Roman" w:hAnsi="Times New Roman" w:cs="Times New Roman"/>
          <w:sz w:val="24"/>
          <w:szCs w:val="24"/>
        </w:rPr>
        <w:t xml:space="preserve"> whether the imputation improves the performance of GMM-VGAE clustering, we impute</w:t>
      </w:r>
      <w:r w:rsidR="00C63F52">
        <w:rPr>
          <w:rFonts w:ascii="Times New Roman" w:hAnsi="Times New Roman" w:cs="Times New Roman"/>
          <w:sz w:val="24"/>
          <w:szCs w:val="24"/>
        </w:rPr>
        <w:t>d</w:t>
      </w:r>
      <w:r w:rsidRPr="00C63F52">
        <w:rPr>
          <w:rFonts w:ascii="Times New Roman" w:hAnsi="Times New Roman" w:cs="Times New Roman"/>
          <w:sz w:val="24"/>
          <w:szCs w:val="24"/>
        </w:rPr>
        <w:t xml:space="preserve"> the three real </w:t>
      </w:r>
      <w:r w:rsidR="001B12D5">
        <w:rPr>
          <w:rFonts w:ascii="Times New Roman" w:hAnsi="Times New Roman" w:cs="Times New Roman"/>
          <w:sz w:val="24"/>
          <w:szCs w:val="24"/>
        </w:rPr>
        <w:t xml:space="preserve">labeled </w:t>
      </w:r>
      <w:r w:rsidRPr="00C63F52">
        <w:rPr>
          <w:rFonts w:ascii="Times New Roman" w:hAnsi="Times New Roman" w:cs="Times New Roman"/>
          <w:sz w:val="24"/>
          <w:szCs w:val="24"/>
        </w:rPr>
        <w:t>datasets (</w:t>
      </w:r>
      <w:r w:rsidRPr="001B12D5">
        <w:rPr>
          <w:rFonts w:ascii="Times New Roman" w:hAnsi="Times New Roman" w:cs="Times New Roman"/>
          <w:i/>
          <w:iCs/>
          <w:sz w:val="24"/>
          <w:szCs w:val="24"/>
        </w:rPr>
        <w:t>i.e.</w:t>
      </w:r>
      <w:r w:rsidRPr="00C63F52">
        <w:rPr>
          <w:rFonts w:ascii="Times New Roman" w:hAnsi="Times New Roman" w:cs="Times New Roman"/>
          <w:sz w:val="24"/>
          <w:szCs w:val="24"/>
        </w:rPr>
        <w:t>, Baron</w:t>
      </w:r>
      <w:r w:rsidR="00CF530A" w:rsidRPr="00C63F52">
        <w:rPr>
          <w:rFonts w:ascii="Times New Roman" w:hAnsi="Times New Roman" w:cs="Times New Roman"/>
          <w:sz w:val="24"/>
          <w:szCs w:val="24"/>
        </w:rPr>
        <w:t xml:space="preserve"> </w:t>
      </w:r>
      <w:r w:rsidRPr="00C63F52">
        <w:rPr>
          <w:rFonts w:ascii="Times New Roman" w:hAnsi="Times New Roman" w:cs="Times New Roman"/>
          <w:sz w:val="24"/>
          <w:szCs w:val="24"/>
        </w:rPr>
        <w:t>3, Baron 4</w:t>
      </w:r>
      <w:r w:rsidR="00C63F52">
        <w:rPr>
          <w:rFonts w:ascii="Times New Roman" w:hAnsi="Times New Roman" w:cs="Times New Roman"/>
          <w:sz w:val="24"/>
          <w:szCs w:val="24"/>
        </w:rPr>
        <w:t>,</w:t>
      </w:r>
      <w:r w:rsidRPr="00C63F52">
        <w:rPr>
          <w:rFonts w:ascii="Times New Roman" w:hAnsi="Times New Roman" w:cs="Times New Roman"/>
          <w:sz w:val="24"/>
          <w:szCs w:val="24"/>
        </w:rPr>
        <w:t xml:space="preserve"> and Darmanis) with </w:t>
      </w:r>
      <w:r w:rsidR="00321E85" w:rsidRPr="00C63F52">
        <w:rPr>
          <w:rFonts w:ascii="Times New Roman" w:hAnsi="Times New Roman" w:cs="Times New Roman"/>
          <w:sz w:val="24"/>
          <w:szCs w:val="24"/>
        </w:rPr>
        <w:t>a state-of-the-art imputation</w:t>
      </w:r>
      <w:r w:rsidRPr="00C63F52">
        <w:rPr>
          <w:rFonts w:ascii="Times New Roman" w:hAnsi="Times New Roman" w:cs="Times New Roman"/>
          <w:sz w:val="24"/>
          <w:szCs w:val="24"/>
        </w:rPr>
        <w:t xml:space="preserve"> algorithm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 scImpute</w:t>
      </w:r>
      <w:r w:rsidRPr="00C63F52">
        <w:rPr>
          <w:rFonts w:ascii="Times New Roman" w:hAnsi="Times New Roman" w:cs="Times New Roman"/>
          <w:sz w:val="24"/>
          <w:szCs w:val="24"/>
        </w:rPr>
        <w:t>. Based on the previous compar</w:t>
      </w:r>
      <w:r w:rsidR="00895194">
        <w:rPr>
          <w:rFonts w:ascii="Times New Roman" w:hAnsi="Times New Roman" w:cs="Times New Roman"/>
          <w:sz w:val="24"/>
          <w:szCs w:val="24"/>
        </w:rPr>
        <w:t>ative</w:t>
      </w:r>
      <w:r w:rsidRPr="00C63F52">
        <w:rPr>
          <w:rFonts w:ascii="Times New Roman" w:hAnsi="Times New Roman" w:cs="Times New Roman"/>
          <w:sz w:val="24"/>
          <w:szCs w:val="24"/>
        </w:rPr>
        <w:t xml:space="preserve"> study of single-cell RNA-sequencing imputation methods (Hou </w:t>
      </w:r>
      <w:r w:rsidRPr="001B12D5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C63F52">
        <w:rPr>
          <w:rFonts w:ascii="Times New Roman" w:hAnsi="Times New Roman" w:cs="Times New Roman"/>
          <w:sz w:val="24"/>
          <w:szCs w:val="24"/>
        </w:rPr>
        <w:t xml:space="preserve">, 2020), </w:t>
      </w:r>
      <w:r w:rsidR="00321E85" w:rsidRPr="00C63F52">
        <w:rPr>
          <w:rFonts w:ascii="Times New Roman" w:hAnsi="Times New Roman" w:cs="Times New Roman"/>
          <w:sz w:val="24"/>
          <w:szCs w:val="24"/>
        </w:rPr>
        <w:t>most methods at</w:t>
      </w:r>
      <w:r w:rsidR="00895194">
        <w:rPr>
          <w:rFonts w:ascii="Times New Roman" w:hAnsi="Times New Roman" w:cs="Times New Roman"/>
          <w:sz w:val="24"/>
          <w:szCs w:val="24"/>
        </w:rPr>
        <w:t xml:space="preserve"> the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 current stage d</w:t>
      </w:r>
      <w:r w:rsidR="00C63F52">
        <w:rPr>
          <w:rFonts w:ascii="Times New Roman" w:hAnsi="Times New Roman" w:cs="Times New Roman"/>
          <w:sz w:val="24"/>
          <w:szCs w:val="24"/>
        </w:rPr>
        <w:t>o not</w:t>
      </w:r>
      <w:r w:rsidRPr="00C63F52">
        <w:rPr>
          <w:rFonts w:ascii="Times New Roman" w:hAnsi="Times New Roman" w:cs="Times New Roman"/>
          <w:sz w:val="24"/>
          <w:szCs w:val="24"/>
        </w:rPr>
        <w:t xml:space="preserve"> improve the performance of the downstream traditional clustering analyses. </w:t>
      </w:r>
      <w:r w:rsidR="00321E85" w:rsidRPr="00C63F52">
        <w:rPr>
          <w:rFonts w:ascii="Times New Roman" w:hAnsi="Times New Roman" w:cs="Times New Roman"/>
          <w:sz w:val="24"/>
          <w:szCs w:val="24"/>
        </w:rPr>
        <w:t>Among those</w:t>
      </w:r>
      <w:r w:rsidR="00C67E2A" w:rsidRPr="00C63F52">
        <w:rPr>
          <w:rFonts w:ascii="Times New Roman" w:hAnsi="Times New Roman" w:cs="Times New Roman"/>
          <w:sz w:val="24"/>
          <w:szCs w:val="24"/>
        </w:rPr>
        <w:t xml:space="preserve"> imputation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 methods </w:t>
      </w:r>
      <w:r w:rsidR="00C63F52">
        <w:rPr>
          <w:rFonts w:ascii="Times New Roman" w:hAnsi="Times New Roman" w:cs="Times New Roman"/>
          <w:sz w:val="24"/>
          <w:szCs w:val="24"/>
        </w:rPr>
        <w:t>showing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 improvements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, we </w:t>
      </w:r>
      <w:r w:rsidR="00321E85" w:rsidRPr="00C63F52">
        <w:rPr>
          <w:rFonts w:ascii="Times New Roman" w:hAnsi="Times New Roman" w:cs="Times New Roman"/>
          <w:sz w:val="24"/>
          <w:szCs w:val="24"/>
        </w:rPr>
        <w:t>further selected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 the methods that </w:t>
      </w:r>
      <w:r w:rsidR="00895194">
        <w:rPr>
          <w:rFonts w:ascii="Times New Roman" w:hAnsi="Times New Roman" w:cs="Times New Roman"/>
          <w:sz w:val="24"/>
          <w:szCs w:val="24"/>
        </w:rPr>
        <w:t>can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 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impute the 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technical 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zeros while preserving the 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biological </w:t>
      </w:r>
      <w:r w:rsidR="00DF68EB" w:rsidRPr="00C63F52">
        <w:rPr>
          <w:rFonts w:ascii="Times New Roman" w:hAnsi="Times New Roman" w:cs="Times New Roman"/>
          <w:sz w:val="24"/>
          <w:szCs w:val="24"/>
        </w:rPr>
        <w:t>zeros, which are scImpute and SAVER</w:t>
      </w:r>
      <w:r w:rsidR="00C63F52">
        <w:rPr>
          <w:rFonts w:ascii="Times New Roman" w:hAnsi="Times New Roman" w:cs="Times New Roman"/>
          <w:sz w:val="24"/>
          <w:szCs w:val="24"/>
        </w:rPr>
        <w:t xml:space="preserve"> (</w:t>
      </w:r>
      <w:r w:rsidR="001B12D5">
        <w:rPr>
          <w:rFonts w:ascii="Times New Roman" w:hAnsi="Times New Roman" w:cs="Times New Roman"/>
          <w:sz w:val="24"/>
          <w:szCs w:val="24"/>
        </w:rPr>
        <w:t xml:space="preserve">Li and Li, 2018; Huang </w:t>
      </w:r>
      <w:r w:rsidR="001B12D5" w:rsidRPr="001B12D5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="001B12D5">
        <w:rPr>
          <w:rFonts w:ascii="Times New Roman" w:hAnsi="Times New Roman" w:cs="Times New Roman"/>
          <w:sz w:val="24"/>
          <w:szCs w:val="24"/>
        </w:rPr>
        <w:t>, 2018</w:t>
      </w:r>
      <w:r w:rsidR="00C63F52">
        <w:rPr>
          <w:rFonts w:ascii="Times New Roman" w:hAnsi="Times New Roman" w:cs="Times New Roman"/>
          <w:sz w:val="24"/>
          <w:szCs w:val="24"/>
        </w:rPr>
        <w:t>)</w:t>
      </w:r>
      <w:r w:rsidR="00DF68EB" w:rsidRPr="00C63F52">
        <w:rPr>
          <w:rFonts w:ascii="Times New Roman" w:hAnsi="Times New Roman" w:cs="Times New Roman"/>
          <w:sz w:val="24"/>
          <w:szCs w:val="24"/>
        </w:rPr>
        <w:t>. However, in our preliminary study, the results from SAVER caused singularit</w:t>
      </w:r>
      <w:r w:rsidR="00C854B9">
        <w:rPr>
          <w:rFonts w:ascii="Times New Roman" w:hAnsi="Times New Roman" w:cs="Times New Roman"/>
          <w:sz w:val="24"/>
          <w:szCs w:val="24"/>
        </w:rPr>
        <w:t>y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 problem</w:t>
      </w:r>
      <w:r w:rsidR="00C854B9">
        <w:rPr>
          <w:rFonts w:ascii="Times New Roman" w:hAnsi="Times New Roman" w:cs="Times New Roman"/>
          <w:sz w:val="24"/>
          <w:szCs w:val="24"/>
        </w:rPr>
        <w:t>s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 during the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 following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 clustering</w:t>
      </w:r>
      <w:r w:rsidR="00321E85" w:rsidRPr="00C63F52">
        <w:rPr>
          <w:rFonts w:ascii="Times New Roman" w:hAnsi="Times New Roman" w:cs="Times New Roman"/>
          <w:sz w:val="24"/>
          <w:szCs w:val="24"/>
        </w:rPr>
        <w:t>.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 </w:t>
      </w:r>
      <w:r w:rsidR="00321E85" w:rsidRPr="00C63F52">
        <w:rPr>
          <w:rFonts w:ascii="Times New Roman" w:hAnsi="Times New Roman" w:cs="Times New Roman"/>
          <w:sz w:val="24"/>
          <w:szCs w:val="24"/>
        </w:rPr>
        <w:t>Thus,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 we </w:t>
      </w:r>
      <w:r w:rsidR="00321E85" w:rsidRPr="00C63F52">
        <w:rPr>
          <w:rFonts w:ascii="Times New Roman" w:hAnsi="Times New Roman" w:cs="Times New Roman"/>
          <w:sz w:val="24"/>
          <w:szCs w:val="24"/>
        </w:rPr>
        <w:t>picked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 scImpute </w:t>
      </w:r>
      <w:r w:rsidR="00682CC6" w:rsidRPr="00C63F52">
        <w:rPr>
          <w:rFonts w:ascii="Times New Roman" w:hAnsi="Times New Roman" w:cs="Times New Roman"/>
          <w:sz w:val="24"/>
          <w:szCs w:val="24"/>
        </w:rPr>
        <w:t>for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 imputation </w:t>
      </w:r>
      <w:r w:rsidR="00682CC6" w:rsidRPr="00C63F52">
        <w:rPr>
          <w:rFonts w:ascii="Times New Roman" w:hAnsi="Times New Roman" w:cs="Times New Roman"/>
          <w:sz w:val="24"/>
          <w:szCs w:val="24"/>
        </w:rPr>
        <w:t>in</w:t>
      </w:r>
      <w:r w:rsidR="00321E85" w:rsidRPr="00C63F52">
        <w:rPr>
          <w:rFonts w:ascii="Times New Roman" w:hAnsi="Times New Roman" w:cs="Times New Roman"/>
          <w:sz w:val="24"/>
          <w:szCs w:val="24"/>
        </w:rPr>
        <w:t xml:space="preserve"> our </w:t>
      </w:r>
      <w:r w:rsidR="005232F8">
        <w:rPr>
          <w:rFonts w:ascii="Times New Roman" w:hAnsi="Times New Roman" w:cs="Times New Roman"/>
          <w:sz w:val="24"/>
          <w:szCs w:val="24"/>
        </w:rPr>
        <w:t>research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9FF78B" w14:textId="07E9E7EB" w:rsidR="00384EC4" w:rsidRPr="00C63F52" w:rsidRDefault="00D41EC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During the</w:t>
      </w:r>
      <w:r w:rsidR="00DF68EB" w:rsidRPr="00C63F52">
        <w:rPr>
          <w:rFonts w:ascii="Times New Roman" w:hAnsi="Times New Roman" w:cs="Times New Roman"/>
          <w:sz w:val="24"/>
          <w:szCs w:val="24"/>
        </w:rPr>
        <w:t xml:space="preserve"> imput</w:t>
      </w:r>
      <w:r>
        <w:rPr>
          <w:rFonts w:ascii="Times New Roman" w:hAnsi="Times New Roman" w:cs="Times New Roman"/>
          <w:sz w:val="24"/>
          <w:szCs w:val="24"/>
        </w:rPr>
        <w:t>ation</w:t>
      </w:r>
      <w:r w:rsidR="00DF68EB" w:rsidRPr="00C63F52">
        <w:rPr>
          <w:rFonts w:ascii="Times New Roman" w:hAnsi="Times New Roman" w:cs="Times New Roman"/>
          <w:sz w:val="24"/>
          <w:szCs w:val="24"/>
        </w:rPr>
        <w:t>, scImpute</w:t>
      </w:r>
      <w:r w:rsidR="0040674B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first learns each gene’s dropout probability in each cell by fitting a </w:t>
      </w:r>
      <w:r w:rsidR="00384EC4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Gamma-Normal </w:t>
      </w:r>
      <w:r w:rsidR="0040674B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mixture model. </w:t>
      </w:r>
      <w:r w:rsid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Specifically, t</w:t>
      </w:r>
      <w:r w:rsidR="00384EC4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dropout probability (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ij</m:t>
            </m:r>
          </m:sub>
        </m:sSub>
      </m:oMath>
      <w:r w:rsidR="00384EC4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of gene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</m:t>
        </m:r>
      </m:oMath>
      <w:r w:rsidR="00384EC4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cell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j</m:t>
        </m:r>
      </m:oMath>
      <w:r w:rsidR="00384EC4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estimated as</w:t>
      </w:r>
    </w:p>
    <w:p w14:paraId="0CA738E2" w14:textId="36FEF391" w:rsidR="00384EC4" w:rsidRPr="00C63F52" w:rsidRDefault="00000000" w:rsidP="003A4FF9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Gamma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Gamma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+(1-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)Normal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,</m:t>
          </m:r>
        </m:oMath>
      </m:oMathPara>
    </w:p>
    <w:p w14:paraId="6DD2D990" w14:textId="30B24095" w:rsidR="003A4FF9" w:rsidRPr="00C63F52" w:rsidRDefault="003A4FF9" w:rsidP="003A4FF9">
      <w:pPr>
        <w:rPr>
          <w:rFonts w:ascii="Times New Roman" w:hAnsi="Times New Roman" w:cs="Times New Roman"/>
          <w:sz w:val="24"/>
          <w:szCs w:val="24"/>
        </w:rPr>
      </w:pPr>
      <w:r w:rsidRPr="00C63F52">
        <w:rPr>
          <w:rFonts w:ascii="Times New Roman" w:hAnsi="Times New Roman" w:cs="Times New Roman"/>
          <w:sz w:val="24"/>
          <w:szCs w:val="24"/>
        </w:rPr>
        <w:t>where </w:t>
      </w:r>
      <m:oMath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k</m:t>
                </m:r>
              </m:e>
            </m:d>
          </m:sup>
        </m:sSubSup>
      </m:oMath>
      <w:r w:rsidRPr="00C63F52">
        <w:rPr>
          <w:rFonts w:ascii="Times New Roman" w:hAnsi="Times New Roman" w:cs="Times New Roman"/>
          <w:sz w:val="24"/>
          <w:szCs w:val="24"/>
        </w:rPr>
        <w:t> is gene 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63F52">
        <w:rPr>
          <w:rFonts w:ascii="Times New Roman" w:hAnsi="Times New Roman" w:cs="Times New Roman"/>
          <w:sz w:val="24"/>
          <w:szCs w:val="24"/>
        </w:rPr>
        <w:t>’s dropout rate in cell subpopulation 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C63F52">
        <w:rPr>
          <w:rFonts w:ascii="Times New Roman" w:hAnsi="Times New Roman" w:cs="Times New Roman"/>
          <w:sz w:val="24"/>
          <w:szCs w:val="24"/>
        </w:rPr>
        <w:t>, </w:t>
      </w:r>
      <m:oMath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k</m:t>
                </m:r>
              </m:e>
            </m:d>
          </m:sup>
        </m:sSubSup>
      </m:oMath>
      <w:r w:rsidRPr="00C63F52">
        <w:rPr>
          <w:rFonts w:ascii="Times New Roman" w:hAnsi="Times New Roman" w:cs="Times New Roman"/>
          <w:sz w:val="24"/>
          <w:szCs w:val="24"/>
        </w:rPr>
        <w:t> are the shape and rate parameters of Gamma distribution, and </w:t>
      </w:r>
      <m:oMath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k</m:t>
                </m:r>
              </m:e>
            </m:d>
          </m:sup>
        </m:sSubSup>
      </m:oMath>
      <w:r w:rsidRPr="00C63F52">
        <w:rPr>
          <w:rFonts w:ascii="Times New Roman" w:hAnsi="Times New Roman" w:cs="Times New Roman"/>
          <w:sz w:val="24"/>
          <w:szCs w:val="24"/>
        </w:rPr>
        <w:t> are the mean and standard deviation of Normal distribution.</w:t>
      </w:r>
    </w:p>
    <w:p w14:paraId="62B42AF8" w14:textId="0AAFA71C" w:rsidR="0054061A" w:rsidRPr="00C63F52" w:rsidRDefault="0040674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Next, scImpute imputes the</w:t>
      </w:r>
      <w:r w:rsidR="00A533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F6F10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expression of </w:t>
      </w:r>
      <w:r w:rsidR="00A533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gene</w:t>
      </w:r>
      <w:r w:rsidR="00066535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</m:t>
        </m:r>
      </m:oMath>
      <w:r w:rsidR="005406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533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high dropout </w:t>
      </w:r>
      <w:r w:rsidR="00A533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probability (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&gt;0.5</m:t>
        </m:r>
      </m:oMath>
      <w:r w:rsidR="00A533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r w:rsidR="001B12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A533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default)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406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</w:t>
      </w:r>
      <w:r w:rsidR="00066535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cell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j</m:t>
        </m:r>
      </m:oMath>
      <w:r w:rsidR="005406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borrowing information of the same gene in other similar cells</w:t>
      </w:r>
      <w:r w:rsidR="00066535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406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66535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5406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imputed expression</w:t>
      </w:r>
      <w:r w:rsidR="009918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value</w:t>
      </w:r>
      <w:r w:rsidR="005406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ij</m:t>
            </m:r>
          </m:sub>
        </m:sSub>
      </m:oMath>
      <w:r w:rsidR="005406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is </w:t>
      </w:r>
      <w:r w:rsidR="00C854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estimated</w:t>
      </w:r>
      <w:r w:rsidR="0054061A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</w:p>
    <w:p w14:paraId="42AEE333" w14:textId="02C76201" w:rsidR="0054061A" w:rsidRPr="00C63F52" w:rsidRDefault="0000000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i,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j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β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,</m:t>
          </m:r>
        </m:oMath>
      </m:oMathPara>
    </w:p>
    <w:p w14:paraId="11C2DF69" w14:textId="517AD955" w:rsidR="007D1EDF" w:rsidRPr="00C63F52" w:rsidRDefault="000665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54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expression</w:t>
      </w:r>
      <w:r w:rsidR="00C854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vector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same gene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i</m:t>
        </m:r>
      </m:oMath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other similar cells. Since the datasets we use</w:t>
      </w:r>
      <w:r w:rsidR="00D4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our study contain true labels, we </w:t>
      </w:r>
      <w:r w:rsidR="00422EFE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</w:t>
      </w:r>
      <w:r w:rsidR="00D4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422EFE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other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cells </w:t>
      </w:r>
      <w:r w:rsidR="008951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within</w:t>
      </w:r>
      <w:r w:rsidR="00422EFE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cell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j</m:t>
        </m:r>
      </m:oMath>
      <w:r w:rsidR="00422EFE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 cluster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2EFE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the “similar cells”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β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j</m:t>
                </m:r>
              </m:e>
            </m:d>
          </m:sup>
        </m:sSup>
      </m:oMath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918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imputation coefficien</w:t>
      </w:r>
      <w:r w:rsidR="002F7BB8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9918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2F7BB8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which </w:t>
      </w:r>
      <w:r w:rsidR="009918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2F7BB8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estimated from the non-negative least squares (NNLS) regression as </w:t>
      </w:r>
    </w:p>
    <w:p w14:paraId="48532509" w14:textId="1A52E07C" w:rsidR="00066535" w:rsidRPr="00C63F52" w:rsidRDefault="00000000" w:rsidP="00C63F52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β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argmin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(j)</m:t>
                  </m:r>
                </m:sup>
              </m:sSup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(j)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, subject to </m:t>
          </m:r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(j)</m:t>
              </m:r>
            </m:sup>
          </m:sSup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≥</m:t>
          </m:r>
          <m:r>
            <m:rPr>
              <m:sty m:val="bi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0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,</m:t>
          </m:r>
        </m:oMath>
      </m:oMathPara>
    </w:p>
    <w:p w14:paraId="7E868B51" w14:textId="1C7BF8A2" w:rsidR="00C63F52" w:rsidRPr="00C63F52" w:rsidRDefault="00C63F5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,j</m:t>
            </m:r>
          </m:sub>
        </m:sSub>
      </m:oMath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the expression </w:t>
      </w:r>
      <w:r w:rsidR="006F15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</w:t>
      </w:r>
      <w:r w:rsidR="00C854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other genes in cell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j</m:t>
        </m:r>
      </m:oMath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F66B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those </w:t>
      </w:r>
      <w:r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similar cells</w:t>
      </w:r>
      <w:r w:rsidR="009918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D4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7D6C7D0" w14:textId="3ACF9812" w:rsidR="00521962" w:rsidRPr="00C63F52" w:rsidRDefault="0099188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461675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preprocessing steps (</w:t>
      </w:r>
      <w:r w:rsidRPr="0099188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i.e.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461675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normalization and log transformation) </w:t>
      </w:r>
      <w:r w:rsidR="00D4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were</w:t>
      </w:r>
      <w:r w:rsidR="00461675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same as the unimputed dataset</w:t>
      </w:r>
      <w:r w:rsidR="004610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035781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which were done to the data before imputation as the algorithm requires. After imputation, </w:t>
      </w:r>
      <w:r w:rsidR="008951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035781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top 1200 genes were selected vi</w:t>
      </w:r>
      <w:r w:rsidR="00F66B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035781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F2D60" w:rsidRPr="00FF2D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variance stabilizing transformatio</w:t>
      </w:r>
      <w:r w:rsidR="00FF2D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8951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0674B" w:rsidRPr="00C63F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CA9A2F0" w14:textId="1E2249AB" w:rsidR="00321E85" w:rsidRPr="00F66B1B" w:rsidRDefault="00991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2470F2E6" w14:textId="51ECC817" w:rsidR="00991886" w:rsidRPr="00F66B1B" w:rsidRDefault="00991886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Hou, W., Ji, Z., Ji, H., &amp; Hicks, S. C. (2020). A systematic evaluation of single-cell RNA-sequencing imputation methods. </w:t>
      </w:r>
      <w:r w:rsidRPr="00F66B1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Genome biology</w:t>
      </w: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 </w:t>
      </w:r>
      <w:r w:rsidRPr="00F66B1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21</w:t>
      </w: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(1), 218.</w:t>
      </w:r>
    </w:p>
    <w:p w14:paraId="03C4F8FE" w14:textId="34E48BEF" w:rsidR="00991886" w:rsidRPr="00F66B1B" w:rsidRDefault="00F66B1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Li, W. V., &amp; Li, J. J. (2018). An accurate and robust imputation method scImpute for single-cell RNA-seq data. </w:t>
      </w:r>
      <w:r w:rsidRPr="00F66B1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Nature communications</w:t>
      </w: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 </w:t>
      </w:r>
      <w:r w:rsidRPr="00F66B1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9</w:t>
      </w: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(1), 997.</w:t>
      </w:r>
    </w:p>
    <w:p w14:paraId="3ED91881" w14:textId="6F965EF5" w:rsidR="00F66B1B" w:rsidRPr="00F66B1B" w:rsidRDefault="00F66B1B">
      <w:pPr>
        <w:rPr>
          <w:rFonts w:ascii="Times New Roman" w:hAnsi="Times New Roman" w:cs="Times New Roman"/>
          <w:sz w:val="24"/>
          <w:szCs w:val="24"/>
        </w:rPr>
      </w:pP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Huang, M., Wang, J., Torre, E., Dueck, H., Shaffer, S., Bonasio, R., Murray, J. I., Raj, A., Li, M., &amp; Zhang, N. R. (2018). SAVER: gene expression recovery for single-cell RNA sequencing. </w:t>
      </w:r>
      <w:r w:rsidRPr="00F66B1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Nature methods</w:t>
      </w: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 </w:t>
      </w:r>
      <w:r w:rsidRPr="00F66B1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</w:rPr>
        <w:t>15</w:t>
      </w:r>
      <w:r w:rsidRPr="00F66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(7), 539–542.</w:t>
      </w:r>
    </w:p>
    <w:sectPr w:rsidR="00F66B1B" w:rsidRPr="00F66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28F2" w14:textId="77777777" w:rsidR="00CC636E" w:rsidRDefault="00CC636E" w:rsidP="004610D5">
      <w:pPr>
        <w:spacing w:after="0" w:line="240" w:lineRule="auto"/>
      </w:pPr>
      <w:r>
        <w:separator/>
      </w:r>
    </w:p>
  </w:endnote>
  <w:endnote w:type="continuationSeparator" w:id="0">
    <w:p w14:paraId="1F8854BD" w14:textId="77777777" w:rsidR="00CC636E" w:rsidRDefault="00CC636E" w:rsidP="0046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476D" w14:textId="77777777" w:rsidR="00CC636E" w:rsidRDefault="00CC636E" w:rsidP="004610D5">
      <w:pPr>
        <w:spacing w:after="0" w:line="240" w:lineRule="auto"/>
      </w:pPr>
      <w:r>
        <w:separator/>
      </w:r>
    </w:p>
  </w:footnote>
  <w:footnote w:type="continuationSeparator" w:id="0">
    <w:p w14:paraId="4E96B3CE" w14:textId="77777777" w:rsidR="00CC636E" w:rsidRDefault="00CC636E" w:rsidP="00461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46"/>
    <w:rsid w:val="00035781"/>
    <w:rsid w:val="00066535"/>
    <w:rsid w:val="001B12D5"/>
    <w:rsid w:val="002046CF"/>
    <w:rsid w:val="002F7BB8"/>
    <w:rsid w:val="00321E85"/>
    <w:rsid w:val="00365FEA"/>
    <w:rsid w:val="00384EC4"/>
    <w:rsid w:val="003A4FF9"/>
    <w:rsid w:val="003F6F10"/>
    <w:rsid w:val="0040674B"/>
    <w:rsid w:val="00422EFE"/>
    <w:rsid w:val="004610D5"/>
    <w:rsid w:val="00461675"/>
    <w:rsid w:val="00490D50"/>
    <w:rsid w:val="004A0B46"/>
    <w:rsid w:val="00521962"/>
    <w:rsid w:val="005232F8"/>
    <w:rsid w:val="0054061A"/>
    <w:rsid w:val="005744C8"/>
    <w:rsid w:val="005E5526"/>
    <w:rsid w:val="00682CC6"/>
    <w:rsid w:val="0068763A"/>
    <w:rsid w:val="006F1548"/>
    <w:rsid w:val="007D1EDF"/>
    <w:rsid w:val="00806DB2"/>
    <w:rsid w:val="008276F7"/>
    <w:rsid w:val="00895194"/>
    <w:rsid w:val="00935C5E"/>
    <w:rsid w:val="00991886"/>
    <w:rsid w:val="00A5331A"/>
    <w:rsid w:val="00B15CA7"/>
    <w:rsid w:val="00C63F52"/>
    <w:rsid w:val="00C67E2A"/>
    <w:rsid w:val="00C854B9"/>
    <w:rsid w:val="00CC636E"/>
    <w:rsid w:val="00CE785A"/>
    <w:rsid w:val="00CF530A"/>
    <w:rsid w:val="00D41ECD"/>
    <w:rsid w:val="00D47FCD"/>
    <w:rsid w:val="00D81B47"/>
    <w:rsid w:val="00DF68EB"/>
    <w:rsid w:val="00F662A2"/>
    <w:rsid w:val="00F66B1B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94CFF"/>
  <w15:chartTrackingRefBased/>
  <w15:docId w15:val="{3CA2FF34-B28C-4DD9-BB86-69BC4303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EC4"/>
    <w:rPr>
      <w:color w:val="808080"/>
    </w:rPr>
  </w:style>
  <w:style w:type="character" w:customStyle="1" w:styleId="mi">
    <w:name w:val="mi"/>
    <w:basedOn w:val="DefaultParagraphFont"/>
    <w:rsid w:val="003A4FF9"/>
  </w:style>
  <w:style w:type="character" w:customStyle="1" w:styleId="mo">
    <w:name w:val="mo"/>
    <w:basedOn w:val="DefaultParagraphFont"/>
    <w:rsid w:val="003A4FF9"/>
  </w:style>
  <w:style w:type="character" w:customStyle="1" w:styleId="mjxassistivemathml">
    <w:name w:val="mjx_assistive_mathml"/>
    <w:basedOn w:val="DefaultParagraphFont"/>
    <w:rsid w:val="003A4FF9"/>
  </w:style>
  <w:style w:type="paragraph" w:styleId="Header">
    <w:name w:val="header"/>
    <w:basedOn w:val="Normal"/>
    <w:link w:val="HeaderChar"/>
    <w:uiPriority w:val="99"/>
    <w:unhideWhenUsed/>
    <w:rsid w:val="0046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D5"/>
  </w:style>
  <w:style w:type="paragraph" w:styleId="Footer">
    <w:name w:val="footer"/>
    <w:basedOn w:val="Normal"/>
    <w:link w:val="FooterChar"/>
    <w:uiPriority w:val="99"/>
    <w:unhideWhenUsed/>
    <w:rsid w:val="0046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2C35-8F52-45A3-B335-E3FD901B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Liu</dc:creator>
  <cp:keywords/>
  <dc:description/>
  <cp:lastModifiedBy>Boyuan Liu</cp:lastModifiedBy>
  <cp:revision>5</cp:revision>
  <dcterms:created xsi:type="dcterms:W3CDTF">2022-07-21T23:40:00Z</dcterms:created>
  <dcterms:modified xsi:type="dcterms:W3CDTF">2022-07-21T23:58:00Z</dcterms:modified>
</cp:coreProperties>
</file>