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120"/>
        <w:ind w:hanging="0"/>
        <w:jc w:val="center"/>
        <w:rPr>
          <w:highlight w:val="none"/>
          <w:shd w:fill="auto" w:val="clear"/>
        </w:rPr>
      </w:pPr>
      <w:r>
        <w:rPr>
          <w:rFonts w:eastAsia="Tahoma" w:cs="Tahoma"/>
          <w:b/>
          <w:bCs/>
          <w:sz w:val="28"/>
          <w:szCs w:val="28"/>
          <w:shd w:fill="auto" w:val="clear"/>
        </w:rPr>
        <w:t>Governança algorítmica e simbiose decisória no Poder Judiciário brasileiro: como preservar a autoridade decisória do magistrado sem renunciar aos avanços da inteligência artificial</w:t>
      </w:r>
    </w:p>
    <w:p>
      <w:pPr>
        <w:pStyle w:val="Normal"/>
        <w:spacing w:lineRule="auto" w:line="240" w:before="0" w:after="240"/>
        <w:ind w:hanging="0"/>
        <w:jc w:val="center"/>
        <w:rPr>
          <w:highlight w:val="none"/>
          <w:shd w:fill="auto" w:val="clear"/>
        </w:rPr>
      </w:pPr>
      <w:r>
        <w:rPr>
          <w:rFonts w:eastAsia="Tahoma" w:cs="Tahoma"/>
          <w:b w:val="false"/>
          <w:bCs w:val="false"/>
          <w:sz w:val="28"/>
          <w:szCs w:val="28"/>
          <w:shd w:fill="auto" w:val="clear"/>
        </w:rPr>
        <w:t>Algorithmic governance and decisional symbiosis in the Brazilian Judiciary: how to preserve the magistrate's decisional authority without renouncing the advances of artificial intelligence</w:t>
      </w:r>
    </w:p>
    <w:p>
      <w:pPr>
        <w:pStyle w:val="Normal"/>
        <w:spacing w:lineRule="auto" w:line="240" w:before="0" w:after="240"/>
        <w:ind w:hanging="0"/>
        <w:jc w:val="center"/>
        <w:rPr>
          <w:highlight w:val="none"/>
          <w:shd w:fill="auto" w:val="clear"/>
        </w:rPr>
      </w:pPr>
      <w:r>
        <w:rPr>
          <w:rFonts w:eastAsia="Tahoma" w:cs="Tahoma"/>
          <w:b w:val="false"/>
          <w:sz w:val="24"/>
        </w:rPr>
        <w:t>Eric Lopes Mello</w:t>
      </w:r>
      <w:r>
        <w:rPr>
          <w:rStyle w:val="FootnoteReference"/>
          <w:rFonts w:cs="Tahoma"/>
          <w:sz w:val="24"/>
          <w:vertAlign w:val="superscript"/>
        </w:rPr>
        <w:footnoteReference w:customMarkFollows="1" w:id="2"/>
        <w:t>*</w:t>
      </w:r>
    </w:p>
    <w:p>
      <w:pPr>
        <w:pStyle w:val="Normal"/>
        <w:keepNext w:val="true"/>
        <w:spacing w:lineRule="auto" w:line="240" w:before="120" w:after="120"/>
        <w:ind w:hanging="0"/>
        <w:jc w:val="left"/>
        <w:rPr>
          <w:highlight w:val="none"/>
          <w:shd w:fill="auto" w:val="clear"/>
        </w:rPr>
      </w:pPr>
      <w:r>
        <w:rPr>
          <w:rFonts w:eastAsia="Tahoma" w:cs="Tahoma"/>
          <w:b/>
          <w:bCs w:val="false"/>
          <w:sz w:val="24"/>
          <w:szCs w:val="24"/>
          <w:shd w:fill="auto" w:val="clear"/>
        </w:rPr>
        <w:t>RESUMO</w:t>
      </w:r>
    </w:p>
    <w:p>
      <w:pPr>
        <w:pStyle w:val="Normal"/>
        <w:spacing w:lineRule="auto" w:line="240" w:before="0" w:after="120"/>
        <w:ind w:hanging="0"/>
        <w:jc w:val="left"/>
        <w:rPr/>
      </w:pPr>
      <w:r>
        <w:rPr>
          <w:rFonts w:eastAsia="Tahoma" w:cs="Tahoma"/>
          <w:b w:val="false"/>
          <w:sz w:val="24"/>
        </w:rPr>
        <w:t>A autoridade decisória do magistrado é constitucionalmente irrenunciável, conforme o art. 93, IX, da Constituição Federal, que exige fundamentação de toda decisão judicial. No Judiciário brasileiro, a adoção de inteligência artificial avança em ritmo que ultrapassa a supervisão institucional, criando risco de a autoridade migrar, na prática, para quem opera os sistemas algorítmicos. O objetivo é propor um framework que preserve essa autoridade sem renunciar aos ganhos da tecnologia. A metodologia combina análise documental dos portais de transparência, aplicação do índice proposto a 15 categorias de uso documentadas em fontes públicas e ancoragem do enquadramento resultante em taxonomias externas de risco. A verificação de quatro portais revelou ausência total dos documentos exigidos pela Resolução CNJ n. 615/2025, padrão de accountability difusa tratado como dado empírico. O resultado é o Modelo GSD-ISD, que enquadra o uso de IA em três camadas de supervisão humana conforme o impacto em direitos fundamentais e a irreversibilidade da decisão, por meio do ISD, do GSD e do Protocolo A1-A9. A ancoragem mostra que as camadas extremas correspondem ao corte binário do direito comparado, e que a camada intermediária, sem correspondente externo, é onde reside a contribuição do índice. Conclui-se que um classificador de risco associado a um protocolo de auditoria torna a governança verificável sem deslocar a decisão final do magistrado.</w:t>
      </w:r>
    </w:p>
    <w:p>
      <w:pPr>
        <w:pStyle w:val="Normal"/>
        <w:spacing w:lineRule="auto" w:line="240" w:before="0" w:after="120"/>
        <w:ind w:hanging="0"/>
        <w:jc w:val="left"/>
        <w:rPr/>
      </w:pPr>
      <w:r>
        <w:rPr>
          <w:rFonts w:eastAsia="Tahoma" w:cs="Tahoma"/>
          <w:i/>
          <w:iCs/>
          <w:sz w:val="24"/>
          <w:szCs w:val="22"/>
          <w:shd w:fill="auto" w:val="clear"/>
        </w:rPr>
        <w:t>Palavras-chave: governança algorítmica; simbiose decisória; gestão do conhecimento; inteligência artificial; Poder Judiciário.</w:t>
      </w:r>
    </w:p>
    <w:p>
      <w:pPr>
        <w:pStyle w:val="Normal"/>
        <w:keepNext w:val="true"/>
        <w:spacing w:lineRule="auto" w:line="240" w:before="120" w:after="120"/>
        <w:ind w:hanging="0"/>
        <w:jc w:val="left"/>
        <w:rPr/>
      </w:pPr>
      <w:r>
        <w:rPr>
          <w:rFonts w:eastAsia="Tahoma" w:cs="Tahoma"/>
          <w:b/>
          <w:bCs w:val="false"/>
          <w:sz w:val="24"/>
          <w:szCs w:val="24"/>
          <w:shd w:fill="auto" w:val="clear"/>
        </w:rPr>
        <w:t>ABSTRACT</w:t>
      </w:r>
    </w:p>
    <w:p>
      <w:pPr>
        <w:pStyle w:val="Normal"/>
        <w:spacing w:lineRule="auto" w:line="240" w:before="0" w:after="120"/>
        <w:ind w:hanging="0"/>
        <w:jc w:val="left"/>
        <w:rPr/>
      </w:pPr>
      <w:r>
        <w:rPr>
          <w:rFonts w:eastAsia="Tahoma" w:cs="Tahoma"/>
          <w:b w:val="false"/>
          <w:sz w:val="24"/>
        </w:rPr>
        <w:t>The magistrate's decisional authority is constitutionally non-waivable under art. 93, IX, of the Brazilian Federal Constitution, which requires that every judicial decision be substantiated. In Brazil's Judiciary, the adoption of artificial intelligence is advancing faster than institutional oversight, creating the risk that authority will, in practice, migrate to whoever operates the algorithmic systems. The objective is to propose a framework that preserves this authority without renouncing the gains of the technology. The methodology combines documentary analysis of transparency portals, application of the proposed index to 15 categories of use documented in public sources, and anchoring of the resulting classification against external risk taxonomies. A review of four portals found a total absence of the documents required by CNJ Resolution No. 615/2025, a pattern of diffuse accountability treated as empirical data. The result is the GSD-ISD Model, which assigns AI uses to three layers of human oversight according to their impact on fundamental rights and the irreversibility of the decision, through the ISD, the GSD and the A1-A9 Protocol. The anchoring shows that the extreme layers match the binary threshold of comparative law, and that the intermediate layer, without external counterpart, is where the contribution of the index lies. It concludes that a risk classifier combined with an audit protocol makes governance verifiable without displacing the magistrate's final decision.</w:t>
      </w:r>
    </w:p>
    <w:p>
      <w:pPr>
        <w:pStyle w:val="Normal"/>
        <w:spacing w:lineRule="auto" w:line="240" w:before="0" w:after="120"/>
        <w:ind w:hanging="0"/>
        <w:jc w:val="left"/>
        <w:rPr/>
      </w:pPr>
      <w:r>
        <w:rPr>
          <w:rFonts w:eastAsia="Tahoma" w:cs="Tahoma"/>
          <w:i/>
          <w:iCs/>
          <w:sz w:val="24"/>
          <w:szCs w:val="22"/>
          <w:shd w:fill="auto" w:val="clear"/>
        </w:rPr>
        <w:t>Keywords: algorithmic governance; decisional symbiosis; knowledge management; artificial intelligence; judiciary.</w:t>
      </w:r>
    </w:p>
    <w:p>
      <w:pPr>
        <w:pStyle w:val="Normal"/>
        <w:keepNext w:val="true"/>
        <w:spacing w:lineRule="auto" w:line="240" w:before="120" w:after="120"/>
        <w:ind w:hanging="0"/>
        <w:jc w:val="left"/>
        <w:rPr>
          <w:highlight w:val="none"/>
          <w:shd w:fill="auto" w:val="clear"/>
        </w:rPr>
      </w:pPr>
      <w:r>
        <w:rPr>
          <w:rFonts w:eastAsia="Tahoma" w:cs="Tahoma"/>
          <w:b/>
          <w:bCs w:val="false"/>
          <w:sz w:val="24"/>
          <w:szCs w:val="24"/>
          <w:shd w:fill="auto" w:val="clear"/>
        </w:rPr>
        <w:t>SUMÁRIO</w:t>
      </w:r>
    </w:p>
    <w:p>
      <w:pPr>
        <w:pStyle w:val="Normal"/>
        <w:spacing w:lineRule="auto" w:line="240" w:before="0" w:after="120"/>
        <w:ind w:hanging="0"/>
        <w:jc w:val="left"/>
        <w:rPr/>
      </w:pPr>
      <w:r>
        <w:rPr>
          <w:rFonts w:eastAsia="Tahoma" w:cs="Tahoma"/>
          <w:b w:val="false"/>
          <w:sz w:val="24"/>
        </w:rPr>
        <w:t>1 Introdução. 2 O Modelo GSD-ISD: fundamentos, protocolo de auditoria e aplicação empírica. 2.1 Objetivo de pesquisa. 2.2 Justificativa. 2.3 Referencial teórico, metodologias e procedimentos. 2.4 Possíveis impactos econômicos, sociais e tecnológicos. 3 Considerações finais. Referências.</w:t>
      </w:r>
    </w:p>
    <w:p>
      <w:pPr>
        <w:pStyle w:val="Normal"/>
        <w:keepNext w:val="true"/>
        <w:spacing w:lineRule="auto" w:line="240" w:before="160" w:after="240"/>
        <w:ind w:hanging="0"/>
        <w:jc w:val="left"/>
        <w:rPr>
          <w:highlight w:val="none"/>
          <w:shd w:fill="auto" w:val="clear"/>
        </w:rPr>
      </w:pPr>
      <w:r>
        <w:rPr>
          <w:rFonts w:eastAsia="Tahoma" w:cs="Tahoma"/>
          <w:b/>
          <w:bCs/>
          <w:sz w:val="28"/>
          <w:szCs w:val="24"/>
          <w:shd w:fill="auto" w:val="clear"/>
        </w:rPr>
        <w:t>1 INTRODUÇÃO</w:t>
      </w:r>
    </w:p>
    <w:p>
      <w:pPr>
        <w:pStyle w:val="Normal"/>
        <w:spacing w:lineRule="auto" w:line="360" w:before="0" w:after="0"/>
        <w:ind w:firstLine="709"/>
        <w:jc w:val="both"/>
        <w:rPr>
          <w:highlight w:val="none"/>
          <w:shd w:fill="auto" w:val="clear"/>
        </w:rPr>
      </w:pPr>
      <w:r>
        <w:rPr>
          <w:rFonts w:eastAsia="Tahoma" w:cs="Tahoma"/>
          <w:b w:val="false"/>
          <w:sz w:val="24"/>
        </w:rPr>
        <w:t>Em 2025, o Poder Judiciário brasileiro recebeu 40,9 milhões de casos novos, o maior volume da série histórica, e baixou 45,2 milhões de processos</w:t>
      </w:r>
      <w:r>
        <w:rPr>
          <w:rStyle w:val="FootnoteReference"/>
          <w:rFonts w:cs="Tahoma"/>
          <w:sz w:val="24"/>
        </w:rPr>
        <w:footnoteReference w:id="3"/>
      </w:r>
      <w:r>
        <w:rPr>
          <w:rFonts w:eastAsia="Tahoma" w:cs="Tahoma"/>
          <w:b w:val="false"/>
          <w:sz w:val="24"/>
        </w:rPr>
        <w:t>. No ano anterior, 178 projetos de Inteligência Artificial (IA) já operavam em 92 dos 95 tribunais</w:t>
      </w:r>
      <w:r>
        <w:rPr>
          <w:rStyle w:val="FootnoteReference"/>
          <w:rFonts w:cs="Tahoma"/>
          <w:sz w:val="24"/>
        </w:rPr>
        <w:footnoteReference w:id="4"/>
      </w:r>
      <w:r>
        <w:rPr>
          <w:rFonts w:eastAsia="Tahoma" w:cs="Tahoma"/>
          <w:b w:val="false"/>
          <w:sz w:val="24"/>
        </w:rPr>
        <w:t>, e mais de 80% funcionavam sem integração à Plataforma Sinapses, única infraestrutura de auditoria centralizada</w:t>
      </w:r>
      <w:r>
        <w:rPr>
          <w:rStyle w:val="FootnoteReference"/>
          <w:rFonts w:cs="Tahoma"/>
          <w:sz w:val="24"/>
        </w:rPr>
        <w:footnoteReference w:id="5"/>
      </w:r>
      <w:r>
        <w:rPr>
          <w:rFonts w:eastAsia="Tahoma" w:cs="Tahoma"/>
          <w:b w:val="false"/>
          <w:sz w:val="24"/>
        </w:rPr>
        <w:t>.</w:t>
      </w:r>
      <w:r>
        <w:rPr>
          <w:rFonts w:cs="Tahoma"/>
          <w:sz w:val="24"/>
        </w:rPr>
        <w:t xml:space="preserve"> A adoção de tecnologia no Judiciário, porém, só se converte em efetividade quando acompanhada de mecanismos de acompanhamento e avaliação</w:t>
      </w:r>
      <w:r>
        <w:rPr>
          <w:rStyle w:val="FootnoteReference"/>
          <w:rFonts w:cs="Tahoma"/>
          <w:sz w:val="24"/>
        </w:rPr>
        <w:footnoteReference w:id="6"/>
      </w:r>
      <w:r>
        <w:rPr>
          <w:rFonts w:cs="Tahoma"/>
          <w:sz w:val="24"/>
        </w:rPr>
        <w:t>.</w:t>
      </w:r>
    </w:p>
    <w:p>
      <w:pPr>
        <w:pStyle w:val="Normal"/>
        <w:spacing w:lineRule="auto" w:line="360" w:before="0" w:after="0"/>
        <w:ind w:firstLine="709"/>
        <w:jc w:val="both"/>
        <w:rPr>
          <w:highlight w:val="none"/>
          <w:shd w:fill="auto" w:val="clear"/>
        </w:rPr>
      </w:pPr>
      <w:r>
        <w:rPr>
          <w:rFonts w:eastAsia="Tahoma" w:cs="Tahoma"/>
          <w:b w:val="false"/>
          <w:sz w:val="24"/>
        </w:rPr>
        <w:t>O problema é estrutural, normativo e epistêmico. Quando o algoritmo recomenda e o magistrado assina, a autoridade real migra para quem opera os sistemas</w:t>
      </w:r>
      <w:r>
        <w:rPr>
          <w:rStyle w:val="FootnoteReference"/>
          <w:rFonts w:cs="Tahoma"/>
          <w:sz w:val="24"/>
        </w:rPr>
        <w:footnoteReference w:id="7"/>
      </w:r>
      <w:r>
        <w:rPr>
          <w:rFonts w:eastAsia="Tahoma" w:cs="Tahoma"/>
          <w:b w:val="false"/>
          <w:sz w:val="24"/>
        </w:rPr>
        <w:t xml:space="preserve">, </w:t>
      </w:r>
      <w:r>
        <w:rPr>
          <w:rStyle w:val="FootnoteReference"/>
          <w:rFonts w:cs="Tahoma"/>
          <w:sz w:val="24"/>
        </w:rPr>
        <w:footnoteReference w:id="8"/>
      </w:r>
      <w:r>
        <w:rPr>
          <w:rFonts w:eastAsia="Tahoma" w:cs="Tahoma"/>
          <w:b w:val="false"/>
          <w:sz w:val="24"/>
        </w:rPr>
        <w:t>. A Resolução CNJ n. 615/2025</w:t>
      </w:r>
      <w:r>
        <w:rPr>
          <w:rStyle w:val="FootnoteReference"/>
          <w:rFonts w:cs="Tahoma"/>
          <w:sz w:val="24"/>
        </w:rPr>
        <w:footnoteReference w:id="9"/>
      </w:r>
      <w:r>
        <w:rPr>
          <w:rFonts w:eastAsia="Tahoma" w:cs="Tahoma"/>
          <w:b w:val="false"/>
          <w:sz w:val="24"/>
        </w:rPr>
        <w:t xml:space="preserve"> exige comitês de governança e publicação de atas, mas a verificação de quatro portais em 2026 revelou ausência total desses documentos</w:t>
      </w:r>
      <w:r>
        <w:rPr>
          <w:rStyle w:val="FootnoteReference"/>
          <w:rFonts w:cs="Tahoma"/>
          <w:sz w:val="24"/>
        </w:rPr>
        <w:footnoteReference w:id="10"/>
      </w:r>
      <w:r>
        <w:rPr>
          <w:rFonts w:eastAsia="Tahoma" w:cs="Tahoma"/>
          <w:b w:val="false"/>
          <w:sz w:val="24"/>
        </w:rPr>
        <w:t>.</w:t>
      </w:r>
    </w:p>
    <w:p>
      <w:pPr>
        <w:pStyle w:val="Normal"/>
        <w:spacing w:lineRule="auto" w:line="360" w:before="0" w:after="0"/>
        <w:ind w:firstLine="709"/>
        <w:jc w:val="both"/>
        <w:rPr>
          <w:highlight w:val="none"/>
          <w:shd w:fill="auto" w:val="clear"/>
        </w:rPr>
      </w:pPr>
      <w:r>
        <w:rPr>
          <w:rFonts w:eastAsia="Tahoma" w:cs="Tahoma"/>
          <w:b w:val="false"/>
          <w:sz w:val="24"/>
        </w:rPr>
        <w:t>A incapacidade jurídica da IA torna irrenunciável a presença humana qualificada na cadeia decisória: sistemas algorítmicos não possuem personalidade jurídica nem podem ser responsabilizados por seus erros</w:t>
      </w:r>
      <w:r>
        <w:rPr>
          <w:rStyle w:val="FootnoteReference"/>
          <w:rFonts w:cs="Tahoma"/>
          <w:sz w:val="24"/>
        </w:rPr>
        <w:footnoteReference w:id="11"/>
      </w:r>
      <w:r>
        <w:rPr>
          <w:rFonts w:eastAsia="Tahoma" w:cs="Tahoma"/>
          <w:b w:val="false"/>
          <w:sz w:val="24"/>
        </w:rPr>
        <w:t>. O art. 93, IX, da Constituição Federal</w:t>
      </w:r>
      <w:r>
        <w:rPr>
          <w:rStyle w:val="FootnoteReference"/>
          <w:rFonts w:cs="Tahoma"/>
          <w:sz w:val="24"/>
        </w:rPr>
        <w:footnoteReference w:id="12"/>
      </w:r>
      <w:r>
        <w:rPr>
          <w:rFonts w:eastAsia="Tahoma" w:cs="Tahoma"/>
          <w:b w:val="false"/>
          <w:sz w:val="24"/>
        </w:rPr>
        <w:t xml:space="preserve"> impõe fundamentação a toda decisão judicial, e um sistema que emite recomendações por correlações estatísticas não fundamenta, apenas calcula</w:t>
      </w:r>
      <w:r>
        <w:rPr>
          <w:rStyle w:val="FootnoteReference"/>
          <w:rFonts w:cs="Tahoma"/>
          <w:sz w:val="24"/>
        </w:rPr>
        <w:footnoteReference w:id="13"/>
      </w:r>
      <w:r>
        <w:rPr>
          <w:rFonts w:eastAsia="Tahoma" w:cs="Tahoma"/>
          <w:b w:val="false"/>
          <w:sz w:val="24"/>
        </w:rPr>
        <w:t xml:space="preserve">, </w:t>
      </w:r>
      <w:r>
        <w:rPr>
          <w:rStyle w:val="FootnoteReference"/>
          <w:rFonts w:cs="Tahoma"/>
          <w:sz w:val="24"/>
        </w:rPr>
        <w:footnoteReference w:id="14"/>
      </w:r>
      <w:r>
        <w:rPr>
          <w:rFonts w:eastAsia="Tahoma" w:cs="Tahoma"/>
          <w:b w:val="false"/>
          <w:sz w:val="24"/>
        </w:rPr>
        <w:t>.</w:t>
      </w:r>
    </w:p>
    <w:p>
      <w:pPr>
        <w:pStyle w:val="Normal"/>
        <w:spacing w:lineRule="auto" w:line="360" w:before="0" w:after="0"/>
        <w:ind w:firstLine="709"/>
        <w:jc w:val="both"/>
        <w:rPr>
          <w:highlight w:val="none"/>
          <w:shd w:fill="auto" w:val="clear"/>
        </w:rPr>
      </w:pPr>
      <w:r>
        <w:rPr>
          <w:rFonts w:eastAsia="Tahoma" w:cs="Tahoma"/>
          <w:b w:val="false"/>
          <w:sz w:val="24"/>
        </w:rPr>
        <w:t>Algoritmos treinados sobre dados históricos ampliam assimetrias, pois os grupos mais afetados costumam ser os menos representados nas bases de treinamento</w:t>
      </w:r>
      <w:r>
        <w:rPr>
          <w:rStyle w:val="FootnoteReference"/>
          <w:rFonts w:cs="Tahoma"/>
          <w:sz w:val="24"/>
        </w:rPr>
        <w:footnoteReference w:id="15"/>
      </w:r>
      <w:r>
        <w:rPr>
          <w:rFonts w:eastAsia="Tahoma" w:cs="Tahoma"/>
          <w:b w:val="false"/>
          <w:sz w:val="24"/>
        </w:rPr>
        <w:t xml:space="preserve">, </w:t>
      </w:r>
      <w:r>
        <w:rPr>
          <w:rStyle w:val="FootnoteReference"/>
          <w:rFonts w:cs="Tahoma"/>
          <w:sz w:val="24"/>
        </w:rPr>
        <w:footnoteReference w:id="16"/>
      </w:r>
      <w:r>
        <w:rPr>
          <w:rFonts w:eastAsia="Tahoma" w:cs="Tahoma"/>
          <w:b w:val="false"/>
          <w:sz w:val="24"/>
        </w:rPr>
        <w:t>. O Relatório de Transparência Salarial</w:t>
      </w:r>
      <w:r>
        <w:rPr>
          <w:rStyle w:val="FootnoteReference"/>
          <w:rFonts w:cs="Tahoma"/>
          <w:sz w:val="24"/>
        </w:rPr>
        <w:footnoteReference w:id="17"/>
      </w:r>
      <w:r>
        <w:rPr>
          <w:rFonts w:eastAsia="Tahoma" w:cs="Tahoma"/>
          <w:b w:val="false"/>
          <w:sz w:val="24"/>
        </w:rPr>
        <w:t xml:space="preserve"> documenta disparidades persistentes por gênero e raça, embutidas nos microdados que alimentarão os sistemas de apoio a ações fundadas na Lei n. 14.611/2023</w:t>
      </w:r>
      <w:r>
        <w:rPr>
          <w:rStyle w:val="FootnoteReference"/>
          <w:rFonts w:cs="Tahoma"/>
          <w:sz w:val="24"/>
        </w:rPr>
        <w:footnoteReference w:id="18"/>
      </w:r>
      <w:r>
        <w:rPr>
          <w:rFonts w:eastAsia="Tahoma" w:cs="Tahoma"/>
          <w:b w:val="false"/>
          <w:sz w:val="24"/>
        </w:rPr>
        <w:t>.</w:t>
      </w:r>
    </w:p>
    <w:p>
      <w:pPr>
        <w:pStyle w:val="Normal"/>
        <w:spacing w:lineRule="auto" w:line="360" w:before="0" w:after="0"/>
        <w:ind w:firstLine="709"/>
        <w:jc w:val="both"/>
        <w:rPr>
          <w:highlight w:val="none"/>
          <w:shd w:fill="auto" w:val="clear"/>
        </w:rPr>
      </w:pPr>
      <w:r>
        <w:rPr>
          <w:rFonts w:eastAsia="Tahoma" w:cs="Tahoma"/>
          <w:sz w:val="24"/>
          <w:shd w:fill="auto" w:val="clear"/>
        </w:rPr>
        <w:t xml:space="preserve">Esta pesquisa responde à seguinte questão: como desenhar um regime de governança algorítmica que preserve a autoridade decisória do magistrado e institucionalize mecanismos de retenção do saber tácito, assegurando rastreabilidade, fundamentação constitucional e verificabilidade pública das decisões apoiadas por IA? </w:t>
      </w:r>
    </w:p>
    <w:p>
      <w:pPr>
        <w:pStyle w:val="Normal"/>
        <w:spacing w:lineRule="auto" w:line="360" w:before="0" w:after="0"/>
        <w:ind w:firstLine="709"/>
        <w:jc w:val="both"/>
        <w:rPr>
          <w:highlight w:val="none"/>
          <w:shd w:fill="auto" w:val="clear"/>
        </w:rPr>
      </w:pPr>
      <w:r>
        <w:rPr>
          <w:rFonts w:eastAsia="Tahoma" w:cs="Tahoma"/>
          <w:b w:val="false"/>
          <w:sz w:val="24"/>
        </w:rPr>
        <w:t>Para isso, propõe e operacionaliza o Modelo GSD-ISD. O Índice de Sensibilidade Decisória (ISD) classifica cada decisão em Camada 1, 2 ou 3 conforme o impacto em direitos fundamentais e a reversibilidade. O Modelo de Governança da Simbiose Decisória (GSD) designa a relação em que a máquina apoia, mas o humano decide, assina e responde juridicamente. O Protocolo A1-A9 especifica nove critérios em quatro Pilares de Conformidade.</w:t>
      </w:r>
    </w:p>
    <w:p>
      <w:pPr>
        <w:pStyle w:val="Normal"/>
        <w:keepNext w:val="true"/>
        <w:spacing w:lineRule="auto" w:line="240" w:before="160" w:after="240"/>
        <w:ind w:hanging="0"/>
        <w:jc w:val="left"/>
        <w:rPr>
          <w:highlight w:val="none"/>
          <w:shd w:fill="auto" w:val="clear"/>
        </w:rPr>
      </w:pPr>
      <w:r>
        <w:rPr>
          <w:rFonts w:eastAsia="Tahoma" w:cs="Tahoma"/>
          <w:b/>
          <w:bCs/>
          <w:sz w:val="28"/>
          <w:szCs w:val="24"/>
          <w:shd w:fill="auto" w:val="clear"/>
        </w:rPr>
        <w:t>2 O MODELO GSD-ISD: FUNDAMENTOS, PROTOCOLO DE AUDITORIA E APLICAÇÃO EMPÍRICA</w:t>
      </w:r>
    </w:p>
    <w:p>
      <w:pPr>
        <w:pStyle w:val="Normal"/>
        <w:keepNext w:val="true"/>
        <w:spacing w:lineRule="auto" w:line="240" w:before="200" w:after="100"/>
        <w:ind w:hanging="0"/>
        <w:jc w:val="left"/>
        <w:rPr>
          <w:highlight w:val="none"/>
          <w:shd w:fill="auto" w:val="clear"/>
        </w:rPr>
      </w:pPr>
      <w:r>
        <w:rPr>
          <w:rFonts w:eastAsia="Tahoma" w:cs="Tahoma"/>
          <w:b w:val="false"/>
          <w:sz w:val="28"/>
        </w:rPr>
        <w:t>2.1 OBJETIVO DE PESQUISA</w:t>
      </w:r>
    </w:p>
    <w:p>
      <w:pPr>
        <w:pStyle w:val="Normal"/>
        <w:spacing w:lineRule="auto" w:line="360" w:before="0" w:after="0"/>
        <w:ind w:firstLine="709"/>
        <w:jc w:val="both"/>
        <w:rPr>
          <w:highlight w:val="none"/>
          <w:shd w:fill="auto" w:val="clear"/>
        </w:rPr>
      </w:pPr>
      <w:r>
        <w:rPr>
          <w:rFonts w:eastAsia="Tahoma" w:cs="Tahoma"/>
          <w:b w:val="false"/>
          <w:sz w:val="24"/>
        </w:rPr>
        <w:t>O objetivo geral é propor e fundamentar um regime de governança capaz de assegurar a autoridade decisória final do magistrado diante de sistemas de IA no Judiciário brasileiro, operacionalizando-o por meio do Modelo GSD-ISD, cujo Protocolo de Auditoria A1-A9 tem por pré-condição de entrada o Mapa de Alcance e Representatividade (MAR).</w:t>
      </w:r>
    </w:p>
    <w:p>
      <w:pPr>
        <w:pStyle w:val="Normal"/>
        <w:spacing w:lineRule="auto" w:line="360" w:before="0" w:after="0"/>
        <w:ind w:firstLine="709"/>
        <w:jc w:val="both"/>
        <w:rPr>
          <w:highlight w:val="none"/>
          <w:shd w:fill="auto" w:val="clear"/>
        </w:rPr>
      </w:pPr>
      <w:r>
        <w:rPr>
          <w:rFonts w:eastAsia="Tahoma" w:cs="Tahoma"/>
          <w:b w:val="false"/>
          <w:sz w:val="24"/>
        </w:rPr>
        <w:t>São objetivos específicos: a) desenvolver o ISD e estruturar o Modelo GSD em três camadas de supervisão humana; b) formalizar o Protocolo A1-A9, com o MAR como pré-condição de entrada e a conformidade com a LGPD</w:t>
      </w:r>
      <w:r>
        <w:rPr>
          <w:rStyle w:val="FootnoteReference"/>
          <w:rFonts w:cs="Tahoma"/>
          <w:sz w:val="24"/>
        </w:rPr>
        <w:footnoteReference w:id="19"/>
      </w:r>
      <w:r>
        <w:rPr>
          <w:rFonts w:eastAsia="Tahoma" w:cs="Tahoma"/>
          <w:b w:val="false"/>
          <w:sz w:val="24"/>
        </w:rPr>
        <w:t>, e dele derivar o Instrumento Simplificado; c) verificar o padrão de accountability difusa e aplicar o ISD aos sistemas do Painel CNJ de IA</w:t>
      </w:r>
      <w:r>
        <w:rPr>
          <w:rStyle w:val="FootnoteReference"/>
          <w:rFonts w:cs="Tahoma"/>
          <w:sz w:val="24"/>
        </w:rPr>
        <w:footnoteReference w:id="20"/>
      </w:r>
      <w:r>
        <w:rPr>
          <w:rFonts w:eastAsia="Tahoma" w:cs="Tahoma"/>
          <w:b w:val="false"/>
          <w:sz w:val="24"/>
        </w:rPr>
        <w:t xml:space="preserve"> e da Justiça do Trabalho</w:t>
      </w:r>
      <w:r>
        <w:rPr>
          <w:rStyle w:val="FootnoteReference"/>
          <w:rFonts w:cs="Tahoma"/>
          <w:sz w:val="24"/>
        </w:rPr>
        <w:footnoteReference w:id="21"/>
      </w:r>
      <w:r>
        <w:rPr>
          <w:rFonts w:eastAsia="Tahoma" w:cs="Tahoma"/>
          <w:b w:val="false"/>
          <w:sz w:val="24"/>
        </w:rPr>
        <w:t>; e d) consolidar os resultados na Ficha Padrão de Registro (FPR).</w:t>
      </w:r>
    </w:p>
    <w:p>
      <w:pPr>
        <w:pStyle w:val="Normal"/>
        <w:keepNext w:val="true"/>
        <w:spacing w:lineRule="auto" w:line="240" w:before="160" w:after="120"/>
        <w:ind w:hanging="0"/>
        <w:jc w:val="left"/>
        <w:rPr>
          <w:highlight w:val="none"/>
          <w:shd w:fill="auto" w:val="clear"/>
        </w:rPr>
      </w:pPr>
      <w:r>
        <w:rPr>
          <w:rFonts w:eastAsia="Tahoma" w:cs="Tahoma"/>
          <w:b w:val="false"/>
          <w:bCs w:val="false"/>
          <w:sz w:val="28"/>
          <w:szCs w:val="24"/>
          <w:shd w:fill="auto" w:val="clear"/>
        </w:rPr>
        <w:t>2.2 JUSTIFICATIVA</w:t>
      </w:r>
    </w:p>
    <w:p>
      <w:pPr>
        <w:pStyle w:val="Normal"/>
        <w:spacing w:lineRule="auto" w:line="360" w:before="0" w:after="0"/>
        <w:ind w:firstLine="709"/>
        <w:jc w:val="both"/>
        <w:rPr>
          <w:highlight w:val="none"/>
          <w:shd w:fill="auto" w:val="clear"/>
        </w:rPr>
      </w:pPr>
      <w:r>
        <w:rPr>
          <w:rFonts w:eastAsia="Tahoma" w:cs="Tahoma"/>
          <w:sz w:val="24"/>
          <w:shd w:fill="auto" w:val="clear"/>
        </w:rPr>
        <w:t>A relevância desta pesquisa está em quatro fundamentos, de ordem empírica, normativa, epistêmica e técnica, todos com urgência documentada.</w:t>
      </w:r>
    </w:p>
    <w:p>
      <w:pPr>
        <w:pStyle w:val="Normal"/>
        <w:keepNext w:val="true"/>
        <w:spacing w:lineRule="auto" w:line="240" w:before="160" w:after="80"/>
        <w:ind w:hanging="0"/>
        <w:jc w:val="left"/>
        <w:rPr>
          <w:highlight w:val="none"/>
          <w:shd w:fill="auto" w:val="clear"/>
        </w:rPr>
      </w:pPr>
      <w:r>
        <w:rPr>
          <w:rFonts w:eastAsia="Tahoma" w:cs="Tahoma"/>
          <w:b/>
          <w:bCs/>
          <w:sz w:val="28"/>
          <w:szCs w:val="24"/>
          <w:shd w:fill="auto" w:val="clear"/>
        </w:rPr>
        <w:t>2.2.1 Fundamento empírico: deficit documentado e crescente</w:t>
      </w:r>
    </w:p>
    <w:p>
      <w:pPr>
        <w:pStyle w:val="Normal"/>
        <w:spacing w:lineRule="auto" w:line="360" w:before="0" w:after="0"/>
        <w:ind w:firstLine="709"/>
        <w:jc w:val="both"/>
        <w:rPr>
          <w:highlight w:val="none"/>
          <w:shd w:fill="auto" w:val="clear"/>
        </w:rPr>
      </w:pPr>
      <w:r>
        <w:rPr>
          <w:rFonts w:eastAsia="Tahoma" w:cs="Tahoma"/>
          <w:b w:val="false"/>
          <w:sz w:val="24"/>
        </w:rPr>
        <w:t>Entre janeiro e março de 2026, os quatro principais portais de transparência do Judiciário não publicavam nenhum dos documentos exigidos pelo art. 14 da Resolução CNJ n. 615/2025: nenhuma ata, nenhum relatório de impacto algorítmico e nenhum protocolo de auditoria de viés. A integração total com o Sinapses ficou em 10,2% em 2024</w:t>
      </w:r>
      <w:r>
        <w:rPr>
          <w:rStyle w:val="FootnoteReference"/>
          <w:rFonts w:cs="Tahoma"/>
          <w:sz w:val="24"/>
        </w:rPr>
        <w:footnoteReference w:id="22"/>
      </w:r>
      <w:r>
        <w:rPr>
          <w:rFonts w:eastAsia="Tahoma" w:cs="Tahoma"/>
          <w:b w:val="false"/>
          <w:sz w:val="24"/>
        </w:rPr>
        <w:t>.</w:t>
      </w:r>
    </w:p>
    <w:p>
      <w:pPr>
        <w:pStyle w:val="Normal"/>
        <w:spacing w:lineRule="auto" w:line="360" w:before="0" w:after="0"/>
        <w:ind w:firstLine="709"/>
        <w:jc w:val="both"/>
        <w:rPr>
          <w:highlight w:val="none"/>
          <w:shd w:fill="auto" w:val="clear"/>
        </w:rPr>
      </w:pPr>
      <w:r>
        <w:rPr>
          <w:rFonts w:eastAsia="Tahoma" w:cs="Tahoma"/>
          <w:b w:val="false"/>
          <w:sz w:val="24"/>
        </w:rPr>
        <w:t>Com o Programa Conecta (Portaria CNJ n. 462/2025)</w:t>
      </w:r>
      <w:r>
        <w:rPr>
          <w:rStyle w:val="FootnoteReference"/>
          <w:rFonts w:eastAsia="Tahoma" w:cs="Tahoma"/>
          <w:b w:val="false"/>
          <w:sz w:val="24"/>
        </w:rPr>
        <w:footnoteReference w:id="23"/>
      </w:r>
      <w:r>
        <w:rPr>
          <w:rFonts w:eastAsia="Tahoma" w:cs="Tahoma"/>
          <w:b w:val="false"/>
          <w:sz w:val="24"/>
        </w:rPr>
        <w:t xml:space="preserve">, </w:t>
      </w:r>
      <w:r>
        <w:rPr>
          <w:rFonts w:eastAsia="Tahoma" w:cs="Tahoma"/>
          <w:b w:val="false"/>
          <w:sz w:val="24"/>
          <w:shd w:fill="auto" w:val="clear"/>
        </w:rPr>
        <w:t xml:space="preserve">ferramentas locais passam a ser distribuídas em escala nacional: em abril de 2026, 19 iniciativas de 11 tribunais estavam em nacionalização. Sem capilaridade de auditoria, a disseminação de modelos generativos introduz vulnerabilidades críticas, como a quebra de sigilo processual, a replicação de vieses de treinamento e a ocorrência de </w:t>
      </w:r>
      <w:r>
        <w:rPr>
          <w:rFonts w:eastAsia="Tahoma" w:cs="Tahoma"/>
          <w:b w:val="false"/>
          <w:i/>
          <w:sz w:val="24"/>
          <w:shd w:fill="auto" w:val="clear"/>
        </w:rPr>
        <w:t xml:space="preserve">Shadow AI, </w:t>
      </w:r>
      <w:r>
        <w:rPr>
          <w:rFonts w:eastAsia="Tahoma" w:cs="Tahoma"/>
          <w:b w:val="false"/>
          <w:sz w:val="24"/>
          <w:shd w:fill="auto" w:val="clear"/>
        </w:rPr>
        <w:t>que abrange toda solução empregada na organização sem a aprovação formal do departamento de tecnologia</w:t>
      </w:r>
      <w:r>
        <w:rPr>
          <w:rStyle w:val="FootnoteReference"/>
          <w:rFonts w:cs="Tahoma"/>
          <w:sz w:val="24"/>
        </w:rPr>
        <w:footnoteReference w:id="24"/>
      </w:r>
      <w:r>
        <w:rPr>
          <w:rFonts w:cs="Tahoma"/>
          <w:sz w:val="24"/>
          <w:vertAlign w:val="superscript"/>
        </w:rPr>
        <w:t xml:space="preserve">, </w:t>
      </w:r>
      <w:r>
        <w:rPr>
          <w:rStyle w:val="FootnoteReference"/>
          <w:rFonts w:cs="Tahoma"/>
          <w:sz w:val="24"/>
        </w:rPr>
        <w:footnoteReference w:id="25"/>
      </w:r>
      <w:r>
        <w:rPr>
          <w:rFonts w:eastAsia="Tahoma" w:cs="Tahoma"/>
          <w:b w:val="false"/>
          <w:sz w:val="24"/>
          <w:shd w:fill="auto" w:val="clear"/>
        </w:rPr>
        <w:t xml:space="preserve">. Embora ainda não existam evidências documentadas ou levantamentos públicos que dimensionem a prática de </w:t>
      </w:r>
      <w:r>
        <w:rPr>
          <w:rFonts w:eastAsia="Tahoma" w:cs="Tahoma"/>
          <w:b w:val="false"/>
          <w:i/>
          <w:sz w:val="24"/>
          <w:shd w:fill="auto" w:val="clear"/>
        </w:rPr>
        <w:t>Shadow AI</w:t>
      </w:r>
      <w:r>
        <w:rPr>
          <w:rFonts w:eastAsia="Tahoma" w:cs="Tahoma"/>
          <w:b w:val="false"/>
          <w:sz w:val="24"/>
          <w:shd w:fill="auto" w:val="clear"/>
        </w:rPr>
        <w:t xml:space="preserve"> no Judiciário, a facilidade de acesso a essas plataformas externas torna a ameaça iminente. </w:t>
      </w:r>
    </w:p>
    <w:p>
      <w:pPr>
        <w:pStyle w:val="Normal"/>
        <w:keepNext w:val="true"/>
        <w:spacing w:lineRule="auto" w:line="240" w:before="160" w:after="80"/>
        <w:ind w:hanging="0"/>
        <w:jc w:val="left"/>
        <w:rPr>
          <w:highlight w:val="none"/>
          <w:shd w:fill="auto" w:val="clear"/>
        </w:rPr>
      </w:pPr>
      <w:r>
        <w:rPr>
          <w:rFonts w:eastAsia="Tahoma" w:cs="Tahoma"/>
          <w:b/>
          <w:bCs/>
          <w:sz w:val="28"/>
          <w:szCs w:val="24"/>
          <w:shd w:fill="auto" w:val="clear"/>
        </w:rPr>
        <w:t>2.2.2 Fundamento normativo: instrumentos que as normas exigem mas não proveem</w:t>
      </w:r>
    </w:p>
    <w:p>
      <w:pPr>
        <w:pStyle w:val="Normal"/>
        <w:spacing w:lineRule="auto" w:line="360" w:before="0" w:after="0"/>
        <w:ind w:firstLine="709"/>
        <w:jc w:val="both"/>
        <w:rPr>
          <w:highlight w:val="none"/>
          <w:shd w:fill="auto" w:val="clear"/>
        </w:rPr>
      </w:pPr>
      <w:r>
        <w:rPr>
          <w:rFonts w:eastAsia="Tahoma" w:cs="Tahoma"/>
          <w:b w:val="false"/>
          <w:sz w:val="24"/>
        </w:rPr>
        <w:t>O arcabouço regulatório é exigente e já vigente: a Resolução CNJ n. 615/2025 impõe comitês e publicidade; a LGPD obriga o tratamento legal de dados pessoais; a Constituição exige fundamentação. O Protocolo A1-A9 é o instrumento que esse arcabouço exige, mas não provê.</w:t>
      </w:r>
    </w:p>
    <w:p>
      <w:pPr>
        <w:pStyle w:val="Normal"/>
        <w:keepNext w:val="true"/>
        <w:spacing w:lineRule="auto" w:line="240" w:before="160" w:after="80"/>
        <w:ind w:hanging="0"/>
        <w:jc w:val="left"/>
        <w:rPr>
          <w:highlight w:val="none"/>
          <w:shd w:fill="auto" w:val="clear"/>
        </w:rPr>
      </w:pPr>
      <w:r>
        <w:rPr>
          <w:rFonts w:eastAsia="Tahoma" w:cs="Tahoma"/>
          <w:b/>
          <w:bCs/>
          <w:sz w:val="28"/>
          <w:szCs w:val="24"/>
          <w:shd w:fill="auto" w:val="clear"/>
        </w:rPr>
        <w:t>2.2.3 Fundamento epistêmico: erosão do saber tácito e ciclo de viés estrutural</w:t>
      </w:r>
    </w:p>
    <w:p>
      <w:pPr>
        <w:pStyle w:val="BodyText"/>
        <w:spacing w:lineRule="auto" w:line="360" w:before="0" w:after="0"/>
        <w:ind w:firstLine="709"/>
        <w:jc w:val="both"/>
        <w:rPr>
          <w:rFonts w:ascii="Tahoma" w:hAnsi="Tahoma" w:eastAsia="Tahoma" w:cs="Tahoma"/>
          <w:b w:val="false"/>
          <w:i w:val="false"/>
          <w:i w:val="false"/>
          <w:iCs w:val="false"/>
          <w:color w:val="auto"/>
          <w:kern w:val="0"/>
          <w:sz w:val="24"/>
          <w:szCs w:val="22"/>
          <w:lang w:val="pt-BR" w:eastAsia="zh-CN" w:bidi="hi-IN"/>
        </w:rPr>
      </w:pPr>
      <w:r>
        <w:rPr>
          <w:rFonts w:eastAsia="Tahoma" w:cs="Tahoma"/>
          <w:b w:val="false"/>
          <w:sz w:val="24"/>
        </w:rPr>
        <w:t>A automação sem gestão do conhecimento produz três problemas. O primeiro é a erosão do saber tácito, como ao delegar a algoritmos a leitura de emoções em audiências</w:t>
      </w:r>
      <w:r>
        <w:rPr>
          <w:rStyle w:val="FootnoteReference"/>
          <w:rFonts w:cs="Tahoma"/>
          <w:sz w:val="24"/>
        </w:rPr>
        <w:footnoteReference w:id="26"/>
      </w:r>
      <w:r>
        <w:rPr>
          <w:rFonts w:eastAsia="Tahoma" w:cs="Tahoma"/>
          <w:b w:val="false"/>
          <w:sz w:val="24"/>
        </w:rPr>
        <w:t xml:space="preserve">, </w:t>
      </w:r>
      <w:r>
        <w:rPr>
          <w:rStyle w:val="FootnoteReference"/>
          <w:rFonts w:cs="Tahoma"/>
          <w:sz w:val="24"/>
        </w:rPr>
        <w:footnoteReference w:id="27"/>
      </w:r>
      <w:r>
        <w:rPr>
          <w:rFonts w:eastAsia="Tahoma" w:cs="Tahoma"/>
          <w:b w:val="false"/>
          <w:sz w:val="24"/>
        </w:rPr>
        <w:t>. O segundo é o ciclo de viés estrutural, no qual a sub-representação histórica gera decisões enviesadas que realimentam a desigualdade</w:t>
      </w:r>
      <w:r>
        <w:rPr>
          <w:rStyle w:val="FootnoteReference"/>
          <w:rFonts w:cs="Tahoma"/>
          <w:sz w:val="24"/>
        </w:rPr>
        <w:footnoteReference w:id="28"/>
      </w:r>
      <w:r>
        <w:rPr>
          <w:rFonts w:eastAsia="Tahoma" w:cs="Tahoma"/>
          <w:b w:val="false"/>
          <w:sz w:val="24"/>
        </w:rPr>
        <w:t xml:space="preserve">, </w:t>
      </w:r>
      <w:r>
        <w:rPr>
          <w:rStyle w:val="FootnoteReference"/>
          <w:rFonts w:cs="Tahoma"/>
          <w:sz w:val="24"/>
        </w:rPr>
        <w:footnoteReference w:id="29"/>
      </w:r>
      <w:r>
        <w:rPr>
          <w:rFonts w:eastAsia="Tahoma" w:cs="Tahoma"/>
          <w:b w:val="false"/>
          <w:sz w:val="24"/>
        </w:rPr>
        <w:t>. O terceiro é a cristalização da jurisprudência majoritária.</w:t>
      </w:r>
    </w:p>
    <w:p>
      <w:pPr>
        <w:pStyle w:val="BodyText"/>
        <w:bidi w:val="0"/>
        <w:spacing w:lineRule="auto" w:line="360"/>
        <w:ind w:hanging="0" w:left="0" w:right="0"/>
        <w:jc w:val="both"/>
        <w:rPr/>
      </w:pPr>
      <w:r>
        <w:rPr>
          <w:rFonts w:eastAsia="Tahoma" w:cs="Tahoma"/>
          <w:b w:val="false"/>
          <w:sz w:val="24"/>
        </w:rPr>
        <w:tab/>
        <w:t>A erosão do saber tácito tem um custo adicional, pouco discutido: sem mecanismo institucional de troca de experiências, o conhecimento sobre os limites de cada sistema se perde a cada rotatividade de equipe, levando cada gabinete a redescobrir problemas já enfrentados em outros.</w:t>
      </w:r>
    </w:p>
    <w:p>
      <w:pPr>
        <w:pStyle w:val="BodyText"/>
        <w:bidi w:val="0"/>
        <w:spacing w:lineRule="auto" w:line="360"/>
        <w:ind w:hanging="0" w:left="0" w:right="0"/>
        <w:jc w:val="both"/>
        <w:rPr>
          <w:rFonts w:ascii="Tahoma" w:hAnsi="Tahoma" w:eastAsia="Tahoma" w:cs="Tahoma"/>
          <w:b w:val="false"/>
          <w:i w:val="false"/>
          <w:i w:val="false"/>
          <w:iCs w:val="false"/>
          <w:color w:val="auto"/>
          <w:kern w:val="0"/>
          <w:sz w:val="24"/>
          <w:szCs w:val="22"/>
          <w:lang w:val="pt-BR" w:eastAsia="zh-CN" w:bidi="hi-IN"/>
        </w:rPr>
      </w:pPr>
      <w:r>
        <w:rPr>
          <w:rFonts w:eastAsia="Tahoma" w:cs="Tahoma"/>
          <w:b w:val="false"/>
          <w:i w:val="false"/>
          <w:iCs w:val="false"/>
          <w:color w:val="auto"/>
          <w:kern w:val="0"/>
          <w:sz w:val="24"/>
          <w:szCs w:val="22"/>
          <w:lang w:val="pt-BR" w:eastAsia="zh-CN" w:bidi="hi-IN"/>
        </w:rPr>
        <w:tab/>
        <w:t>No Judiciário, onde desigualdades de gênero e raça estão embutidas nos microdados que alimentarão os sistemas de equiparação salarial, verificar a representatividade dos grupos afetados antes da implantação evita que a auditoria de viés exclua quem mais depende de decisões justas.</w:t>
      </w:r>
    </w:p>
    <w:p>
      <w:pPr>
        <w:pStyle w:val="Normal"/>
        <w:keepNext w:val="true"/>
        <w:spacing w:lineRule="auto" w:line="240" w:before="160" w:after="80"/>
        <w:ind w:hanging="0"/>
        <w:jc w:val="left"/>
        <w:rPr>
          <w:highlight w:val="none"/>
          <w:shd w:fill="auto" w:val="clear"/>
        </w:rPr>
      </w:pPr>
      <w:r>
        <w:rPr>
          <w:rFonts w:eastAsia="Tahoma" w:cs="Tahoma"/>
          <w:b/>
          <w:bCs/>
          <w:sz w:val="28"/>
          <w:szCs w:val="24"/>
          <w:shd w:fill="auto" w:val="clear"/>
        </w:rPr>
        <w:t>2.2.4 Fundamento técnico: da opacidade contratual à auditabilidade verificável</w:t>
      </w:r>
    </w:p>
    <w:p>
      <w:pPr>
        <w:pStyle w:val="Normal"/>
        <w:spacing w:lineRule="auto" w:line="360" w:before="0" w:after="0"/>
        <w:ind w:firstLine="709"/>
        <w:jc w:val="both"/>
        <w:rPr>
          <w:highlight w:val="none"/>
          <w:shd w:fill="auto" w:val="clear"/>
        </w:rPr>
      </w:pPr>
      <w:r>
        <w:rPr>
          <w:rFonts w:eastAsia="Tahoma" w:cs="Tahoma"/>
          <w:b w:val="false"/>
          <w:sz w:val="24"/>
        </w:rPr>
        <w:t>Como a IA generativa é probabilística e capaz tanto de resumos simples quanto de decisões complexas, auditar suas saídas imprevisíveis ou classificar o sistema torna-se inviável, devendo o controle focar na decisão apoiada. Assim, a técnica de RAG (</w:t>
      </w:r>
      <w:r>
        <w:rPr>
          <w:rFonts w:eastAsia="Tahoma" w:cs="Tahoma"/>
          <w:b w:val="false"/>
          <w:i/>
          <w:sz w:val="24"/>
        </w:rPr>
        <w:t>Retrieval-Augmented Generation</w:t>
      </w:r>
      <w:r>
        <w:rPr>
          <w:rFonts w:eastAsia="Tahoma" w:cs="Tahoma"/>
          <w:b w:val="false"/>
          <w:sz w:val="24"/>
        </w:rPr>
        <w:t>), que ancora a resposta exclusivamente em bases documentais fechadas do tribunal, desloca o paradigma do controle: certifica-se a arquitetura de recuperação e fundamentação</w:t>
      </w:r>
      <w:r>
        <w:rPr>
          <w:rStyle w:val="FootnoteReference"/>
          <w:rFonts w:cs="Tahoma"/>
          <w:sz w:val="24"/>
        </w:rPr>
        <w:footnoteReference w:id="30"/>
      </w:r>
      <w:r>
        <w:rPr>
          <w:rFonts w:eastAsia="Tahoma" w:cs="Tahoma"/>
          <w:b w:val="false"/>
          <w:sz w:val="24"/>
        </w:rPr>
        <w:t>.</w:t>
      </w:r>
    </w:p>
    <w:p>
      <w:pPr>
        <w:pStyle w:val="Normal"/>
        <w:spacing w:lineRule="auto" w:line="360" w:before="0" w:after="0"/>
        <w:ind w:firstLine="709"/>
        <w:jc w:val="both"/>
        <w:rPr>
          <w:highlight w:val="none"/>
          <w:shd w:fill="auto" w:val="clear"/>
        </w:rPr>
      </w:pPr>
      <w:r>
        <w:rPr>
          <w:rFonts w:eastAsia="Tahoma" w:cs="Tahoma"/>
          <w:b w:val="false"/>
          <w:sz w:val="24"/>
        </w:rPr>
        <w:t>A arquitetura de duas IAs admite validação cruzada: a IA primária gera cenários ancorados nas bases normativas; o magistrado julga a partir deles; e, antes da assinatura, uma IA secundária audita a minuta, apontando inconsistências normativas e precedentes ignorados. Propõe-se que sejam de fornecedores distintos.</w:t>
      </w:r>
    </w:p>
    <w:p>
      <w:pPr>
        <w:pStyle w:val="Normal"/>
        <w:spacing w:lineRule="auto" w:line="360" w:before="0" w:after="0"/>
        <w:ind w:firstLine="709"/>
        <w:jc w:val="both"/>
        <w:rPr>
          <w:highlight w:val="none"/>
          <w:shd w:fill="auto" w:val="clear"/>
        </w:rPr>
      </w:pPr>
      <w:r>
        <w:rPr>
          <w:rFonts w:eastAsia="Tahoma" w:cs="Tahoma"/>
          <w:b w:val="false"/>
          <w:sz w:val="24"/>
        </w:rPr>
        <w:t>A Resolução CNJ n. 615/2025 impõe monitoramento contínuo sem delimitar seu objeto, lacuna que expõe os comitês ao Dilema do Comitê: a homologação cega da IA esbarra no risco de mau uso, mas o excesso de monitoramento viola a privacidade e a independência do juiz. O modelo o resolve atuando sobre a saúde do algoritmo: o log do Critério A6 audita apenas metadados. Registra-se o que o sistema fez, nunca o que a pessoa fez com o sistema.</w:t>
      </w:r>
    </w:p>
    <w:p>
      <w:pPr>
        <w:pStyle w:val="Normal"/>
        <w:spacing w:lineRule="auto" w:line="360" w:before="0" w:after="0"/>
        <w:ind w:firstLine="709"/>
        <w:jc w:val="both"/>
        <w:rPr>
          <w:highlight w:val="none"/>
          <w:shd w:fill="auto" w:val="clear"/>
        </w:rPr>
      </w:pPr>
      <w:r>
        <w:rPr>
          <w:rFonts w:eastAsia="Tahoma" w:cs="Tahoma"/>
          <w:b w:val="false"/>
          <w:sz w:val="24"/>
        </w:rPr>
        <w:t>Esse limite é normativo, não apenas técnico: qualquer mecanismo que capture o comportamento do magistrado, como gravação de tela ou aferição de tempo de leitura, é vedado pelo Protocolo. Ultrapassar essa fronteira substitui a auditoria da ferramenta pela vigilância do trabalho intelectual do juiz, violando o art. 95 da Constituição e o art. 6º, I, da LGPD.</w:t>
      </w:r>
    </w:p>
    <w:p>
      <w:pPr>
        <w:pStyle w:val="Normal"/>
        <w:keepNext w:val="true"/>
        <w:spacing w:lineRule="auto" w:line="240" w:before="160" w:after="120"/>
        <w:ind w:hanging="0"/>
        <w:jc w:val="left"/>
        <w:rPr>
          <w:highlight w:val="none"/>
          <w:shd w:fill="auto" w:val="clear"/>
        </w:rPr>
      </w:pPr>
      <w:r>
        <w:rPr>
          <w:rFonts w:eastAsia="Tahoma" w:cs="Tahoma"/>
          <w:b w:val="false"/>
          <w:bCs w:val="false"/>
          <w:sz w:val="28"/>
          <w:szCs w:val="24"/>
          <w:shd w:fill="auto" w:val="clear"/>
        </w:rPr>
        <w:t>2.3 REFERENCIAL TEÓRICO, METODOLOGIAS E PROCEDIMENTOS</w:t>
      </w:r>
    </w:p>
    <w:p>
      <w:pPr>
        <w:pStyle w:val="Normal"/>
        <w:spacing w:lineRule="auto" w:line="360" w:before="0" w:after="0"/>
        <w:ind w:firstLine="709"/>
        <w:jc w:val="both"/>
        <w:rPr>
          <w:highlight w:val="none"/>
          <w:shd w:fill="auto" w:val="clear"/>
        </w:rPr>
      </w:pPr>
      <w:r>
        <w:rPr>
          <w:rFonts w:eastAsia="Tahoma" w:cs="Tahoma"/>
          <w:b w:val="false"/>
          <w:sz w:val="24"/>
        </w:rPr>
        <w:t>A pesquisa articula quatro campos teóricos, aplicados aos sistemas em operação nos tribunais brasileiros: teoria organizacional e decisória; governança de dados e auditabilidade técnica; ética em IA, responsabilidade jurídica e proteção de dados pessoais; e gestão do conhecimento.</w:t>
      </w:r>
    </w:p>
    <w:p>
      <w:pPr>
        <w:pStyle w:val="Normal"/>
        <w:keepNext w:val="true"/>
        <w:spacing w:lineRule="auto" w:line="240" w:before="160" w:after="80"/>
        <w:ind w:hanging="0"/>
        <w:jc w:val="left"/>
        <w:rPr>
          <w:highlight w:val="none"/>
          <w:shd w:fill="auto" w:val="clear"/>
        </w:rPr>
      </w:pPr>
      <w:r>
        <w:rPr>
          <w:rFonts w:eastAsia="Tahoma" w:cs="Tahoma"/>
          <w:b/>
          <w:bCs/>
          <w:sz w:val="28"/>
          <w:szCs w:val="24"/>
          <w:shd w:fill="auto" w:val="clear"/>
        </w:rPr>
        <w:t>2.3.1 Teoria organizacional e decisória</w:t>
      </w:r>
    </w:p>
    <w:p>
      <w:pPr>
        <w:pStyle w:val="Normal"/>
        <w:spacing w:lineRule="auto" w:line="360" w:before="0" w:after="0"/>
        <w:ind w:firstLine="709"/>
        <w:jc w:val="both"/>
        <w:rPr>
          <w:highlight w:val="none"/>
          <w:shd w:fill="auto" w:val="clear"/>
        </w:rPr>
      </w:pPr>
      <w:r>
        <w:rPr>
          <w:rFonts w:eastAsia="Tahoma" w:cs="Tahoma"/>
          <w:b w:val="false"/>
          <w:sz w:val="24"/>
        </w:rPr>
        <w:t>Decisões programadas são suscetíveis à automação, enquanto decisões não programadas dependem de julgamento contextual</w:t>
      </w:r>
      <w:r>
        <w:rPr>
          <w:rStyle w:val="FootnoteReference"/>
          <w:rFonts w:cs="Tahoma"/>
          <w:sz w:val="24"/>
        </w:rPr>
        <w:footnoteReference w:id="31"/>
      </w:r>
      <w:r>
        <w:rPr>
          <w:rFonts w:eastAsia="Tahoma" w:cs="Tahoma"/>
          <w:b w:val="false"/>
          <w:sz w:val="24"/>
        </w:rPr>
        <w:t>, e o risco varia entre os níveis estratégico, tático e operacional</w:t>
      </w:r>
      <w:r>
        <w:rPr>
          <w:rStyle w:val="FootnoteReference"/>
          <w:rFonts w:cs="Tahoma"/>
          <w:sz w:val="24"/>
        </w:rPr>
        <w:footnoteReference w:id="32"/>
      </w:r>
      <w:r>
        <w:rPr>
          <w:rFonts w:eastAsia="Tahoma" w:cs="Tahoma"/>
          <w:b w:val="false"/>
          <w:sz w:val="24"/>
        </w:rPr>
        <w:t>. Em ambientes de elevada carga cognitiva predomina o raciocínio intuitivo</w:t>
      </w:r>
      <w:r>
        <w:rPr>
          <w:rStyle w:val="FootnoteReference"/>
          <w:rFonts w:cs="Tahoma"/>
          <w:sz w:val="24"/>
        </w:rPr>
        <w:footnoteReference w:id="33"/>
      </w:r>
      <w:r>
        <w:rPr>
          <w:rFonts w:eastAsia="Tahoma" w:cs="Tahoma"/>
          <w:b w:val="false"/>
          <w:sz w:val="24"/>
        </w:rPr>
        <w:t>: observou-se redução de decisões favoráveis à liberdade em sessões contínuas</w:t>
      </w:r>
      <w:r>
        <w:rPr>
          <w:rStyle w:val="FootnoteReference"/>
          <w:rFonts w:cs="Tahoma"/>
          <w:sz w:val="24"/>
        </w:rPr>
        <w:footnoteReference w:id="34"/>
      </w:r>
      <w:r>
        <w:rPr>
          <w:rFonts w:eastAsia="Tahoma" w:cs="Tahoma"/>
          <w:b w:val="false"/>
          <w:sz w:val="24"/>
        </w:rPr>
        <w:t xml:space="preserve">, </w:t>
      </w:r>
      <w:r>
        <w:rPr>
          <w:rStyle w:val="FootnoteReference"/>
          <w:rFonts w:cs="Tahoma"/>
          <w:sz w:val="24"/>
        </w:rPr>
        <w:footnoteReference w:id="35"/>
      </w:r>
      <w:r>
        <w:rPr>
          <w:rFonts w:eastAsia="Tahoma" w:cs="Tahoma"/>
          <w:b w:val="false"/>
          <w:sz w:val="24"/>
        </w:rPr>
        <w:t>, e vieses de ancoragem em magistrados</w:t>
      </w:r>
      <w:r>
        <w:rPr>
          <w:rStyle w:val="FootnoteReference"/>
          <w:rFonts w:cs="Tahoma"/>
          <w:sz w:val="24"/>
        </w:rPr>
        <w:footnoteReference w:id="36"/>
      </w:r>
      <w:r>
        <w:rPr>
          <w:rFonts w:eastAsia="Tahoma" w:cs="Tahoma"/>
          <w:b w:val="false"/>
          <w:sz w:val="24"/>
        </w:rPr>
        <w:t xml:space="preserve">, </w:t>
      </w:r>
      <w:r>
        <w:rPr>
          <w:rStyle w:val="FootnoteReference"/>
          <w:rFonts w:cs="Tahoma"/>
          <w:sz w:val="24"/>
        </w:rPr>
        <w:footnoteReference w:id="37"/>
      </w:r>
      <w:r>
        <w:rPr>
          <w:rFonts w:eastAsia="Tahoma" w:cs="Tahoma"/>
          <w:b w:val="false"/>
          <w:sz w:val="24"/>
        </w:rPr>
        <w:t>.</w:t>
      </w:r>
    </w:p>
    <w:p>
      <w:pPr>
        <w:pStyle w:val="Normal"/>
        <w:spacing w:lineRule="auto" w:line="360" w:before="0" w:after="0"/>
        <w:ind w:firstLine="709"/>
        <w:jc w:val="both"/>
        <w:rPr>
          <w:highlight w:val="none"/>
          <w:shd w:fill="auto" w:val="clear"/>
        </w:rPr>
      </w:pPr>
      <w:r>
        <w:rPr>
          <w:b w:val="false"/>
        </w:rPr>
        <w:t>A autoridade organizacional tende a deslocar-se para os agentes que controlam os sistemas informacionais quando não há delimitação clara de responsabilidades</w:t>
      </w:r>
      <w:r>
        <w:rPr>
          <w:rStyle w:val="FootnoteReference"/>
          <w:rFonts w:cs="Tahoma"/>
          <w:sz w:val="24"/>
        </w:rPr>
        <w:footnoteReference w:id="38"/>
      </w:r>
      <w:r>
        <w:rPr>
          <w:rFonts w:cs="Tahoma"/>
          <w:sz w:val="24"/>
          <w:vertAlign w:val="superscript"/>
        </w:rPr>
        <w:t xml:space="preserve">, </w:t>
      </w:r>
      <w:r>
        <w:rPr>
          <w:rStyle w:val="FootnoteReference"/>
          <w:rFonts w:cs="Tahoma"/>
          <w:sz w:val="24"/>
        </w:rPr>
        <w:footnoteReference w:id="39"/>
      </w:r>
      <w:r>
        <w:rPr>
          <w:b w:val="false"/>
        </w:rPr>
        <w:t>, e a legitimidade burocrática depende de normas assumidas por agentes responsáveis, requisito que sistemas algorítmicos não satisfazem</w:t>
      </w:r>
      <w:r>
        <w:rPr>
          <w:rStyle w:val="FootnoteReference"/>
          <w:rFonts w:cs="Tahoma"/>
          <w:sz w:val="24"/>
        </w:rPr>
        <w:footnoteReference w:id="40"/>
      </w:r>
      <w:r>
        <w:rPr>
          <w:b w:val="false"/>
        </w:rPr>
        <w:t>.</w:t>
      </w:r>
    </w:p>
    <w:p>
      <w:pPr>
        <w:pStyle w:val="Normal"/>
        <w:spacing w:lineRule="auto" w:line="360" w:before="0" w:after="0"/>
        <w:ind w:firstLine="709"/>
        <w:jc w:val="both"/>
        <w:rPr>
          <w:highlight w:val="none"/>
          <w:shd w:fill="auto" w:val="clear"/>
        </w:rPr>
      </w:pPr>
      <w:r>
        <w:rPr>
          <w:rFonts w:eastAsia="Tahoma" w:cs="Tahoma"/>
          <w:b w:val="false"/>
          <w:sz w:val="24"/>
        </w:rPr>
        <w:t>O Modelo GSD traduz esses fundamentos em quatro princípios. P1, proporcionalidade da supervisão: o envolvimento humano deve ser proporcional ao impacto sobre direitos e à dificuldade de reversão. P2, auditabilidade como legitimidade. P3, irreversibilidade como vetor de risco, dimensão D2 do ISD. P4, intransferibilidade: a responsabilidade permanece com quem assina a decisão.</w:t>
      </w:r>
    </w:p>
    <w:p>
      <w:pPr>
        <w:pStyle w:val="Normal"/>
        <w:keepNext w:val="true"/>
        <w:spacing w:lineRule="auto" w:line="240" w:before="160" w:after="80"/>
        <w:ind w:hanging="0"/>
        <w:jc w:val="left"/>
        <w:rPr>
          <w:highlight w:val="none"/>
          <w:shd w:fill="auto" w:val="clear"/>
        </w:rPr>
      </w:pPr>
      <w:r>
        <w:rPr>
          <w:rFonts w:eastAsia="Tahoma" w:cs="Tahoma"/>
          <w:b/>
          <w:bCs/>
          <w:sz w:val="28"/>
          <w:szCs w:val="24"/>
          <w:shd w:fill="auto" w:val="clear"/>
        </w:rPr>
        <w:t>2.3.2 Governança de dados e auditabilidade técnica</w:t>
      </w:r>
    </w:p>
    <w:p>
      <w:pPr>
        <w:pStyle w:val="Normal"/>
        <w:spacing w:lineRule="auto" w:line="360" w:before="0" w:after="0"/>
        <w:ind w:firstLine="709"/>
        <w:jc w:val="both"/>
        <w:rPr>
          <w:highlight w:val="none"/>
          <w:shd w:fill="auto" w:val="clear"/>
        </w:rPr>
      </w:pPr>
      <w:r>
        <w:rPr>
          <w:rFonts w:eastAsia="Tahoma" w:cs="Tahoma"/>
          <w:b w:val="false"/>
          <w:sz w:val="24"/>
        </w:rPr>
        <w:t>O DAMA-DMBOK</w:t>
      </w:r>
      <w:r>
        <w:rPr>
          <w:rStyle w:val="FootnoteReference"/>
          <w:rFonts w:cs="Tahoma"/>
          <w:sz w:val="24"/>
        </w:rPr>
        <w:footnoteReference w:id="41"/>
      </w:r>
      <w:r>
        <w:rPr>
          <w:rFonts w:eastAsia="Tahoma" w:cs="Tahoma"/>
          <w:b w:val="false"/>
          <w:sz w:val="24"/>
        </w:rPr>
        <w:t xml:space="preserve"> estrutura a governança por papéis formais: o Data Steward mitiga riscos na qualidade dos dados e o Data Owner exerce a autoridade hierárquica, ambos no critério A4. Algoritmos reproduzem desigualdades sob aparente objetividade</w:t>
      </w:r>
      <w:r>
        <w:rPr>
          <w:rStyle w:val="FootnoteReference"/>
          <w:rFonts w:cs="Tahoma"/>
          <w:sz w:val="24"/>
        </w:rPr>
        <w:footnoteReference w:id="42"/>
      </w:r>
      <w:r>
        <w:rPr>
          <w:rFonts w:eastAsia="Tahoma" w:cs="Tahoma"/>
          <w:b w:val="false"/>
          <w:sz w:val="24"/>
        </w:rPr>
        <w:t xml:space="preserve">, </w:t>
      </w:r>
      <w:r>
        <w:rPr>
          <w:rStyle w:val="FootnoteReference"/>
          <w:rFonts w:cs="Tahoma"/>
          <w:sz w:val="24"/>
        </w:rPr>
        <w:footnoteReference w:id="43"/>
      </w:r>
      <w:r>
        <w:rPr>
          <w:rFonts w:eastAsia="Tahoma" w:cs="Tahoma"/>
          <w:b w:val="false"/>
          <w:sz w:val="24"/>
        </w:rPr>
        <w:t>; ancorar respostas em fontes verificáveis mitiga alucinações</w:t>
      </w:r>
      <w:r>
        <w:rPr>
          <w:rStyle w:val="FootnoteReference"/>
          <w:rFonts w:cs="Tahoma"/>
          <w:sz w:val="24"/>
        </w:rPr>
        <w:footnoteReference w:id="44"/>
      </w:r>
      <w:r>
        <w:rPr>
          <w:rFonts w:eastAsia="Tahoma" w:cs="Tahoma"/>
          <w:b w:val="false"/>
          <w:sz w:val="24"/>
        </w:rPr>
        <w:t>.</w:t>
      </w:r>
    </w:p>
    <w:p>
      <w:pPr>
        <w:pStyle w:val="Normal"/>
        <w:keepNext w:val="true"/>
        <w:spacing w:lineRule="auto" w:line="240" w:before="160" w:after="80"/>
        <w:ind w:hanging="0"/>
        <w:jc w:val="left"/>
        <w:rPr>
          <w:highlight w:val="none"/>
          <w:shd w:fill="auto" w:val="clear"/>
        </w:rPr>
      </w:pPr>
      <w:r>
        <w:rPr>
          <w:rFonts w:eastAsia="Tahoma" w:cs="Tahoma"/>
          <w:b/>
          <w:bCs/>
          <w:sz w:val="28"/>
          <w:szCs w:val="24"/>
          <w:shd w:fill="auto" w:val="clear"/>
        </w:rPr>
        <w:t>2.3.3 Ética em IA, responsabilidade jurídica e assimetria de alcance</w:t>
      </w:r>
    </w:p>
    <w:p>
      <w:pPr>
        <w:pStyle w:val="Normal"/>
        <w:spacing w:lineRule="auto" w:line="360" w:before="0" w:after="0"/>
        <w:ind w:firstLine="709"/>
        <w:jc w:val="both"/>
        <w:rPr>
          <w:highlight w:val="none"/>
          <w:shd w:fill="auto" w:val="clear"/>
        </w:rPr>
      </w:pPr>
      <w:r>
        <w:rPr>
          <w:rFonts w:eastAsia="Tahoma" w:cs="Tahoma"/>
          <w:b w:val="false"/>
          <w:sz w:val="24"/>
        </w:rPr>
        <w:t>A explicabilidade é o princípio mais crítico da IA ética no contexto judicial</w:t>
      </w:r>
      <w:r>
        <w:rPr>
          <w:rStyle w:val="FootnoteReference"/>
          <w:rFonts w:cs="Tahoma"/>
          <w:sz w:val="24"/>
        </w:rPr>
        <w:footnoteReference w:id="45"/>
      </w:r>
      <w:r>
        <w:rPr>
          <w:rFonts w:eastAsia="Tahoma" w:cs="Tahoma"/>
          <w:b w:val="false"/>
          <w:sz w:val="24"/>
        </w:rPr>
        <w:t>, e a arquitetura Human-in-the-Loop é mecanismo de rastreabilidade da responsabilidade a um agente identificável</w:t>
      </w:r>
      <w:r>
        <w:rPr>
          <w:rStyle w:val="FootnoteReference"/>
          <w:rFonts w:cs="Tahoma"/>
          <w:sz w:val="24"/>
        </w:rPr>
        <w:footnoteReference w:id="46"/>
      </w:r>
      <w:r>
        <w:rPr>
          <w:rFonts w:eastAsia="Tahoma" w:cs="Tahoma"/>
          <w:b w:val="false"/>
          <w:sz w:val="24"/>
        </w:rPr>
        <w:t>. A delegação sem supervisão qualificada viola o princípio da motivação</w:t>
      </w:r>
      <w:r>
        <w:rPr>
          <w:rStyle w:val="FootnoteReference"/>
          <w:rFonts w:cs="Tahoma"/>
          <w:sz w:val="24"/>
        </w:rPr>
        <w:footnoteReference w:id="47"/>
      </w:r>
      <w:r>
        <w:rPr>
          <w:rFonts w:eastAsia="Tahoma" w:cs="Tahoma"/>
          <w:b w:val="false"/>
          <w:sz w:val="24"/>
        </w:rPr>
        <w:t xml:space="preserve">, </w:t>
      </w:r>
      <w:r>
        <w:rPr>
          <w:rStyle w:val="FootnoteReference"/>
          <w:rFonts w:cs="Tahoma"/>
          <w:sz w:val="24"/>
        </w:rPr>
        <w:footnoteReference w:id="48"/>
      </w:r>
      <w:r>
        <w:rPr>
          <w:rFonts w:eastAsia="Tahoma" w:cs="Tahoma"/>
          <w:b w:val="false"/>
          <w:sz w:val="24"/>
        </w:rPr>
        <w:t xml:space="preserve">, </w:t>
      </w:r>
      <w:r>
        <w:rPr>
          <w:rStyle w:val="FootnoteReference"/>
          <w:rFonts w:cs="Tahoma"/>
          <w:sz w:val="24"/>
        </w:rPr>
        <w:footnoteReference w:id="49"/>
      </w:r>
      <w:r>
        <w:rPr>
          <w:rFonts w:eastAsia="Tahoma" w:cs="Tahoma"/>
          <w:b w:val="false"/>
          <w:sz w:val="24"/>
        </w:rPr>
        <w:t>.</w:t>
      </w:r>
    </w:p>
    <w:p>
      <w:pPr>
        <w:pStyle w:val="Normal"/>
        <w:spacing w:lineRule="auto" w:line="360" w:before="0" w:after="0"/>
        <w:ind w:firstLine="709"/>
        <w:jc w:val="both"/>
        <w:rPr>
          <w:highlight w:val="none"/>
          <w:shd w:fill="auto" w:val="clear"/>
        </w:rPr>
      </w:pPr>
      <w:r>
        <w:rPr>
          <w:b w:val="false"/>
        </w:rPr>
        <w:t>A verificação de equidade não pode limitar-se à performance média do modelo: é preciso avaliar se o sistema mantém desempenho adequado para grupos historicamente sub-representados, exigência formalizada no MAR, cuja ausência reclassifica para Camada 3 os usos de C2 ou C3.</w:t>
      </w:r>
    </w:p>
    <w:p>
      <w:pPr>
        <w:pStyle w:val="Normal"/>
        <w:keepNext w:val="true"/>
        <w:spacing w:lineRule="auto" w:line="240" w:before="160" w:after="80"/>
        <w:ind w:hanging="0"/>
        <w:jc w:val="left"/>
        <w:rPr>
          <w:highlight w:val="none"/>
          <w:shd w:fill="auto" w:val="clear"/>
        </w:rPr>
      </w:pPr>
      <w:r>
        <w:rPr>
          <w:rFonts w:eastAsia="Tahoma" w:cs="Tahoma"/>
          <w:b w:val="false"/>
          <w:sz w:val="28"/>
        </w:rPr>
        <w:t>2.3.4 Gestão do conhecimento e preservação do saber tácito</w:t>
      </w:r>
    </w:p>
    <w:p>
      <w:pPr>
        <w:pStyle w:val="Normal"/>
        <w:spacing w:lineRule="auto" w:line="360" w:before="0" w:after="0"/>
        <w:ind w:firstLine="709"/>
        <w:jc w:val="both"/>
        <w:rPr>
          <w:highlight w:val="none"/>
          <w:shd w:fill="auto" w:val="clear"/>
        </w:rPr>
      </w:pPr>
      <w:r>
        <w:rPr>
          <w:rFonts w:eastAsia="Tahoma" w:cs="Tahoma"/>
          <w:b w:val="false"/>
          <w:sz w:val="24"/>
        </w:rPr>
        <w:t>Parte relevante da atividade jurisdicional depende de conhecimento tácito</w:t>
      </w:r>
      <w:r>
        <w:rPr>
          <w:rStyle w:val="FootnoteReference"/>
          <w:rFonts w:cs="Tahoma"/>
          <w:sz w:val="24"/>
        </w:rPr>
        <w:footnoteReference w:id="50"/>
      </w:r>
      <w:r>
        <w:rPr>
          <w:rFonts w:eastAsia="Tahoma" w:cs="Tahoma"/>
          <w:b w:val="false"/>
          <w:sz w:val="24"/>
        </w:rPr>
        <w:t xml:space="preserve"> construído por experiência institucional. Por isso o modelo prevê, além do critério A8, capacitação obrigatória sobre uso responsável da IA, renovada a cada ciclo de auditoria.</w:t>
      </w:r>
    </w:p>
    <w:p>
      <w:pPr>
        <w:pStyle w:val="Normal"/>
        <w:keepNext w:val="true"/>
        <w:spacing w:lineRule="auto" w:line="240" w:before="160" w:after="80"/>
        <w:ind w:hanging="0"/>
        <w:jc w:val="left"/>
        <w:rPr>
          <w:rFonts w:ascii="Tahoma" w:hAnsi="Tahoma" w:eastAsia="Tahoma" w:cs="Tahoma"/>
          <w:b/>
          <w:bCs/>
          <w:color w:val="auto"/>
          <w:kern w:val="0"/>
          <w:sz w:val="28"/>
          <w:szCs w:val="28"/>
          <w:lang w:val="pt-BR" w:eastAsia="zh-CN" w:bidi="hi-IN"/>
        </w:rPr>
      </w:pPr>
      <w:r>
        <w:rPr>
          <w:rFonts w:eastAsia="Tahoma" w:cs="Tahoma"/>
          <w:b/>
          <w:bCs/>
          <w:color w:val="auto"/>
          <w:kern w:val="0"/>
          <w:sz w:val="28"/>
          <w:szCs w:val="28"/>
          <w:lang w:val="pt-BR" w:eastAsia="zh-CN" w:bidi="hi-IN"/>
        </w:rPr>
        <w:t>2.3.5 O Protocolo de Auditoria A1-A9: pré-condições de entrada e quatro Pilares de Conformidade</w:t>
      </w:r>
    </w:p>
    <w:p>
      <w:pPr>
        <w:pStyle w:val="Normal"/>
        <w:spacing w:lineRule="auto" w:line="360" w:before="0" w:after="0"/>
        <w:ind w:firstLine="709"/>
        <w:jc w:val="both"/>
        <w:rPr>
          <w:rFonts w:ascii="Tahoma" w:hAnsi="Tahoma" w:eastAsia="Tahoma" w:cs="Tahoma"/>
          <w:b w:val="false"/>
          <w:color w:val="auto"/>
          <w:kern w:val="0"/>
          <w:sz w:val="24"/>
          <w:szCs w:val="22"/>
          <w:lang w:val="pt-BR" w:eastAsia="zh-CN" w:bidi="hi-IN"/>
        </w:rPr>
      </w:pPr>
      <w:r>
        <w:rPr>
          <w:rFonts w:eastAsia="Tahoma" w:cs="Tahoma"/>
          <w:b w:val="false"/>
          <w:sz w:val="24"/>
        </w:rPr>
        <w:t>O Protocolo A1-A9 é a camada operacional do Modelo GSD e o principal entregável técnico. Enquanto o GSD define a arquitetura de supervisão, o Protocolo especifica o que verificar em cada implantação, de forma proporcional ao risco.</w:t>
      </w:r>
    </w:p>
    <w:p>
      <w:pPr>
        <w:pStyle w:val="Blocodecitao"/>
        <w:widowControl/>
        <w:suppressAutoHyphens w:val="true"/>
        <w:bidi w:val="0"/>
        <w:spacing w:lineRule="auto" w:line="360" w:before="0" w:after="0"/>
        <w:ind w:firstLine="680" w:left="0" w:right="0"/>
        <w:jc w:val="both"/>
        <w:rPr/>
      </w:pPr>
      <w:r>
        <w:rPr>
          <w:rFonts w:eastAsia="Tahoma" w:cs="Tahoma"/>
          <w:b w:val="false"/>
          <w:sz w:val="24"/>
        </w:rPr>
        <w:t>O ISD organiza a classificação em duas dimensões, pontuadas de 1 a 5 segundo a Rubrica de Avaliação (Quadro 3). D1 mede o impacto sobre direitos fundamentais; D2, a irreversibilidade, isto é, o custo de desfazer os efeitos da decisão. A composição percentual é ISD% = [(D1 x 0,4) + (D2 x 0,6)] / 5 x 100.</w:t>
      </w:r>
    </w:p>
    <w:p>
      <w:pPr>
        <w:pStyle w:val="Blocodecitao"/>
        <w:widowControl/>
        <w:suppressAutoHyphens w:val="true"/>
        <w:bidi w:val="0"/>
        <w:spacing w:lineRule="auto" w:line="360" w:before="0" w:after="283"/>
        <w:ind w:hanging="0" w:left="0" w:right="0"/>
        <w:jc w:val="both"/>
        <w:rPr>
          <w:rFonts w:ascii="Tahoma" w:hAnsi="Tahoma" w:eastAsia="Tahoma" w:cs="Tahoma"/>
          <w:b w:val="false"/>
          <w:color w:val="auto"/>
          <w:kern w:val="0"/>
          <w:sz w:val="24"/>
          <w:szCs w:val="22"/>
          <w:lang w:val="pt-BR" w:eastAsia="zh-CN" w:bidi="hi-IN"/>
        </w:rPr>
      </w:pPr>
      <w:r>
        <w:rPr>
          <w:rFonts w:eastAsia="Tahoma" w:cs="Tahoma"/>
          <w:b w:val="false"/>
          <w:sz w:val="24"/>
        </w:rPr>
        <w:tab/>
        <w:t xml:space="preserve">O peso maior de D2 é escolha normativa, não calibração estatística. Decorre do princípio P3, pelo qual o que justifica supervisão reforçada é a impossibilidade de reparação. </w:t>
        <w:tab/>
        <w:tab/>
        <w:tab/>
        <w:tab/>
        <w:tab/>
        <w:tab/>
        <w:tab/>
        <w:tab/>
        <w:tab/>
        <w:tab/>
        <w:tab/>
        <w:tab/>
      </w:r>
      <w:r>
        <w:rPr>
          <w:b w:val="false"/>
        </w:rPr>
        <w:t>Os critérios A1 (MAR) e A2 (auditabilidade técnica) operam como pré-condições de entrada: a ausência do MAR ou a reprovação de A2 reclassifica o uso para Camada 3, independentemente dos scores D1 e D2, conforme o Quadro 1.</w:t>
      </w:r>
    </w:p>
    <w:p>
      <w:pPr>
        <w:pStyle w:val="Normal"/>
        <w:spacing w:lineRule="auto" w:line="240" w:before="160" w:after="80"/>
        <w:ind w:hanging="0"/>
        <w:jc w:val="left"/>
        <w:rPr>
          <w:highlight w:val="none"/>
          <w:shd w:fill="auto" w:val="clear"/>
        </w:rPr>
      </w:pPr>
      <w:r>
        <w:rPr>
          <w:rFonts w:eastAsia="Tahoma" w:cs="Tahoma"/>
          <w:b/>
          <w:bCs/>
          <w:sz w:val="24"/>
          <w:szCs w:val="22"/>
          <w:shd w:fill="auto" w:val="clear"/>
        </w:rPr>
        <w:t>Quadro 1 – Protocolo de Auditoria A1-A9: organizado em quatro Pilares de Conformidade</w:t>
      </w:r>
    </w:p>
    <w:tbl>
      <w:tblPr>
        <w:tblW w:w="9600" w:type="dxa"/>
        <w:jc w:val="left"/>
        <w:tblInd w:w="0" w:type="dxa"/>
        <w:tblLayout w:type="fixed"/>
        <w:tblCellMar>
          <w:top w:w="60" w:type="dxa"/>
          <w:left w:w="80" w:type="dxa"/>
          <w:bottom w:w="60" w:type="dxa"/>
          <w:right w:w="80" w:type="dxa"/>
        </w:tblCellMar>
      </w:tblPr>
      <w:tblGrid>
        <w:gridCol w:w="900"/>
        <w:gridCol w:w="2196"/>
        <w:gridCol w:w="5604"/>
        <w:gridCol w:w="899"/>
      </w:tblGrid>
      <w:tr>
        <w:trPr/>
        <w:tc>
          <w:tcPr>
            <w:tcW w:w="900"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bCs/>
                <w:sz w:val="20"/>
                <w:szCs w:val="17"/>
                <w:shd w:fill="auto" w:val="clear"/>
              </w:rPr>
              <w:t>Cód.</w:t>
            </w:r>
          </w:p>
        </w:tc>
        <w:tc>
          <w:tcPr>
            <w:tcW w:w="2196"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bCs/>
                <w:sz w:val="20"/>
                <w:szCs w:val="17"/>
                <w:shd w:fill="auto" w:val="clear"/>
              </w:rPr>
              <w:t>Critério</w:t>
            </w:r>
          </w:p>
        </w:tc>
        <w:tc>
          <w:tcPr>
            <w:tcW w:w="5604"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bCs/>
                <w:sz w:val="20"/>
                <w:szCs w:val="17"/>
                <w:shd w:fill="auto" w:val="clear"/>
              </w:rPr>
              <w:t>Objetivo e condição de reclassificação</w:t>
            </w:r>
          </w:p>
        </w:tc>
        <w:tc>
          <w:tcPr>
            <w:tcW w:w="899"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bCs/>
                <w:sz w:val="20"/>
                <w:szCs w:val="17"/>
                <w:shd w:fill="auto" w:val="clear"/>
              </w:rPr>
              <w:t>Camada</w:t>
            </w:r>
          </w:p>
        </w:tc>
      </w:tr>
      <w:tr>
        <w:trPr/>
        <w:tc>
          <w:tcPr>
            <w:tcW w:w="9599" w:type="dxa"/>
            <w:gridSpan w:val="4"/>
            <w:tcBorders>
              <w:top w:val="single" w:sz="4" w:space="0" w:color="808080"/>
              <w:left w:val="single" w:sz="4" w:space="0" w:color="808080"/>
              <w:bottom w:val="single" w:sz="4" w:space="0" w:color="808080"/>
              <w:right w:val="single" w:sz="4" w:space="0" w:color="808080"/>
            </w:tcBorders>
            <w:shd w:color="auto" w:fill="BFBFBF" w:val="clear"/>
          </w:tcPr>
          <w:p>
            <w:pPr>
              <w:pStyle w:val="Normal"/>
              <w:spacing w:lineRule="auto" w:line="240" w:before="20" w:after="20"/>
              <w:ind w:hanging="0"/>
              <w:rPr>
                <w:highlight w:val="none"/>
                <w:shd w:fill="auto" w:val="clear"/>
              </w:rPr>
            </w:pPr>
            <w:r>
              <w:rPr>
                <w:rFonts w:eastAsia="Tahoma" w:cs="Tahoma"/>
                <w:b/>
                <w:sz w:val="20"/>
              </w:rPr>
              <w:t>Pré-condições de entrada (reclassificadoras): verificação obrigatória antes de qualquer implantação</w:t>
            </w:r>
          </w:p>
        </w:tc>
      </w:tr>
      <w:tr>
        <w:trPr/>
        <w:tc>
          <w:tcPr>
            <w:tcW w:w="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A1</w:t>
            </w:r>
          </w:p>
        </w:tc>
        <w:tc>
          <w:tcPr>
            <w:tcW w:w="2196"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Mapa de Alcance e Representatividade (MAR)</w:t>
            </w:r>
          </w:p>
        </w:tc>
        <w:tc>
          <w:tcPr>
            <w:tcW w:w="56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Exige do fornecedor: (i) documentação da composição dos dados de treinamento frente à população-alvo; e (ii) relatório de testes de paridade por grupos protegidos (gênero, raça, região, faixa de renda). A ausência de qualquer um reclassifica o uso para Camada 3, exceto em Camada 1, onde o MAR é meta de 12 meses. Em uso, o Data Steward monitora resultados estratificados a cada ciclo; disparidade acima de 5% exige reclassificação para C3 ou suspensão. (Planejamento da qualidade)</w:t>
            </w:r>
          </w:p>
        </w:tc>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C3 se reprovada</w:t>
            </w:r>
          </w:p>
        </w:tc>
      </w:tr>
      <w:tr>
        <w:trPr/>
        <w:tc>
          <w:tcPr>
            <w:tcW w:w="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A2</w:t>
            </w:r>
          </w:p>
        </w:tc>
        <w:tc>
          <w:tcPr>
            <w:tcW w:w="2196"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Auditabilidade técnica</w:t>
            </w:r>
          </w:p>
        </w:tc>
        <w:tc>
          <w:tcPr>
            <w:tcW w:w="56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Verificar auditabilidade em uma de três vias: (1) acesso direto ao código-fonte; (2) para sistemas de terceiros, cláusula contratual de auditoria; (3) para sistemas sem nenhuma das vias anteriores, enquadramento automático em C3. Reprovação total enquadra diretamente em C3. (Desenvolvimento da qualidade)</w:t>
            </w:r>
          </w:p>
        </w:tc>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C3 se reprovada</w:t>
            </w:r>
          </w:p>
        </w:tc>
      </w:tr>
      <w:tr>
        <w:trPr/>
        <w:tc>
          <w:tcPr>
            <w:tcW w:w="9599" w:type="dxa"/>
            <w:gridSpan w:val="4"/>
            <w:tcBorders>
              <w:top w:val="single" w:sz="4" w:space="0" w:color="808080"/>
              <w:left w:val="single" w:sz="4" w:space="0" w:color="808080"/>
              <w:bottom w:val="single" w:sz="4" w:space="0" w:color="808080"/>
              <w:right w:val="single" w:sz="4" w:space="0" w:color="808080"/>
            </w:tcBorders>
            <w:shd w:color="auto" w:fill="BFBFBF" w:val="clear"/>
          </w:tcPr>
          <w:p>
            <w:pPr>
              <w:pStyle w:val="Normal"/>
              <w:spacing w:lineRule="auto" w:line="240" w:before="20" w:after="20"/>
              <w:ind w:hanging="0"/>
              <w:rPr>
                <w:highlight w:val="none"/>
                <w:shd w:fill="auto" w:val="clear"/>
              </w:rPr>
            </w:pPr>
            <w:r>
              <w:rPr>
                <w:rFonts w:eastAsia="Tahoma" w:cs="Tahoma"/>
                <w:b/>
                <w:sz w:val="20"/>
              </w:rPr>
              <w:t>Pilar de Transparência: a ferramenta consegue explicar o resultado?</w:t>
            </w:r>
          </w:p>
        </w:tc>
      </w:tr>
      <w:tr>
        <w:trPr/>
        <w:tc>
          <w:tcPr>
            <w:tcW w:w="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A3</w:t>
            </w:r>
          </w:p>
        </w:tc>
        <w:tc>
          <w:tcPr>
            <w:tcW w:w="2196"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Mapeamento funcional</w:t>
            </w:r>
          </w:p>
        </w:tc>
        <w:tc>
          <w:tcPr>
            <w:tcW w:w="56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Identificar funcionalidades, tipos de decisão apoiadas, fontes de dados e fluxos de integração com sistemas processuais.</w:t>
            </w:r>
          </w:p>
        </w:tc>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C1-C3</w:t>
            </w:r>
          </w:p>
        </w:tc>
      </w:tr>
      <w:tr>
        <w:trPr/>
        <w:tc>
          <w:tcPr>
            <w:tcW w:w="9599" w:type="dxa"/>
            <w:gridSpan w:val="4"/>
            <w:tcBorders>
              <w:top w:val="single" w:sz="4" w:space="0" w:color="808080"/>
              <w:left w:val="single" w:sz="4" w:space="0" w:color="808080"/>
              <w:bottom w:val="single" w:sz="4" w:space="0" w:color="808080"/>
              <w:right w:val="single" w:sz="4" w:space="0" w:color="808080"/>
            </w:tcBorders>
            <w:shd w:color="auto" w:fill="BFBFBF" w:val="clear"/>
          </w:tcPr>
          <w:p>
            <w:pPr>
              <w:pStyle w:val="Normal"/>
              <w:spacing w:lineRule="auto" w:line="240" w:before="20" w:after="20"/>
              <w:ind w:hanging="0"/>
              <w:rPr>
                <w:highlight w:val="none"/>
                <w:shd w:fill="auto" w:val="clear"/>
              </w:rPr>
            </w:pPr>
            <w:r>
              <w:rPr>
                <w:rFonts w:eastAsia="Tahoma" w:cs="Tahoma"/>
                <w:b/>
                <w:sz w:val="20"/>
              </w:rPr>
              <w:t>Pilar de Origem: o dado é confiável e tem responsável formal?</w:t>
            </w:r>
          </w:p>
        </w:tc>
      </w:tr>
      <w:tr>
        <w:trPr/>
        <w:tc>
          <w:tcPr>
            <w:tcW w:w="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A4</w:t>
            </w:r>
          </w:p>
        </w:tc>
        <w:tc>
          <w:tcPr>
            <w:tcW w:w="2196"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Cadeia de responsabilidade</w:t>
            </w:r>
          </w:p>
        </w:tc>
        <w:tc>
          <w:tcPr>
            <w:tcW w:w="56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Nomear responsáveis formais com exigências proporcionais à camada. C1: responsável técnico indicado em ata. C2: Data Steward e Data Owner com atestação mínima. C3: Data Steward com atestação completa e Data Owner com autoridade hierárquica formal. (Garantia de qualidade)</w:t>
            </w:r>
          </w:p>
        </w:tc>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C2-C3</w:t>
            </w:r>
          </w:p>
        </w:tc>
      </w:tr>
      <w:tr>
        <w:trPr/>
        <w:tc>
          <w:tcPr>
            <w:tcW w:w="9599" w:type="dxa"/>
            <w:gridSpan w:val="4"/>
            <w:tcBorders>
              <w:top w:val="single" w:sz="4" w:space="0" w:color="808080"/>
              <w:left w:val="single" w:sz="4" w:space="0" w:color="808080"/>
              <w:bottom w:val="single" w:sz="4" w:space="0" w:color="808080"/>
              <w:right w:val="single" w:sz="4" w:space="0" w:color="808080"/>
            </w:tcBorders>
            <w:shd w:color="auto" w:fill="BFBFBF" w:val="clear"/>
          </w:tcPr>
          <w:p>
            <w:pPr>
              <w:pStyle w:val="Normal"/>
              <w:spacing w:lineRule="auto" w:line="240" w:before="20" w:after="20"/>
              <w:ind w:hanging="0"/>
              <w:rPr>
                <w:highlight w:val="none"/>
                <w:shd w:fill="auto" w:val="clear"/>
              </w:rPr>
            </w:pPr>
            <w:r>
              <w:rPr>
                <w:rFonts w:eastAsia="Tahoma" w:cs="Tahoma"/>
                <w:b/>
                <w:sz w:val="20"/>
              </w:rPr>
              <w:t>Pilar de Risco (A5 a A8): se a decisão for difícil de desfazer, há revisão humana obrigatória?</w:t>
            </w:r>
          </w:p>
        </w:tc>
      </w:tr>
      <w:tr>
        <w:trPr/>
        <w:tc>
          <w:tcPr>
            <w:tcW w:w="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A5</w:t>
            </w:r>
          </w:p>
        </w:tc>
        <w:tc>
          <w:tcPr>
            <w:tcW w:w="2196"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Classificação de risco (ISD)</w:t>
            </w:r>
          </w:p>
        </w:tc>
        <w:tc>
          <w:tcPr>
            <w:tcW w:w="56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Aplicar o ISD nas dimensões D1 (impacto) e D2 (irreversibilidade). Fórmula: ISD% = [(D1 x 0,4) + (D2 x 0,6)] / 5 x 100. Enquadrar em C1 (abaixo de 50%), C2 (50% a 79%) ou C3 (80% ou mais). Em zonas de fronteira (ISD a ±6 pontos percentuais de qualquer limiar) aplica-se o Princípio da Precaução: a decisão é enquadrada automaticamente na camada de maior risco adjacente.</w:t>
            </w:r>
          </w:p>
        </w:tc>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C1-C3</w:t>
            </w:r>
          </w:p>
        </w:tc>
      </w:tr>
      <w:tr>
        <w:trPr/>
        <w:tc>
          <w:tcPr>
            <w:tcW w:w="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A6</w:t>
            </w:r>
          </w:p>
        </w:tc>
        <w:tc>
          <w:tcPr>
            <w:tcW w:w="2196"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Monitoramento ativo</w:t>
            </w:r>
          </w:p>
        </w:tc>
        <w:tc>
          <w:tcPr>
            <w:tcW w:w="56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Log imutável de cada recomendação algorítmica que influenciar decisão judicial, retido pelo prazo do processo, mais revisão periódica: trimestral (C3), semestral (C2), anual (C1). Geração automatizada e nativa pelo sistema, sem intervenção manual, registrando apenas metadados operacionais, nunca o conteúdo da minuta. (Controle de qualidade)</w:t>
            </w:r>
          </w:p>
        </w:tc>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C1-C3</w:t>
            </w:r>
          </w:p>
        </w:tc>
      </w:tr>
      <w:tr>
        <w:trPr/>
        <w:tc>
          <w:tcPr>
            <w:tcW w:w="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A7</w:t>
            </w:r>
          </w:p>
        </w:tc>
        <w:tc>
          <w:tcPr>
            <w:tcW w:w="2196"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Plano de contingência</w:t>
            </w:r>
          </w:p>
        </w:tc>
        <w:tc>
          <w:tcPr>
            <w:tcW w:w="56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Plano formal de suspensão e reversão: critérios de ativação, responsável, prazo de execução e comunicação às partes. Testado anualmente em C3.</w:t>
            </w:r>
          </w:p>
        </w:tc>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C2-C3</w:t>
            </w:r>
          </w:p>
        </w:tc>
      </w:tr>
      <w:tr>
        <w:trPr/>
        <w:tc>
          <w:tcPr>
            <w:tcW w:w="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A8</w:t>
            </w:r>
          </w:p>
        </w:tc>
        <w:tc>
          <w:tcPr>
            <w:tcW w:w="2196"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Saber tácito</w:t>
            </w:r>
          </w:p>
        </w:tc>
        <w:tc>
          <w:tcPr>
            <w:tcW w:w="56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Preservação do saber tácito proporcional à camada. C2: ao menos uma sessão anual de compartilhamento entre usuários. C3: comunidade de prática trimestral e capacitação contínua. As sessões incluem módulo obrigatório sobre uso responsável da IA, com limites técnicos, vieses conhecidos e boas práticas de revisão da minuta.</w:t>
            </w:r>
          </w:p>
        </w:tc>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C2-C3</w:t>
            </w:r>
          </w:p>
        </w:tc>
      </w:tr>
      <w:tr>
        <w:trPr/>
        <w:tc>
          <w:tcPr>
            <w:tcW w:w="9599" w:type="dxa"/>
            <w:gridSpan w:val="4"/>
            <w:tcBorders>
              <w:top w:val="single" w:sz="4" w:space="0" w:color="808080"/>
              <w:left w:val="single" w:sz="4" w:space="0" w:color="808080"/>
              <w:bottom w:val="single" w:sz="4" w:space="0" w:color="808080"/>
              <w:right w:val="single" w:sz="4" w:space="0" w:color="808080"/>
            </w:tcBorders>
            <w:shd w:color="auto" w:fill="BFBFBF" w:val="clear"/>
          </w:tcPr>
          <w:p>
            <w:pPr>
              <w:pStyle w:val="Normal"/>
              <w:spacing w:lineRule="auto" w:line="240" w:before="20" w:after="20"/>
              <w:ind w:hanging="0"/>
              <w:rPr>
                <w:highlight w:val="none"/>
                <w:shd w:fill="auto" w:val="clear"/>
              </w:rPr>
            </w:pPr>
            <w:r>
              <w:rPr>
                <w:rFonts w:eastAsia="Tahoma" w:cs="Tahoma"/>
                <w:b/>
                <w:sz w:val="20"/>
              </w:rPr>
              <w:t>Pilar Legal: o uso respeita a LGPD e a Resolução CNJ n. 615/2025?</w:t>
            </w:r>
          </w:p>
        </w:tc>
      </w:tr>
      <w:tr>
        <w:trPr/>
        <w:tc>
          <w:tcPr>
            <w:tcW w:w="9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A9</w:t>
            </w:r>
          </w:p>
        </w:tc>
        <w:tc>
          <w:tcPr>
            <w:tcW w:w="2196"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Conformidade normativa e incidentes</w:t>
            </w:r>
          </w:p>
        </w:tc>
        <w:tc>
          <w:tcPr>
            <w:tcW w:w="5604"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Matriz de conformidade: Res. CNJ 615/2025, LGPD, Marco Legal da IA, CF/88, LINDB e legislação setorial. Notificação ao Data Owner após incidente e suspensão preventiva automática se ISD ≥ 80%. Inclui anonimização prévia dos dados pessoais das partes nos prompts.</w:t>
            </w:r>
          </w:p>
        </w:tc>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C1-C3</w:t>
            </w:r>
          </w:p>
        </w:tc>
      </w:tr>
    </w:tbl>
    <w:p>
      <w:pPr>
        <w:pStyle w:val="Normal"/>
        <w:spacing w:lineRule="auto" w:line="240" w:before="80" w:after="120"/>
        <w:ind w:hanging="0"/>
        <w:jc w:val="left"/>
        <w:rPr>
          <w:highlight w:val="none"/>
          <w:shd w:fill="auto" w:val="clear"/>
        </w:rPr>
      </w:pPr>
      <w:r>
        <w:rPr>
          <w:rFonts w:eastAsia="Tahoma" w:cs="Tahoma"/>
          <w:b w:val="false"/>
          <w:i/>
          <w:iCs/>
          <w:sz w:val="20"/>
          <w:szCs w:val="18"/>
          <w:shd w:fill="auto" w:val="clear"/>
        </w:rPr>
        <w:t>Fonte: elaboração do autor com base na Resolução CNJ n. 615/2025, LGPD, DAMA-DMBOK (2017) e Modelo GSD-ISD.</w:t>
      </w:r>
    </w:p>
    <w:p>
      <w:pPr>
        <w:pStyle w:val="Normal"/>
        <w:spacing w:lineRule="auto" w:line="240" w:before="160" w:after="80"/>
        <w:ind w:hanging="0" w:left="0"/>
        <w:jc w:val="left"/>
        <w:rPr/>
      </w:pPr>
      <w:r>
        <w:rPr>
          <w:rFonts w:eastAsia="Tahoma" w:cs="Tahoma"/>
          <w:b w:val="false"/>
          <w:sz w:val="28"/>
        </w:rPr>
        <w:t>2.3.5.1 Instrumento Simplificado de Governança Algorítmica</w:t>
      </w:r>
    </w:p>
    <w:p>
      <w:pPr>
        <w:pStyle w:val="Normal"/>
        <w:spacing w:lineRule="auto" w:line="360" w:before="0" w:after="0"/>
        <w:ind w:firstLine="709"/>
        <w:jc w:val="both"/>
        <w:rPr>
          <w:highlight w:val="none"/>
          <w:shd w:fill="auto" w:val="clear"/>
        </w:rPr>
      </w:pPr>
      <w:r>
        <w:rPr>
          <w:rFonts w:eastAsia="Tahoma" w:cs="Tahoma"/>
          <w:b w:val="false"/>
          <w:sz w:val="24"/>
        </w:rPr>
        <w:t>O Instrumento Simplificado é um derivativo do Protocolo em três fases: as Fases 1 e 2 aplicam-se na adoção; a Fase 3 estabelece as regras permanentes de uso. Na Fase 1, o responsável localiza o sistema no Quadro 4 e herda os scores.</w:t>
      </w:r>
    </w:p>
    <w:p>
      <w:pPr>
        <w:pStyle w:val="Normal"/>
        <w:spacing w:lineRule="auto" w:line="360" w:before="0" w:after="0"/>
        <w:ind w:firstLine="709"/>
        <w:jc w:val="both"/>
        <w:rPr>
          <w:highlight w:val="none"/>
          <w:shd w:fill="auto" w:val="clear"/>
        </w:rPr>
      </w:pPr>
      <w:r>
        <w:rPr>
          <w:rFonts w:eastAsia="Tahoma" w:cs="Tahoma"/>
          <w:b w:val="false"/>
          <w:sz w:val="24"/>
        </w:rPr>
        <w:t>A Fase 2 é preenchida pelo comitê e varia conforme a camada: na Camada 1 condensa os critérios A2 e A9 em duas perguntas, ficando A1, A3 e A4 como metas de 12 meses; nas Camadas 2 e 3 abrange A1 a A4.</w:t>
      </w:r>
    </w:p>
    <w:p>
      <w:pPr>
        <w:pStyle w:val="Normal"/>
        <w:spacing w:lineRule="auto" w:line="360" w:before="0" w:after="0"/>
        <w:ind w:firstLine="709"/>
        <w:jc w:val="both"/>
        <w:rPr>
          <w:highlight w:val="none"/>
          <w:shd w:fill="auto" w:val="clear"/>
        </w:rPr>
      </w:pPr>
      <w:r>
        <w:rPr>
          <w:rFonts w:eastAsia="Tahoma" w:cs="Tahoma"/>
          <w:b w:val="false"/>
          <w:sz w:val="24"/>
        </w:rPr>
        <w:t>A Fase 3 sintetiza os critérios A2 e A9 em três regras permanentes para IA generativa: não usar se o resultado não puder ser explicado; registrar toda recomendação que influencie uma decisão; verificar a LGPD antes de inserir dados das partes. A segunda regra é automatizada.</w:t>
      </w:r>
    </w:p>
    <w:p>
      <w:pPr>
        <w:pStyle w:val="Normal"/>
        <w:keepNext w:val="true"/>
        <w:spacing w:lineRule="auto" w:line="360" w:before="160" w:after="80"/>
        <w:ind w:hanging="0"/>
        <w:jc w:val="both"/>
        <w:rPr/>
      </w:pPr>
      <w:r>
        <w:rPr>
          <w:rFonts w:eastAsia="Tahoma" w:cs="Tahoma"/>
          <w:b w:val="false"/>
          <w:color w:val="auto"/>
          <w:kern w:val="0"/>
          <w:sz w:val="24"/>
          <w:szCs w:val="22"/>
          <w:lang w:val="pt-BR" w:eastAsia="zh-CN" w:bidi="hi-IN"/>
        </w:rPr>
        <w:tab/>
      </w:r>
      <w:r>
        <w:rPr>
          <w:b w:val="false"/>
        </w:rPr>
        <w:t>O framework opera por dois fluxos. O institucional, para comitês técnicos e auditores, classifica a categoria de decisão, calcula o ISD e aplica o Protocolo no nível mínimo viável da camada. O operacional, para o administrador sem perfil técnico, percorre as Fases 1 e 3.</w:t>
      </w:r>
    </w:p>
    <w:p>
      <w:pPr>
        <w:pStyle w:val="Normal"/>
        <w:keepNext w:val="true"/>
        <w:spacing w:lineRule="auto" w:line="240" w:before="160" w:after="80"/>
        <w:ind w:hanging="0"/>
        <w:jc w:val="left"/>
        <w:rPr>
          <w:highlight w:val="none"/>
          <w:shd w:fill="auto" w:val="clear"/>
        </w:rPr>
      </w:pPr>
      <w:r>
        <w:rPr>
          <w:rFonts w:eastAsia="Tahoma" w:cs="Tahoma"/>
          <w:b w:val="false"/>
          <w:bCs w:val="false"/>
          <w:i w:val="false"/>
          <w:iCs w:val="false"/>
          <w:sz w:val="28"/>
          <w:szCs w:val="24"/>
          <w:shd w:fill="auto" w:val="clear"/>
        </w:rPr>
        <w:t>2.3.5.2 Aplicação operacional: os quatro pilares como guia do Protocolo completo</w:t>
      </w:r>
    </w:p>
    <w:p>
      <w:pPr>
        <w:pStyle w:val="Normal"/>
        <w:spacing w:lineRule="auto" w:line="360" w:before="0" w:after="0"/>
        <w:ind w:firstLine="709"/>
        <w:jc w:val="both"/>
        <w:rPr>
          <w:highlight w:val="none"/>
          <w:shd w:fill="auto" w:val="clear"/>
        </w:rPr>
      </w:pPr>
      <w:r>
        <w:rPr>
          <w:rFonts w:eastAsia="Tahoma" w:cs="Tahoma"/>
          <w:b w:val="false"/>
          <w:sz w:val="24"/>
        </w:rPr>
        <w:t xml:space="preserve">Os quatro pilares condensam os nove critérios em perguntas objetivas. O </w:t>
      </w:r>
      <w:r>
        <w:rPr>
          <w:rFonts w:eastAsia="Tahoma" w:cs="Tahoma"/>
          <w:b/>
          <w:sz w:val="24"/>
        </w:rPr>
        <w:t>Pilar de Transparência (A3)</w:t>
      </w:r>
      <w:r>
        <w:rPr>
          <w:rFonts w:eastAsia="Tahoma" w:cs="Tahoma"/>
          <w:b w:val="false"/>
          <w:sz w:val="24"/>
        </w:rPr>
        <w:t xml:space="preserve"> pergunta se a ferramenta consegue explicar o resultado. O </w:t>
      </w:r>
      <w:r>
        <w:rPr>
          <w:rFonts w:eastAsia="Tahoma" w:cs="Tahoma"/>
          <w:b/>
          <w:sz w:val="24"/>
        </w:rPr>
        <w:t>Pilar de Origem (A4)</w:t>
      </w:r>
      <w:r>
        <w:rPr>
          <w:rFonts w:eastAsia="Tahoma" w:cs="Tahoma"/>
          <w:b w:val="false"/>
          <w:sz w:val="24"/>
        </w:rPr>
        <w:t xml:space="preserve"> pergunta se o dado é confiável e tem responsável formal. O </w:t>
      </w:r>
      <w:r>
        <w:rPr>
          <w:rFonts w:eastAsia="Tahoma" w:cs="Tahoma"/>
          <w:b/>
          <w:sz w:val="24"/>
        </w:rPr>
        <w:t>Pilar de Risco (A5 a A8)</w:t>
      </w:r>
      <w:r>
        <w:rPr>
          <w:rFonts w:eastAsia="Tahoma" w:cs="Tahoma"/>
          <w:b w:val="false"/>
          <w:sz w:val="24"/>
        </w:rPr>
        <w:t xml:space="preserve"> pergunta se há revisão humana obrigatória quando a decisão é difícil de desfazer. O </w:t>
      </w:r>
      <w:r>
        <w:rPr>
          <w:rFonts w:eastAsia="Tahoma" w:cs="Tahoma"/>
          <w:b/>
          <w:sz w:val="24"/>
        </w:rPr>
        <w:t>Pilar Legal (A9)</w:t>
      </w:r>
      <w:r>
        <w:rPr>
          <w:rFonts w:eastAsia="Tahoma" w:cs="Tahoma"/>
          <w:b w:val="false"/>
          <w:sz w:val="24"/>
        </w:rPr>
        <w:t xml:space="preserve"> trata da conformidade com a LGPD e a Resolução CNJ n. 615/2025.</w:t>
      </w:r>
    </w:p>
    <w:p>
      <w:pPr>
        <w:pStyle w:val="Normal"/>
        <w:spacing w:lineRule="auto" w:line="360" w:before="0" w:after="0"/>
        <w:ind w:firstLine="709"/>
        <w:jc w:val="both"/>
        <w:rPr/>
      </w:pPr>
      <w:r>
        <w:rPr>
          <w:b w:val="false"/>
        </w:rPr>
        <w:t>As pré-condições de entrada são verificadas antes dos pilares e sua reprovação já enquadra o uso em Camada 3, enquanto os demais critérios geram alertas com prazo para regularização. O critério A1 é inegociável em categorias de alta irreversibilidade.</w:t>
      </w:r>
    </w:p>
    <w:p>
      <w:pPr>
        <w:pStyle w:val="Normal"/>
        <w:keepNext w:val="true"/>
        <w:spacing w:lineRule="auto" w:line="360" w:before="160" w:after="80"/>
        <w:ind w:hanging="0"/>
        <w:jc w:val="both"/>
        <w:rPr/>
      </w:pPr>
      <w:r>
        <w:rPr>
          <w:rFonts w:eastAsia="Tahoma" w:cs="Tahoma"/>
          <w:b w:val="false"/>
          <w:bCs w:val="false"/>
          <w:i w:val="false"/>
          <w:iCs w:val="false"/>
          <w:sz w:val="28"/>
          <w:szCs w:val="24"/>
          <w:shd w:fill="auto" w:val="clear"/>
        </w:rPr>
        <w:t>2.3.5.3 Ficha Padrão de Registro (FPR)</w:t>
      </w:r>
    </w:p>
    <w:p>
      <w:pPr>
        <w:pStyle w:val="Blocodecitao"/>
        <w:widowControl/>
        <w:suppressAutoHyphens w:val="true"/>
        <w:bidi w:val="0"/>
        <w:spacing w:lineRule="auto" w:line="360" w:before="0" w:after="0"/>
        <w:ind w:firstLine="680" w:left="57" w:right="0"/>
        <w:jc w:val="both"/>
        <w:rPr/>
      </w:pPr>
      <w:r>
        <w:rPr>
          <w:rFonts w:eastAsia="Tahoma" w:cs="Tahoma"/>
          <w:b w:val="false"/>
          <w:sz w:val="24"/>
        </w:rPr>
        <w:t>O classificador resolve como decidir sobre um sistema de IA; a FPR resolve onde documentar essa decisão. A ficha reúne identificação do sistema, categoria de decisão apoiada, resultado dos critérios, score ISD, resultado do MAR e status de conformidade.</w:t>
      </w:r>
    </w:p>
    <w:p>
      <w:pPr>
        <w:pStyle w:val="Blocodecitao"/>
        <w:widowControl/>
        <w:suppressAutoHyphens w:val="true"/>
        <w:bidi w:val="0"/>
        <w:spacing w:lineRule="auto" w:line="360" w:before="0" w:after="283"/>
        <w:ind w:hanging="0" w:left="113" w:right="0"/>
        <w:jc w:val="both"/>
        <w:rPr/>
      </w:pPr>
      <w:r>
        <w:rPr>
          <w:rFonts w:eastAsia="Tahoma" w:cs="Tahoma"/>
          <w:b w:val="false"/>
          <w:sz w:val="24"/>
        </w:rPr>
        <w:tab/>
        <w:t>O status resulta de cálculo sobre os resultados do Protocolo, não do juízo de quem preenche a ficha: um sistema em Camada 3 sem MAR válido recebe Bloqueado. A geração automática retira a margem de autoavaliação favorável e, publicada em portal de transparência, atende ao art. 14 da Resolução CNJ n. 615/2025.</w:t>
        <w:tab/>
        <w:tab/>
        <w:tab/>
        <w:tab/>
        <w:tab/>
        <w:tab/>
        <w:tab/>
        <w:tab/>
        <w:tab/>
        <w:tab/>
        <w:tab/>
        <w:tab/>
        <w:t>A FPR não se limita a repositório, ela é insumo de entrada para o comitê, cujos resultados consolidados retroalimentam as revisões periódicas e subsidiam reclassificações de camada.</w:t>
      </w:r>
    </w:p>
    <w:p>
      <w:pPr>
        <w:pStyle w:val="Blocodecitao"/>
        <w:widowControl/>
        <w:suppressAutoHyphens w:val="true"/>
        <w:bidi w:val="0"/>
        <w:spacing w:lineRule="auto" w:line="360" w:before="0" w:after="283"/>
        <w:ind w:hanging="0" w:left="113" w:right="0"/>
        <w:jc w:val="both"/>
        <w:rPr/>
      </w:pPr>
      <w:r>
        <w:rPr>
          <w:rFonts w:eastAsia="Tahoma" w:cs="Tahoma"/>
          <w:b/>
          <w:bCs/>
          <w:sz w:val="24"/>
          <w:szCs w:val="22"/>
          <w:shd w:fill="auto" w:val="clear"/>
        </w:rPr>
        <w:t>Figura 1 – Modelo GSD-ISD: visão integrada</w:t>
      </w:r>
    </w:p>
    <w:p>
      <w:pPr>
        <w:pStyle w:val="Blocodecitao"/>
        <w:widowControl/>
        <w:suppressAutoHyphens w:val="true"/>
        <w:bidi w:val="0"/>
        <w:spacing w:lineRule="auto" w:line="360" w:before="0" w:after="283"/>
        <w:ind w:hanging="0" w:left="113" w:right="0"/>
        <w:jc w:val="both"/>
        <w:rPr>
          <w:rFonts w:eastAsia="Tahoma" w:cs="Tahoma"/>
          <w:b/>
          <w:bCs/>
          <w:sz w:val="24"/>
          <w:szCs w:val="22"/>
          <w:shd w:fill="auto" w:val="clear"/>
        </w:rPr>
      </w:pPr>
      <w:r>
        <w:rPr>
          <w:rFonts w:eastAsia="Tahoma" w:cs="Tahoma"/>
          <w:b/>
          <w:bCs/>
          <w:sz w:val="24"/>
          <w:szCs w:val="22"/>
          <w:shd w:fill="auto" w:val="clear"/>
        </w:rPr>
        <w:drawing>
          <wp:anchor behindDoc="0" distT="0" distB="0" distL="0" distR="0" simplePos="0" locked="0" layoutInCell="0" allowOverlap="1" relativeHeight="2">
            <wp:simplePos x="0" y="0"/>
            <wp:positionH relativeFrom="column">
              <wp:posOffset>1560830</wp:posOffset>
            </wp:positionH>
            <wp:positionV relativeFrom="paragraph">
              <wp:posOffset>-172085</wp:posOffset>
            </wp:positionV>
            <wp:extent cx="2532380" cy="4220210"/>
            <wp:effectExtent l="0" t="0" r="0" b="0"/>
            <wp:wrapSquare wrapText="largest"/>
            <wp:docPr id="1" name="Figura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2" descr=""/>
                    <pic:cNvPicPr>
                      <a:picLocks noChangeAspect="1" noChangeArrowheads="1"/>
                    </pic:cNvPicPr>
                  </pic:nvPicPr>
                  <pic:blipFill>
                    <a:blip r:embed="rId2"/>
                    <a:stretch>
                      <a:fillRect/>
                    </a:stretch>
                  </pic:blipFill>
                  <pic:spPr bwMode="auto">
                    <a:xfrm>
                      <a:off x="0" y="0"/>
                      <a:ext cx="2532380" cy="4220210"/>
                    </a:xfrm>
                    <a:prstGeom prst="rect">
                      <a:avLst/>
                    </a:prstGeom>
                  </pic:spPr>
                </pic:pic>
              </a:graphicData>
            </a:graphic>
          </wp:anchor>
        </w:drawing>
      </w:r>
    </w:p>
    <w:p>
      <w:pPr>
        <w:pStyle w:val="Normal"/>
        <w:keepNext w:val="true"/>
        <w:spacing w:lineRule="auto" w:line="240" w:before="80" w:after="80"/>
        <w:ind w:hanging="0"/>
        <w:jc w:val="center"/>
        <w:rPr>
          <w:highlight w:val="none"/>
          <w:shd w:fill="auto" w:val="clear"/>
        </w:rPr>
      </w:pPr>
      <w:r>
        <w:rPr>
          <w:shd w:fill="auto" w:val="clear"/>
        </w:rPr>
      </w:r>
    </w:p>
    <w:p>
      <w:pPr>
        <w:pStyle w:val="Normal"/>
        <w:spacing w:lineRule="auto" w:line="240" w:before="80" w:after="80"/>
        <w:ind w:hanging="0"/>
        <w:jc w:val="center"/>
        <w:rPr>
          <w:highlight w:val="none"/>
          <w:shd w:fill="auto" w:val="clear"/>
        </w:rPr>
      </w:pPr>
      <w:r>
        <w:rPr>
          <w:shd w:fill="auto" w:val="clear"/>
        </w:rPr>
      </w:r>
    </w:p>
    <w:p>
      <w:pPr>
        <w:pStyle w:val="Normal"/>
        <w:spacing w:lineRule="auto" w:line="240" w:before="80" w:after="80"/>
        <w:ind w:hanging="0"/>
        <w:jc w:val="center"/>
        <w:rPr>
          <w:highlight w:val="none"/>
          <w:shd w:fill="auto" w:val="clear"/>
        </w:rPr>
      </w:pPr>
      <w:r>
        <w:rPr>
          <w:shd w:fill="auto" w:val="clear"/>
        </w:rPr>
      </w:r>
    </w:p>
    <w:p>
      <w:pPr>
        <w:pStyle w:val="Normal"/>
        <w:spacing w:lineRule="auto" w:line="240" w:before="80" w:after="80"/>
        <w:ind w:hanging="0"/>
        <w:jc w:val="center"/>
        <w:rPr>
          <w:highlight w:val="none"/>
          <w:shd w:fill="auto" w:val="clear"/>
        </w:rPr>
      </w:pPr>
      <w:r>
        <w:rPr>
          <w:shd w:fill="auto" w:val="clear"/>
        </w:rPr>
      </w:r>
    </w:p>
    <w:p>
      <w:pPr>
        <w:pStyle w:val="Normal"/>
        <w:spacing w:lineRule="auto" w:line="240" w:before="80" w:after="80"/>
        <w:ind w:hanging="0"/>
        <w:jc w:val="center"/>
        <w:rPr>
          <w:highlight w:val="none"/>
          <w:shd w:fill="auto" w:val="clear"/>
        </w:rPr>
      </w:pPr>
      <w:r>
        <w:rPr>
          <w:shd w:fill="auto" w:val="clear"/>
        </w:rPr>
      </w:r>
    </w:p>
    <w:p>
      <w:pPr>
        <w:pStyle w:val="Normal"/>
        <w:spacing w:lineRule="auto" w:line="240" w:before="80" w:after="80"/>
        <w:ind w:hanging="0"/>
        <w:jc w:val="center"/>
        <w:rPr>
          <w:highlight w:val="none"/>
          <w:shd w:fill="auto" w:val="clear"/>
        </w:rPr>
      </w:pPr>
      <w:r>
        <w:rPr>
          <w:shd w:fill="auto" w:val="clear"/>
        </w:rPr>
      </w:r>
    </w:p>
    <w:p>
      <w:pPr>
        <w:pStyle w:val="Normal"/>
        <w:spacing w:lineRule="auto" w:line="240" w:before="80" w:after="80"/>
        <w:ind w:hanging="0"/>
        <w:jc w:val="center"/>
        <w:rPr>
          <w:highlight w:val="none"/>
          <w:shd w:fill="auto" w:val="clear"/>
        </w:rPr>
      </w:pPr>
      <w:r>
        <w:rPr>
          <w:shd w:fill="auto" w:val="clear"/>
        </w:rPr>
      </w:r>
    </w:p>
    <w:p>
      <w:pPr>
        <w:pStyle w:val="Normal"/>
        <w:spacing w:lineRule="auto" w:line="240" w:before="80" w:after="80"/>
        <w:ind w:hanging="0"/>
        <w:jc w:val="center"/>
        <w:rPr>
          <w:highlight w:val="none"/>
          <w:shd w:fill="auto" w:val="clear"/>
        </w:rPr>
      </w:pPr>
      <w:r>
        <w:rPr>
          <w:shd w:fill="auto" w:val="clear"/>
        </w:rPr>
      </w:r>
    </w:p>
    <w:p>
      <w:pPr>
        <w:pStyle w:val="Normal"/>
        <w:spacing w:lineRule="auto" w:line="240" w:before="80" w:after="120"/>
        <w:ind w:hanging="0"/>
        <w:jc w:val="center"/>
        <w:rPr>
          <w:highlight w:val="none"/>
          <w:shd w:fill="auto" w:val="clear"/>
        </w:rPr>
      </w:pPr>
      <w:r>
        <w:rPr>
          <w:shd w:fill="auto" w:val="clear"/>
        </w:rPr>
      </w:r>
    </w:p>
    <w:p>
      <w:pPr>
        <w:pStyle w:val="Normal"/>
        <w:spacing w:lineRule="auto" w:line="240" w:before="80" w:after="120"/>
        <w:ind w:hanging="0"/>
        <w:jc w:val="center"/>
        <w:rPr>
          <w:highlight w:val="none"/>
          <w:shd w:fill="auto" w:val="clear"/>
        </w:rPr>
      </w:pPr>
      <w:r>
        <w:rPr>
          <w:shd w:fill="auto" w:val="clear"/>
        </w:rPr>
      </w:r>
    </w:p>
    <w:p>
      <w:pPr>
        <w:pStyle w:val="Normal"/>
        <w:spacing w:lineRule="auto" w:line="240" w:before="80" w:after="120"/>
        <w:ind w:hanging="0"/>
        <w:jc w:val="center"/>
        <w:rPr>
          <w:highlight w:val="none"/>
          <w:shd w:fill="auto" w:val="clear"/>
        </w:rPr>
      </w:pPr>
      <w:r>
        <w:rPr>
          <w:shd w:fill="auto" w:val="clear"/>
        </w:rPr>
      </w:r>
    </w:p>
    <w:p>
      <w:pPr>
        <w:pStyle w:val="Normal"/>
        <w:spacing w:lineRule="auto" w:line="240" w:before="80" w:after="120"/>
        <w:ind w:hanging="0"/>
        <w:jc w:val="center"/>
        <w:rPr>
          <w:highlight w:val="none"/>
          <w:shd w:fill="auto" w:val="clear"/>
        </w:rPr>
      </w:pPr>
      <w:r>
        <w:rPr>
          <w:shd w:fill="auto" w:val="clear"/>
        </w:rPr>
      </w:r>
    </w:p>
    <w:p>
      <w:pPr>
        <w:pStyle w:val="Normal"/>
        <w:spacing w:lineRule="auto" w:line="240" w:before="80" w:after="120"/>
        <w:ind w:hanging="0"/>
        <w:jc w:val="center"/>
        <w:rPr>
          <w:highlight w:val="none"/>
          <w:shd w:fill="auto" w:val="clear"/>
        </w:rPr>
      </w:pPr>
      <w:r>
        <w:rPr>
          <w:shd w:fill="auto" w:val="clear"/>
        </w:rPr>
      </w:r>
    </w:p>
    <w:p>
      <w:pPr>
        <w:pStyle w:val="Normal"/>
        <w:spacing w:lineRule="auto" w:line="240" w:before="80" w:after="120"/>
        <w:ind w:hanging="0"/>
        <w:jc w:val="center"/>
        <w:rPr>
          <w:highlight w:val="none"/>
          <w:shd w:fill="auto" w:val="clear"/>
        </w:rPr>
      </w:pPr>
      <w:r>
        <w:rPr>
          <w:shd w:fill="auto" w:val="clear"/>
        </w:rPr>
      </w:r>
    </w:p>
    <w:p>
      <w:pPr>
        <w:pStyle w:val="Normal"/>
        <w:spacing w:lineRule="auto" w:line="240" w:before="80" w:after="120"/>
        <w:ind w:hanging="0"/>
        <w:jc w:val="center"/>
        <w:rPr>
          <w:highlight w:val="none"/>
          <w:shd w:fill="auto" w:val="clear"/>
        </w:rPr>
      </w:pPr>
      <w:r>
        <w:rPr>
          <w:shd w:fill="auto" w:val="clear"/>
        </w:rPr>
      </w:r>
    </w:p>
    <w:p>
      <w:pPr>
        <w:pStyle w:val="Normal"/>
        <w:spacing w:lineRule="auto" w:line="240" w:before="80" w:after="120"/>
        <w:ind w:hanging="0"/>
        <w:jc w:val="center"/>
        <w:rPr>
          <w:highlight w:val="none"/>
          <w:shd w:fill="auto" w:val="clear"/>
        </w:rPr>
      </w:pPr>
      <w:r>
        <w:rPr>
          <w:shd w:fill="auto" w:val="clear"/>
        </w:rPr>
      </w:r>
    </w:p>
    <w:p>
      <w:pPr>
        <w:pStyle w:val="Normal"/>
        <w:spacing w:lineRule="auto" w:line="240" w:before="80" w:after="120"/>
        <w:ind w:hanging="0"/>
        <w:jc w:val="center"/>
        <w:rPr>
          <w:highlight w:val="none"/>
          <w:shd w:fill="auto" w:val="clear"/>
        </w:rPr>
      </w:pPr>
      <w:r>
        <w:rPr>
          <w:rFonts w:eastAsia="Tahoma" w:cs="Tahoma"/>
          <w:b w:val="false"/>
          <w:bCs w:val="false"/>
          <w:i/>
          <w:iCs/>
          <w:sz w:val="20"/>
          <w:szCs w:val="18"/>
          <w:shd w:fill="auto" w:val="clear"/>
        </w:rPr>
        <w:t>Fonte: elaboração do autor.</w:t>
      </w:r>
    </w:p>
    <w:p>
      <w:pPr>
        <w:pStyle w:val="Normal"/>
        <w:spacing w:lineRule="auto" w:line="240" w:before="160" w:after="80"/>
        <w:ind w:hanging="0"/>
        <w:jc w:val="left"/>
        <w:rPr>
          <w:highlight w:val="none"/>
          <w:shd w:fill="auto" w:val="clear"/>
        </w:rPr>
      </w:pPr>
      <w:r>
        <w:rPr>
          <w:shd w:fill="auto" w:val="clear"/>
        </w:rPr>
      </w:r>
    </w:p>
    <w:p>
      <w:pPr>
        <w:pStyle w:val="Normal"/>
        <w:spacing w:lineRule="auto" w:line="240" w:before="160" w:after="80"/>
        <w:ind w:hanging="0"/>
        <w:jc w:val="left"/>
        <w:rPr>
          <w:highlight w:val="none"/>
          <w:shd w:fill="auto" w:val="clear"/>
        </w:rPr>
      </w:pPr>
      <w:r>
        <w:rPr>
          <w:rFonts w:eastAsia="Tahoma" w:cs="Tahoma"/>
          <w:b w:val="false"/>
          <w:bCs w:val="false"/>
          <w:i w:val="false"/>
          <w:iCs w:val="false"/>
          <w:sz w:val="28"/>
          <w:szCs w:val="24"/>
          <w:shd w:fill="auto" w:val="clear"/>
        </w:rPr>
        <w:t>2.3.5.4 Nível mínimo viável por camada</w:t>
      </w:r>
    </w:p>
    <w:p>
      <w:pPr>
        <w:pStyle w:val="Normal"/>
        <w:spacing w:lineRule="auto" w:line="360" w:before="0" w:after="0"/>
        <w:ind w:firstLine="709"/>
        <w:jc w:val="both"/>
        <w:rPr>
          <w:highlight w:val="none"/>
          <w:shd w:fill="auto" w:val="clear"/>
        </w:rPr>
      </w:pPr>
      <w:r>
        <w:rPr>
          <w:b w:val="false"/>
        </w:rPr>
        <w:t>A exigência de conformidade total simultânea engessaria a adoção de IA e tornaria o Protocolo inexequível para a maioria dos tribunais. Para viabilizar a adoção progressiva, o framework adota o nível mínimo viável por camada, conforme o Quadro 2.</w:t>
      </w:r>
    </w:p>
    <w:p>
      <w:pPr>
        <w:pStyle w:val="Normal"/>
        <w:spacing w:lineRule="auto" w:line="240" w:before="160" w:after="80"/>
        <w:ind w:hanging="0"/>
        <w:jc w:val="left"/>
        <w:rPr>
          <w:highlight w:val="none"/>
          <w:shd w:fill="auto" w:val="clear"/>
        </w:rPr>
      </w:pPr>
      <w:r>
        <w:rPr>
          <w:rFonts w:eastAsia="Tahoma" w:cs="Tahoma"/>
          <w:b/>
          <w:bCs/>
          <w:sz w:val="24"/>
          <w:szCs w:val="22"/>
          <w:shd w:fill="auto" w:val="clear"/>
        </w:rPr>
        <w:t>Quadro 2 – Nível mínimo viável por camada</w:t>
      </w:r>
    </w:p>
    <w:tbl>
      <w:tblPr>
        <w:tblW w:w="9600" w:type="dxa"/>
        <w:jc w:val="left"/>
        <w:tblInd w:w="0" w:type="dxa"/>
        <w:tblLayout w:type="fixed"/>
        <w:tblCellMar>
          <w:top w:w="60" w:type="dxa"/>
          <w:left w:w="80" w:type="dxa"/>
          <w:bottom w:w="60" w:type="dxa"/>
          <w:right w:w="80" w:type="dxa"/>
        </w:tblCellMar>
      </w:tblPr>
      <w:tblGrid>
        <w:gridCol w:w="1392"/>
        <w:gridCol w:w="4207"/>
        <w:gridCol w:w="2400"/>
        <w:gridCol w:w="1600"/>
      </w:tblGrid>
      <w:tr>
        <w:trPr/>
        <w:tc>
          <w:tcPr>
            <w:tcW w:w="1392"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bCs/>
                <w:sz w:val="20"/>
                <w:szCs w:val="17"/>
                <w:shd w:fill="auto" w:val="clear"/>
              </w:rPr>
              <w:t>Camada</w:t>
            </w:r>
          </w:p>
        </w:tc>
        <w:tc>
          <w:tcPr>
            <w:tcW w:w="4207"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bCs/>
                <w:sz w:val="20"/>
                <w:szCs w:val="17"/>
                <w:shd w:fill="auto" w:val="clear"/>
              </w:rPr>
              <w:t>Critérios obrigatórios</w:t>
            </w:r>
          </w:p>
        </w:tc>
        <w:tc>
          <w:tcPr>
            <w:tcW w:w="2400"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bCs/>
                <w:sz w:val="20"/>
                <w:szCs w:val="17"/>
                <w:shd w:fill="auto" w:val="clear"/>
              </w:rPr>
              <w:t>Critérios como meta (prazo)</w:t>
            </w:r>
          </w:p>
        </w:tc>
        <w:tc>
          <w:tcPr>
            <w:tcW w:w="1600"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bCs/>
                <w:sz w:val="20"/>
                <w:szCs w:val="17"/>
                <w:shd w:fill="auto" w:val="clear"/>
              </w:rPr>
              <w:t>Periodicidade</w:t>
            </w:r>
          </w:p>
        </w:tc>
      </w:tr>
      <w:tr>
        <w:trPr/>
        <w:tc>
          <w:tcPr>
            <w:tcW w:w="139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C1, baixo risco (ISD abaixo de 50%)</w:t>
            </w:r>
          </w:p>
        </w:tc>
        <w:tc>
          <w:tcPr>
            <w:tcW w:w="4207"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A2 (auditabilidade básica), A5 (enquadramento em camada), A6 (log mínimo), A9 (conformidade normativa)</w:t>
            </w:r>
          </w:p>
        </w:tc>
        <w:tc>
          <w:tcPr>
            <w:tcW w:w="24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A1 (MAR), A3 (mapeamento funcional) e A4 (responsável formal), prazo de 12 meses</w:t>
            </w:r>
          </w:p>
        </w:tc>
        <w:tc>
          <w:tcPr>
            <w:tcW w:w="1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Anual</w:t>
            </w:r>
          </w:p>
        </w:tc>
      </w:tr>
      <w:tr>
        <w:trPr/>
        <w:tc>
          <w:tcPr>
            <w:tcW w:w="139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C2, risco moderado (ISD de 50% a 79%)</w:t>
            </w:r>
          </w:p>
        </w:tc>
        <w:tc>
          <w:tcPr>
            <w:tcW w:w="4207"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A1 (MAR), A2 (auditabilidade), A3 (mapeamento funcional), A4 (cadeia de responsabilidade simplificada), A5 (ISD), A6 (log + comitê), A7 (plano de contingência), A9 (conformidade)</w:t>
            </w:r>
          </w:p>
        </w:tc>
        <w:tc>
          <w:tcPr>
            <w:tcW w:w="24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A8, prazo de 6 meses</w:t>
            </w:r>
          </w:p>
        </w:tc>
        <w:tc>
          <w:tcPr>
            <w:tcW w:w="1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Semestral</w:t>
            </w:r>
          </w:p>
        </w:tc>
      </w:tr>
      <w:tr>
        <w:trPr/>
        <w:tc>
          <w:tcPr>
            <w:tcW w:w="1392"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C3, alto risco (ISD de 80% ou mais)</w:t>
            </w:r>
          </w:p>
        </w:tc>
        <w:tc>
          <w:tcPr>
            <w:tcW w:w="4207"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A1 a A9 completos, sem exceção</w:t>
            </w:r>
          </w:p>
        </w:tc>
        <w:tc>
          <w:tcPr>
            <w:tcW w:w="24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Não se aplica</w:t>
            </w:r>
          </w:p>
        </w:tc>
        <w:tc>
          <w:tcPr>
            <w:tcW w:w="1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Trimestral</w:t>
            </w:r>
          </w:p>
        </w:tc>
      </w:tr>
    </w:tbl>
    <w:p>
      <w:pPr>
        <w:pStyle w:val="Normal"/>
        <w:spacing w:lineRule="auto" w:line="240" w:before="80" w:after="120"/>
        <w:ind w:hanging="0"/>
        <w:jc w:val="left"/>
        <w:rPr>
          <w:highlight w:val="none"/>
          <w:shd w:fill="auto" w:val="clear"/>
        </w:rPr>
      </w:pPr>
      <w:r>
        <w:rPr>
          <w:rFonts w:eastAsia="Tahoma" w:cs="Tahoma"/>
          <w:b w:val="false"/>
          <w:i/>
          <w:iCs/>
          <w:sz w:val="20"/>
          <w:szCs w:val="18"/>
          <w:shd w:fill="auto" w:val="clear"/>
        </w:rPr>
        <w:t>Fonte: elaboração do autor.</w:t>
      </w:r>
    </w:p>
    <w:p>
      <w:pPr>
        <w:pStyle w:val="Normal"/>
        <w:spacing w:lineRule="auto" w:line="240" w:before="160" w:after="80"/>
        <w:ind w:hanging="0" w:left="0"/>
        <w:jc w:val="left"/>
        <w:rPr/>
      </w:pPr>
      <w:r>
        <w:rPr>
          <w:rFonts w:eastAsia="Tahoma" w:cs="Tahoma"/>
          <w:b w:val="false"/>
          <w:sz w:val="28"/>
        </w:rPr>
        <w:t>2.3.5.5 Aplicação ilustrativa do ISD</w:t>
      </w:r>
    </w:p>
    <w:p>
      <w:pPr>
        <w:pStyle w:val="Normal"/>
        <w:spacing w:lineRule="auto" w:line="360" w:before="0" w:after="0"/>
        <w:ind w:firstLine="709"/>
        <w:jc w:val="both"/>
        <w:rPr/>
      </w:pPr>
      <w:r>
        <w:rPr>
          <w:rFonts w:eastAsia="Tahoma" w:cs="Tahoma"/>
          <w:b w:val="false"/>
          <w:sz w:val="24"/>
        </w:rPr>
        <w:t>A pontuação de D1 e D2 segue os descritores da Rubrica de Avaliação, reproduzida no Quadro 3.</w:t>
      </w:r>
    </w:p>
    <w:p>
      <w:pPr>
        <w:pStyle w:val="Normal"/>
        <w:spacing w:lineRule="auto" w:line="240" w:before="200" w:after="80"/>
        <w:ind w:hanging="0"/>
        <w:jc w:val="left"/>
        <w:rPr/>
      </w:pPr>
      <w:r>
        <w:rPr>
          <w:rFonts w:eastAsia="Tahoma" w:cs="Tahoma"/>
          <w:b/>
          <w:sz w:val="24"/>
        </w:rPr>
        <w:t>Quadro 3 – Rubrica de Avaliação: descritores das dimensões D1 e D2</w:t>
      </w:r>
    </w:p>
    <w:tbl>
      <w:tblPr>
        <w:tblW w:w="9100" w:type="dxa"/>
        <w:jc w:val="left"/>
        <w:tblInd w:w="0" w:type="dxa"/>
        <w:tblLayout w:type="fixed"/>
        <w:tblCellMar>
          <w:top w:w="60" w:type="dxa"/>
          <w:left w:w="80" w:type="dxa"/>
          <w:bottom w:w="60" w:type="dxa"/>
          <w:right w:w="80" w:type="dxa"/>
        </w:tblCellMar>
      </w:tblPr>
      <w:tblGrid>
        <w:gridCol w:w="899"/>
        <w:gridCol w:w="4101"/>
        <w:gridCol w:w="4100"/>
      </w:tblGrid>
      <w:tr>
        <w:trPr/>
        <w:tc>
          <w:tcPr>
            <w:tcW w:w="899"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center"/>
              <w:rPr>
                <w:highlight w:val="none"/>
                <w:shd w:fill="auto" w:val="clear"/>
              </w:rPr>
            </w:pPr>
            <w:r>
              <w:rPr>
                <w:rFonts w:eastAsia="Tahoma" w:cs="Tahoma"/>
                <w:b/>
                <w:sz w:val="20"/>
              </w:rPr>
              <w:t>Nível</w:t>
            </w:r>
          </w:p>
        </w:tc>
        <w:tc>
          <w:tcPr>
            <w:tcW w:w="4101"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sz w:val="20"/>
              </w:rPr>
              <w:t>D1: impacto sobre direitos fundamentais</w:t>
            </w:r>
          </w:p>
        </w:tc>
        <w:tc>
          <w:tcPr>
            <w:tcW w:w="4100"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sz w:val="20"/>
              </w:rPr>
              <w:t>D2: irreversibilidade</w:t>
            </w:r>
          </w:p>
        </w:tc>
      </w:tr>
      <w:tr>
        <w:trPr/>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1</w:t>
            </w:r>
          </w:p>
        </w:tc>
        <w:tc>
          <w:tcPr>
            <w:tcW w:w="41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Apoio instrumental ou organizacional, sem efeito sobre a esfera jurídica das partes.</w:t>
            </w:r>
          </w:p>
        </w:tc>
        <w:tc>
          <w:tcPr>
            <w:tcW w:w="41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Correção imediata por retificação simples, sem efeito residual.</w:t>
            </w:r>
          </w:p>
        </w:tc>
      </w:tr>
      <w:tr>
        <w:trPr/>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2</w:t>
            </w:r>
          </w:p>
        </w:tc>
        <w:tc>
          <w:tcPr>
            <w:tcW w:w="41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Efeito procedimental: altera trâmite, ordem ou forma, sem decidir o mérito.</w:t>
            </w:r>
          </w:p>
        </w:tc>
        <w:tc>
          <w:tcPr>
            <w:tcW w:w="41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Correção por via recursal ordinária, com efeito residual desprezível.</w:t>
            </w:r>
          </w:p>
        </w:tc>
      </w:tr>
      <w:tr>
        <w:trPr/>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3</w:t>
            </w:r>
          </w:p>
        </w:tc>
        <w:tc>
          <w:tcPr>
            <w:tcW w:w="41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Efeito patrimonial ou processual direto, de repercussão limitada.</w:t>
            </w:r>
          </w:p>
        </w:tc>
        <w:tc>
          <w:tcPr>
            <w:tcW w:w="41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Correção possível, com custo relevante de tempo ou de recomposição.</w:t>
            </w:r>
          </w:p>
        </w:tc>
      </w:tr>
      <w:tr>
        <w:trPr/>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4</w:t>
            </w:r>
          </w:p>
        </w:tc>
        <w:tc>
          <w:tcPr>
            <w:tcW w:w="41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Restrição relevante a direitos patrimoniais, previdenciários ou funcionais.</w:t>
            </w:r>
          </w:p>
        </w:tc>
        <w:tc>
          <w:tcPr>
            <w:tcW w:w="41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Correção apenas parcial: parte dos efeitos já se consolidou quando da revisão.</w:t>
            </w:r>
          </w:p>
        </w:tc>
      </w:tr>
      <w:tr>
        <w:trPr/>
        <w:tc>
          <w:tcPr>
            <w:tcW w:w="8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5</w:t>
            </w:r>
          </w:p>
        </w:tc>
        <w:tc>
          <w:tcPr>
            <w:tcW w:w="41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Restrição a liberdade, subsistência, saúde ou dignidade da pessoa.</w:t>
            </w:r>
          </w:p>
        </w:tc>
        <w:tc>
          <w:tcPr>
            <w:tcW w:w="41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sz w:val="20"/>
              </w:rPr>
              <w:t>Efeitos consumados que nenhuma revisão restitui.</w:t>
            </w:r>
          </w:p>
        </w:tc>
      </w:tr>
    </w:tbl>
    <w:p>
      <w:pPr>
        <w:pStyle w:val="Normal"/>
        <w:spacing w:lineRule="auto" w:line="240" w:before="80" w:after="200"/>
        <w:ind w:hanging="0"/>
        <w:jc w:val="left"/>
        <w:rPr/>
      </w:pPr>
      <w:r>
        <w:rPr>
          <w:rFonts w:eastAsia="Tahoma" w:cs="Tahoma"/>
          <w:b w:val="false"/>
          <w:sz w:val="20"/>
        </w:rPr>
        <w:t>Fonte: elaboração do autor.</w:t>
      </w:r>
    </w:p>
    <w:p>
      <w:pPr>
        <w:pStyle w:val="Normal"/>
        <w:spacing w:lineRule="auto" w:line="360" w:before="0" w:after="0"/>
        <w:ind w:firstLine="709"/>
        <w:jc w:val="both"/>
        <w:rPr>
          <w:highlight w:val="none"/>
          <w:shd w:fill="auto" w:val="clear"/>
        </w:rPr>
      </w:pPr>
      <w:r>
        <w:rPr>
          <w:rFonts w:eastAsia="Tahoma" w:cs="Tahoma"/>
          <w:b w:val="false"/>
          <w:sz w:val="24"/>
        </w:rPr>
        <w:t>Aplica-se o ISD a duas fontes públicas: as categorias gerais do Painel CNJ de IA</w:t>
      </w:r>
      <w:r>
        <w:rPr>
          <w:rStyle w:val="FootnoteReference"/>
          <w:rFonts w:cs="Tahoma"/>
          <w:sz w:val="24"/>
        </w:rPr>
        <w:footnoteReference w:id="51"/>
      </w:r>
      <w:r>
        <w:rPr>
          <w:rFonts w:eastAsia="Tahoma" w:cs="Tahoma"/>
          <w:b w:val="false"/>
          <w:sz w:val="24"/>
        </w:rPr>
        <w:t xml:space="preserve"> e os sistemas da Justiça do Trabalho relatados em fontes do Conselho Superior da Justiça do Trabalho (CSJT)</w:t>
      </w:r>
      <w:r>
        <w:rPr>
          <w:rStyle w:val="FootnoteReference"/>
          <w:rFonts w:cs="Tahoma"/>
          <w:sz w:val="24"/>
        </w:rPr>
        <w:footnoteReference w:id="52"/>
      </w:r>
      <w:r>
        <w:rPr>
          <w:rFonts w:eastAsia="Tahoma" w:cs="Tahoma"/>
          <w:b w:val="false"/>
          <w:sz w:val="24"/>
        </w:rPr>
        <w:t>. O quadro não afirma qual seja a distribuição correta de risco: demonstra o que o instrumento produz quando aplicado segundo a rubrica, para que terceiros o reproduzam ou contestem.</w:t>
      </w:r>
    </w:p>
    <w:p>
      <w:pPr>
        <w:pStyle w:val="Normal"/>
        <w:spacing w:lineRule="auto" w:line="240" w:before="160" w:after="80"/>
        <w:ind w:hanging="0"/>
        <w:jc w:val="left"/>
        <w:rPr>
          <w:highlight w:val="none"/>
          <w:shd w:fill="auto" w:val="clear"/>
        </w:rPr>
      </w:pPr>
      <w:r>
        <w:rPr>
          <w:rFonts w:eastAsia="Tahoma" w:cs="Tahoma"/>
          <w:b/>
          <w:bCs/>
          <w:sz w:val="24"/>
          <w:szCs w:val="22"/>
          <w:shd w:fill="auto" w:val="clear"/>
        </w:rPr>
        <w:t>Quadro 4 – Aplicação ilustrativa do ISD (categorias gerais e sistemas da Justiça do Trabalho)</w:t>
      </w:r>
    </w:p>
    <w:tbl>
      <w:tblPr>
        <w:tblW w:w="9100" w:type="dxa"/>
        <w:jc w:val="left"/>
        <w:tblInd w:w="0" w:type="dxa"/>
        <w:tblLayout w:type="fixed"/>
        <w:tblCellMar>
          <w:top w:w="60" w:type="dxa"/>
          <w:left w:w="80" w:type="dxa"/>
          <w:bottom w:w="60" w:type="dxa"/>
          <w:right w:w="80" w:type="dxa"/>
        </w:tblCellMar>
      </w:tblPr>
      <w:tblGrid>
        <w:gridCol w:w="5600"/>
        <w:gridCol w:w="1599"/>
        <w:gridCol w:w="1901"/>
      </w:tblGrid>
      <w:tr>
        <w:trPr/>
        <w:tc>
          <w:tcPr>
            <w:tcW w:w="5600"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bCs/>
                <w:sz w:val="20"/>
                <w:szCs w:val="17"/>
                <w:shd w:fill="auto" w:val="clear"/>
              </w:rPr>
              <w:t>Tipo de decisão / sistema</w:t>
            </w:r>
          </w:p>
        </w:tc>
        <w:tc>
          <w:tcPr>
            <w:tcW w:w="1599"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bCs/>
                <w:sz w:val="20"/>
                <w:szCs w:val="17"/>
                <w:shd w:fill="auto" w:val="clear"/>
              </w:rPr>
              <w:t>Camada</w:t>
            </w:r>
          </w:p>
        </w:tc>
        <w:tc>
          <w:tcPr>
            <w:tcW w:w="1901" w:type="dxa"/>
            <w:tcBorders>
              <w:top w:val="single" w:sz="4" w:space="0" w:color="808080"/>
              <w:left w:val="single" w:sz="4" w:space="0" w:color="808080"/>
              <w:bottom w:val="single" w:sz="4" w:space="0" w:color="808080"/>
              <w:right w:val="single" w:sz="4" w:space="0" w:color="808080"/>
            </w:tcBorders>
            <w:shd w:color="auto" w:fill="D9D9D9" w:val="clear"/>
            <w:vAlign w:val="center"/>
          </w:tcPr>
          <w:p>
            <w:pPr>
              <w:pStyle w:val="Normal"/>
              <w:spacing w:lineRule="auto" w:line="240" w:before="20" w:after="20"/>
              <w:ind w:hanging="0"/>
              <w:jc w:val="left"/>
              <w:rPr>
                <w:highlight w:val="none"/>
                <w:shd w:fill="auto" w:val="clear"/>
              </w:rPr>
            </w:pPr>
            <w:r>
              <w:rPr>
                <w:rFonts w:eastAsia="Tahoma" w:cs="Tahoma"/>
                <w:b/>
                <w:bCs/>
                <w:sz w:val="20"/>
                <w:szCs w:val="17"/>
                <w:shd w:fill="auto" w:val="clear"/>
              </w:rPr>
              <w:t>ISD ponderado</w:t>
            </w:r>
          </w:p>
        </w:tc>
      </w:tr>
      <w:tr>
        <w:trPr/>
        <w:tc>
          <w:tcPr>
            <w:tcW w:w="9100" w:type="dxa"/>
            <w:gridSpan w:val="3"/>
            <w:tcBorders>
              <w:top w:val="single" w:sz="4" w:space="0" w:color="808080"/>
              <w:left w:val="single" w:sz="4" w:space="0" w:color="808080"/>
              <w:bottom w:val="single" w:sz="4" w:space="0" w:color="808080"/>
              <w:right w:val="single" w:sz="4" w:space="0" w:color="808080"/>
            </w:tcBorders>
            <w:shd w:color="auto" w:fill="BFBFBF" w:val="clear"/>
          </w:tcPr>
          <w:p>
            <w:pPr>
              <w:pStyle w:val="Normal"/>
              <w:spacing w:lineRule="auto" w:line="240" w:before="20" w:after="20"/>
              <w:ind w:hanging="0"/>
              <w:rPr>
                <w:highlight w:val="none"/>
                <w:shd w:fill="auto" w:val="clear"/>
              </w:rPr>
            </w:pPr>
            <w:r>
              <w:rPr>
                <w:rFonts w:eastAsia="Tahoma" w:cs="Tahoma"/>
                <w:b/>
                <w:bCs/>
                <w:sz w:val="20"/>
                <w:szCs w:val="17"/>
                <w:shd w:fill="auto" w:val="clear"/>
              </w:rPr>
              <w:t>Categorias gerais, Painel CNJ de IA (2024)</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Triagem/classificação, atualização monetária e agrupamento por similaridade</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C1</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20%</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Admissibilidade recursal</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C1</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40%</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Concessão de Justiça Gratuita</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C1</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48%</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Priorização de pauta e redistribuição processual</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sz w:val="20"/>
              </w:rPr>
              <w:t>C3*</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52%</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Homologação de acordo trabalhista</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C2</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60%</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Concessão de benefício previdenciário</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C3</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80%</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Previsão de produtividade de magistrados e servidores</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C2</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60%</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Minuta de sentença por IA generativa</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C2</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72%</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Dosimetria de pena e tutela em ação de saúde</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C3</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100%</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Extradição/deportação e prisão preventiva</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C3</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100%</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Liminar de improbidade administrativa</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C3</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sz w:val="20"/>
              </w:rPr>
              <w:t>92%</w:t>
            </w:r>
          </w:p>
        </w:tc>
      </w:tr>
      <w:tr>
        <w:trPr/>
        <w:tc>
          <w:tcPr>
            <w:tcW w:w="9100" w:type="dxa"/>
            <w:gridSpan w:val="3"/>
            <w:tcBorders>
              <w:top w:val="single" w:sz="4" w:space="0" w:color="808080"/>
              <w:left w:val="single" w:sz="4" w:space="0" w:color="808080"/>
              <w:bottom w:val="single" w:sz="4" w:space="0" w:color="808080"/>
              <w:right w:val="single" w:sz="4" w:space="0" w:color="808080"/>
            </w:tcBorders>
            <w:shd w:color="auto" w:fill="BFBFBF" w:val="clear"/>
          </w:tcPr>
          <w:p>
            <w:pPr>
              <w:pStyle w:val="Normal"/>
              <w:spacing w:lineRule="auto" w:line="240" w:before="20" w:after="20"/>
              <w:ind w:hanging="0"/>
              <w:rPr>
                <w:highlight w:val="none"/>
                <w:shd w:fill="auto" w:val="clear"/>
              </w:rPr>
            </w:pPr>
            <w:r>
              <w:rPr>
                <w:rFonts w:eastAsia="Tahoma" w:cs="Tahoma"/>
                <w:b/>
                <w:bCs/>
                <w:sz w:val="20"/>
                <w:szCs w:val="17"/>
                <w:shd w:fill="auto" w:val="clear"/>
              </w:rPr>
              <w:t>Sistemas específicos, Justiça do Trabalho (CSJT, 2025)</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Solaria</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C1</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20%</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Gemini PJe (agrupamento por similaridade semântica)</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sz w:val="20"/>
              </w:rPr>
              <w:t>C3*</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52%</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ICIA e Concilia JT, predição de probabilidade de conciliação</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C2</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60%</w:t>
            </w:r>
          </w:p>
        </w:tc>
      </w:tr>
      <w:tr>
        <w:trPr/>
        <w:tc>
          <w:tcPr>
            <w:tcW w:w="5600"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left"/>
              <w:rPr>
                <w:highlight w:val="none"/>
                <w:shd w:fill="auto" w:val="clear"/>
              </w:rPr>
            </w:pPr>
            <w:r>
              <w:rPr>
                <w:rFonts w:eastAsia="Tahoma" w:cs="Tahoma"/>
                <w:b w:val="false"/>
                <w:bCs w:val="false"/>
                <w:sz w:val="20"/>
                <w:szCs w:val="17"/>
                <w:shd w:fill="auto" w:val="clear"/>
              </w:rPr>
              <w:t>Chat-JT, assistente jurídico generativo (sem Sinapses, desde fev./2025)</w:t>
            </w:r>
          </w:p>
        </w:tc>
        <w:tc>
          <w:tcPr>
            <w:tcW w:w="1599"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C3</w:t>
            </w:r>
          </w:p>
        </w:tc>
        <w:tc>
          <w:tcPr>
            <w:tcW w:w="1901" w:type="dxa"/>
            <w:tcBorders>
              <w:top w:val="single" w:sz="4" w:space="0" w:color="808080"/>
              <w:left w:val="single" w:sz="4" w:space="0" w:color="808080"/>
              <w:bottom w:val="single" w:sz="4" w:space="0" w:color="808080"/>
              <w:right w:val="single" w:sz="4" w:space="0" w:color="808080"/>
            </w:tcBorders>
            <w:vAlign w:val="center"/>
          </w:tcPr>
          <w:p>
            <w:pPr>
              <w:pStyle w:val="Normal"/>
              <w:spacing w:lineRule="auto" w:line="240" w:before="20" w:after="20"/>
              <w:ind w:hanging="0"/>
              <w:jc w:val="center"/>
              <w:rPr>
                <w:highlight w:val="none"/>
                <w:shd w:fill="auto" w:val="clear"/>
              </w:rPr>
            </w:pPr>
            <w:r>
              <w:rPr>
                <w:rFonts w:eastAsia="Tahoma" w:cs="Tahoma"/>
                <w:b w:val="false"/>
                <w:bCs w:val="false"/>
                <w:sz w:val="20"/>
                <w:szCs w:val="17"/>
                <w:shd w:fill="auto" w:val="clear"/>
              </w:rPr>
              <w:t>80%</w:t>
            </w:r>
          </w:p>
        </w:tc>
      </w:tr>
    </w:tbl>
    <w:p>
      <w:pPr>
        <w:pStyle w:val="Normal"/>
        <w:spacing w:lineRule="auto" w:line="240" w:before="80" w:after="120"/>
        <w:ind w:hanging="0"/>
        <w:jc w:val="left"/>
        <w:rPr>
          <w:sz w:val="20"/>
          <w:szCs w:val="20"/>
        </w:rPr>
      </w:pPr>
      <w:r>
        <w:rPr>
          <w:rFonts w:eastAsia="Tahoma" w:cs="Tahoma"/>
          <w:b w:val="false"/>
          <w:sz w:val="20"/>
          <w:szCs w:val="20"/>
        </w:rPr>
        <w:t>Fonte: elaboração do autor com base no Painel CNJ de IA (2024) e dados públicos do CSJT (2025).   * Escalada de C2 para C3 pelo Princípio da Precaução, por situar-se o ISD a menos de 6 p.p. do limiar.</w:t>
      </w:r>
    </w:p>
    <w:p>
      <w:pPr>
        <w:pStyle w:val="Normal"/>
        <w:spacing w:lineRule="auto" w:line="360" w:before="0" w:after="0"/>
        <w:ind w:firstLine="709"/>
        <w:jc w:val="both"/>
        <w:rPr>
          <w:highlight w:val="none"/>
          <w:shd w:fill="auto" w:val="clear"/>
        </w:rPr>
      </w:pPr>
      <w:r>
        <w:rPr>
          <w:rFonts w:eastAsia="Tahoma" w:cs="Tahoma"/>
          <w:b w:val="false"/>
          <w:sz w:val="24"/>
        </w:rPr>
        <w:t>Aplicado o instrumento, decisões de alta irreversibilidade concentram-se na Camada 3. Como os scores partiram dos mesmos limiares que se pretende verificar, a coerência interna não é evidência de acerto, e por isso o enquadramento foi confrontado com taxonomias externas.</w:t>
      </w:r>
    </w:p>
    <w:p>
      <w:pPr>
        <w:pStyle w:val="Normal"/>
        <w:keepNext w:val="true"/>
        <w:spacing w:lineRule="auto" w:line="240" w:before="160" w:after="80"/>
        <w:ind w:hanging="0"/>
        <w:jc w:val="left"/>
        <w:rPr>
          <w:highlight w:val="none"/>
          <w:shd w:fill="auto" w:val="clear"/>
        </w:rPr>
      </w:pPr>
      <w:r>
        <w:rPr>
          <w:rFonts w:eastAsia="Tahoma" w:cs="Tahoma"/>
          <w:b/>
          <w:bCs/>
          <w:sz w:val="28"/>
          <w:szCs w:val="24"/>
          <w:shd w:fill="auto" w:val="clear"/>
        </w:rPr>
        <w:t>2.3.6 Desenho metodológico</w:t>
      </w:r>
    </w:p>
    <w:p>
      <w:pPr>
        <w:pStyle w:val="Normal"/>
        <w:spacing w:lineRule="auto" w:line="360" w:before="0" w:after="0"/>
        <w:ind w:firstLine="709"/>
        <w:jc w:val="both"/>
        <w:rPr>
          <w:highlight w:val="none"/>
          <w:shd w:fill="auto" w:val="clear"/>
        </w:rPr>
      </w:pPr>
      <w:r>
        <w:rPr>
          <w:rFonts w:eastAsia="Tahoma" w:cs="Tahoma"/>
          <w:b w:val="false"/>
          <w:sz w:val="24"/>
        </w:rPr>
        <w:t>Trata-se de pesquisa propositiva: o resultado é o próprio artefato, e os procedimentos adotados verificam sua consistência interna e sua operacionalidade, não seus efeitos após a implantação. Como já assume o critério A8 quanto ao saber tácito, o Protocolo verifica a presença dos mecanismos de proteção, inclusive os de privacidade, e não seus efeitos sobre a percepção de autonomia.</w:t>
      </w:r>
    </w:p>
    <w:p>
      <w:pPr>
        <w:pStyle w:val="Normal"/>
        <w:spacing w:lineRule="auto" w:line="360" w:before="0" w:after="0"/>
        <w:ind w:firstLine="709"/>
        <w:jc w:val="both"/>
        <w:rPr>
          <w:highlight w:val="none"/>
          <w:shd w:fill="auto" w:val="clear"/>
        </w:rPr>
      </w:pPr>
      <w:r>
        <w:rPr>
          <w:rFonts w:eastAsia="Tahoma" w:cs="Tahoma"/>
          <w:b w:val="false"/>
          <w:sz w:val="24"/>
        </w:rPr>
        <w:t>Dois procedimentos sustentam o texto. O primeiro é a análise documental dos portais de transparência do CNJ e dos principais TRTs, em que a ausência dos documentos exigidos pelo art. 14 da Resolução CNJ n. 615/2025 é tratada como dado, mediante análise de conteúdo silencial</w:t>
      </w:r>
      <w:r>
        <w:rPr>
          <w:rStyle w:val="FootnoteReference"/>
          <w:rFonts w:cs="Tahoma"/>
          <w:sz w:val="24"/>
        </w:rPr>
        <w:footnoteReference w:id="53"/>
      </w:r>
      <w:r>
        <w:rPr>
          <w:rFonts w:eastAsia="Tahoma" w:cs="Tahoma"/>
          <w:b w:val="false"/>
          <w:sz w:val="24"/>
        </w:rPr>
        <w:t>. O segundo é a aplicação do ISD às 15 categorias do Quadro 4, a partir das fontes públicas do Painel CNJ de IA e do CSJT.</w:t>
      </w:r>
    </w:p>
    <w:p>
      <w:pPr>
        <w:pStyle w:val="Normal"/>
        <w:spacing w:lineRule="auto" w:line="360" w:before="0" w:after="0"/>
        <w:ind w:firstLine="709"/>
        <w:jc w:val="both"/>
        <w:rPr>
          <w:highlight w:val="none"/>
          <w:shd w:fill="auto" w:val="clear"/>
        </w:rPr>
      </w:pPr>
      <w:r>
        <w:rPr>
          <w:rFonts w:eastAsia="Tahoma" w:cs="Tahoma"/>
          <w:b w:val="false"/>
          <w:sz w:val="24"/>
        </w:rPr>
        <w:t>A atribuição dos scores por um único pesquisador não se valida por consistência interna, e por isso o enquadramento resultante foi confrontado com taxonomias de risco publicadas por terceiros.</w:t>
      </w:r>
    </w:p>
    <w:p>
      <w:pPr>
        <w:pStyle w:val="Normal"/>
        <w:spacing w:lineRule="auto" w:line="360" w:before="0" w:after="0"/>
        <w:ind w:firstLine="709"/>
        <w:jc w:val="both"/>
        <w:rPr/>
      </w:pPr>
      <w:r>
        <w:rPr>
          <w:rFonts w:eastAsia="Tahoma" w:cs="Tahoma"/>
          <w:b w:val="false"/>
          <w:sz w:val="24"/>
        </w:rPr>
        <w:t>As referências adotadas foram o Anexo III do Regulamento (UE) 2024/1689</w:t>
      </w:r>
      <w:r>
        <w:rPr>
          <w:rStyle w:val="FootnoteReference"/>
          <w:rFonts w:cs="Tahoma"/>
          <w:sz w:val="24"/>
        </w:rPr>
        <w:footnoteReference w:id="54"/>
      </w:r>
      <w:r>
        <w:rPr>
          <w:rFonts w:eastAsia="Tahoma" w:cs="Tahoma"/>
          <w:b w:val="false"/>
          <w:sz w:val="24"/>
        </w:rPr>
        <w:t>, o anexo de classificação de riscos da Resolução CNJ n. 615/2025 e o NIST AI Risk Management Framework</w:t>
      </w:r>
      <w:r>
        <w:rPr>
          <w:rStyle w:val="FootnoteReference"/>
          <w:rFonts w:cs="Tahoma"/>
          <w:sz w:val="24"/>
        </w:rPr>
        <w:footnoteReference w:id="55"/>
      </w:r>
      <w:r>
        <w:rPr>
          <w:rFonts w:eastAsia="Tahoma" w:cs="Tahoma"/>
          <w:b w:val="false"/>
          <w:sz w:val="24"/>
        </w:rPr>
        <w:t>. Os dois primeiros convergem no mesmo corte binário: são de alto risco os sistemas que auxiliam a autoridade judicial na interpretação dos fatos e do direito, excetuadas as tarefas auxiliares. As categorias de C3 que envolvem juízo interpretativo, como dosimetria, prisão preventiva e improbidade, correspondem a essas hipóteses. Divergem os dois usos escalados pela zona de fronteira, priorização de pauta e agrupamento por similaridade, que aqueles instrumentos tratariam como tarefas auxiliares: a divergência decorre da regra de precaução e é aqui assumida como opção de desenho.</w:t>
      </w:r>
    </w:p>
    <w:p>
      <w:pPr>
        <w:pStyle w:val="Normal"/>
        <w:spacing w:lineRule="auto" w:line="360" w:before="0" w:after="0"/>
        <w:ind w:firstLine="709"/>
        <w:jc w:val="both"/>
        <w:rPr>
          <w:highlight w:val="none"/>
          <w:shd w:fill="auto" w:val="clear"/>
        </w:rPr>
      </w:pPr>
      <w:r>
        <w:rPr>
          <w:rFonts w:eastAsia="Tahoma" w:cs="Tahoma"/>
          <w:b w:val="false"/>
          <w:sz w:val="24"/>
        </w:rPr>
        <w:t>Nenhum dos três instrumentos prevê faixa intermediária. A Camada 2 não tem, portanto, correspondente externo, e é nela que reside a contribuição do ISD ao substituir o corte binário por escala graduada. A ausência de referência comparada para essa faixa é limitação declarada do enquadramento proposto.</w:t>
      </w:r>
    </w:p>
    <w:p>
      <w:pPr>
        <w:pStyle w:val="Normal"/>
        <w:keepNext w:val="true"/>
        <w:spacing w:lineRule="auto" w:line="240" w:before="160" w:after="120"/>
        <w:ind w:hanging="0"/>
        <w:jc w:val="left"/>
        <w:rPr>
          <w:highlight w:val="none"/>
          <w:shd w:fill="auto" w:val="clear"/>
        </w:rPr>
      </w:pPr>
      <w:r>
        <w:rPr>
          <w:rFonts w:eastAsia="Tahoma" w:cs="Tahoma"/>
          <w:b w:val="false"/>
          <w:bCs w:val="false"/>
          <w:sz w:val="28"/>
          <w:szCs w:val="24"/>
          <w:shd w:fill="auto" w:val="clear"/>
        </w:rPr>
        <w:t>2.4 POSSÍVEIS IMPACTOS ECONÔMICOS, SOCIAIS E TECNOLÓGICOS</w:t>
      </w:r>
    </w:p>
    <w:p>
      <w:pPr>
        <w:pStyle w:val="Normal"/>
        <w:spacing w:lineRule="auto" w:line="360" w:before="0" w:after="0"/>
        <w:ind w:firstLine="709"/>
        <w:jc w:val="both"/>
        <w:rPr>
          <w:highlight w:val="none"/>
          <w:shd w:fill="auto" w:val="clear"/>
        </w:rPr>
      </w:pPr>
      <w:r>
        <w:rPr>
          <w:rFonts w:eastAsia="Tahoma" w:cs="Tahoma"/>
          <w:b w:val="false"/>
          <w:sz w:val="24"/>
        </w:rPr>
        <w:t>No plano econômico, o modelo permite captar os ganhos de eficiência da IA sem os custos ocultos da governança ausente: decisões revertidas por vício de fundamentação e litígios por violação da LGPD</w:t>
      </w:r>
      <w:r>
        <w:rPr>
          <w:rStyle w:val="FootnoteReference"/>
          <w:rFonts w:cs="Tahoma"/>
          <w:sz w:val="24"/>
        </w:rPr>
        <w:footnoteReference w:id="56"/>
      </w:r>
      <w:r>
        <w:rPr>
          <w:rFonts w:eastAsia="Tahoma" w:cs="Tahoma"/>
          <w:b w:val="false"/>
          <w:sz w:val="24"/>
        </w:rPr>
        <w:t>. No plano social, o MAR verifica a representatividade dos grupos afetados, relevante sob a Lei n. 14.611/2023. No plano tecnológico, a FPR define os requisitos para uma futura plataforma federada de registro algorítmico.</w:t>
      </w:r>
    </w:p>
    <w:p>
      <w:pPr>
        <w:pStyle w:val="Normal"/>
        <w:spacing w:lineRule="auto" w:line="360" w:before="0" w:after="0"/>
        <w:ind w:firstLine="709"/>
        <w:jc w:val="both"/>
        <w:rPr>
          <w:highlight w:val="none"/>
          <w:shd w:fill="auto" w:val="clear"/>
        </w:rPr>
      </w:pPr>
      <w:r>
        <w:rPr>
          <w:shd w:fill="auto" w:val="clear"/>
        </w:rPr>
      </w:r>
    </w:p>
    <w:p>
      <w:pPr>
        <w:pStyle w:val="Normal"/>
        <w:spacing w:lineRule="auto" w:line="240" w:before="240" w:after="160"/>
        <w:ind w:hanging="0" w:left="0"/>
        <w:jc w:val="left"/>
        <w:rPr/>
      </w:pPr>
      <w:r>
        <w:rPr>
          <w:rFonts w:eastAsia="Tahoma" w:cs="Tahoma"/>
          <w:b/>
          <w:sz w:val="28"/>
        </w:rPr>
        <w:t>3 CONSIDERAÇÕES FINAIS</w:t>
      </w:r>
    </w:p>
    <w:p>
      <w:pPr>
        <w:pStyle w:val="Normal"/>
        <w:spacing w:lineRule="auto" w:line="240" w:before="240" w:after="160"/>
        <w:ind w:hanging="0" w:left="0"/>
        <w:jc w:val="left"/>
        <w:rPr/>
      </w:pPr>
      <w:r>
        <w:rPr>
          <w:rFonts w:eastAsia="Tahoma" w:cs="Tahoma"/>
          <w:b/>
          <w:sz w:val="28"/>
        </w:rPr>
        <w:tab/>
      </w:r>
      <w:r>
        <w:rPr>
          <w:rFonts w:eastAsia="Tahoma" w:cs="Tahoma"/>
          <w:b w:val="false"/>
          <w:sz w:val="24"/>
        </w:rPr>
        <w:t>Este trabalho respondeu à pergunta de pesquisa desenhando o Modelo GSD-ISD como regime de governança capaz de preservar a autoridade decisória do magistrado e de institucionalizar mecanismos de retenção do saber tácito diante da adoção acelerada de IA.</w:t>
        <w:tab/>
        <w:tab/>
        <w:tab/>
        <w:tab/>
        <w:tab/>
        <w:tab/>
        <w:tab/>
        <w:tab/>
        <w:tab/>
        <w:tab/>
        <w:t>A verificação empírica dos quatro portais confirmou a ausência de accountability documentada, e a aplicação do ISD a 15 categorias mostrou que o framework é operacionalizável com dados públicos, com enquadramento convergente ao do direito comparado nas faixas extremas. Reconhece-se como limitação o caráter ilustrativo dessa classificação: a estabilidade dos limiares sob outras ponderações e a aplicação do Protocolo a um sistema em operação extrapolam o escopo deste artigo.</w:t>
        <w:tab/>
        <w:tab/>
        <w:tab/>
        <w:tab/>
        <w:tab/>
        <w:tab/>
        <w:tab/>
      </w:r>
      <w:r>
        <w:rPr>
          <w:b w:val="false"/>
        </w:rPr>
        <w:t>Como implicação prática, o modelo oferece aos tribunais um instrumento imediatamente aplicável em dois níveis, o Instrumento Simplificado para administradores sem perfil técnico e o Protocolo A1-A9 completo para comitês de governança, sem exigir nova infraestrutura além da Ficha Padrão de Registro.</w:t>
      </w:r>
    </w:p>
    <w:p>
      <w:pPr>
        <w:pStyle w:val="Normal"/>
        <w:spacing w:lineRule="auto" w:line="240" w:before="160" w:after="80"/>
        <w:ind w:hanging="0"/>
        <w:jc w:val="both"/>
        <w:rPr>
          <w:rFonts w:eastAsia="Tahoma" w:cs="Tahoma"/>
          <w:b/>
          <w:bCs/>
          <w:sz w:val="24"/>
          <w:szCs w:val="24"/>
          <w:shd w:fill="auto" w:val="clear"/>
        </w:rPr>
      </w:pPr>
      <w:r>
        <w:rPr/>
      </w:r>
    </w:p>
    <w:p>
      <w:pPr>
        <w:pStyle w:val="Normal"/>
        <w:spacing w:lineRule="auto" w:line="240" w:before="160" w:after="80"/>
        <w:ind w:hanging="0"/>
        <w:jc w:val="both"/>
        <w:rPr>
          <w:rFonts w:eastAsia="Tahoma" w:cs="Tahoma"/>
          <w:b/>
          <w:bCs/>
          <w:sz w:val="24"/>
          <w:szCs w:val="24"/>
          <w:shd w:fill="auto" w:val="clear"/>
        </w:rPr>
      </w:pPr>
      <w:r>
        <w:rPr/>
      </w:r>
    </w:p>
    <w:p>
      <w:pPr>
        <w:pStyle w:val="Normal"/>
        <w:spacing w:lineRule="auto" w:line="240" w:before="160" w:after="80"/>
        <w:ind w:hanging="0"/>
        <w:jc w:val="both"/>
        <w:rPr>
          <w:rFonts w:eastAsia="Tahoma" w:cs="Tahoma"/>
          <w:b/>
          <w:bCs/>
          <w:sz w:val="24"/>
          <w:szCs w:val="24"/>
          <w:shd w:fill="auto" w:val="clear"/>
        </w:rPr>
      </w:pPr>
      <w:r>
        <w:rPr/>
      </w:r>
    </w:p>
    <w:p>
      <w:pPr>
        <w:pStyle w:val="Normal"/>
        <w:spacing w:lineRule="auto" w:line="240" w:before="160" w:after="80"/>
        <w:ind w:hanging="0"/>
        <w:jc w:val="both"/>
        <w:rPr/>
      </w:pPr>
      <w:r>
        <w:rPr>
          <w:rFonts w:eastAsia="Tahoma" w:cs="Tahoma"/>
          <w:b/>
          <w:bCs/>
          <w:sz w:val="24"/>
          <w:szCs w:val="24"/>
          <w:shd w:fill="auto" w:val="clear"/>
        </w:rPr>
        <w:t>REFERÊNCIAS</w:t>
      </w:r>
    </w:p>
    <w:p>
      <w:pPr>
        <w:pStyle w:val="Normal"/>
        <w:spacing w:lineRule="auto" w:line="240" w:before="0" w:after="240"/>
        <w:ind w:hanging="0" w:left="0"/>
        <w:jc w:val="left"/>
        <w:rPr/>
      </w:pPr>
      <w:r>
        <w:rPr>
          <w:rFonts w:eastAsia="Tahoma" w:cs="Tahoma"/>
          <w:b w:val="false"/>
          <w:sz w:val="24"/>
        </w:rPr>
        <w:t xml:space="preserve">ANTHONY, Robert N. </w:t>
      </w:r>
      <w:r>
        <w:rPr>
          <w:rFonts w:eastAsia="Tahoma" w:cs="Tahoma"/>
          <w:b/>
          <w:sz w:val="24"/>
        </w:rPr>
        <w:t>Planning and Control Systems</w:t>
      </w:r>
      <w:r>
        <w:rPr>
          <w:rFonts w:eastAsia="Tahoma" w:cs="Tahoma"/>
          <w:b w:val="false"/>
          <w:sz w:val="24"/>
        </w:rPr>
        <w:t>: a framework for analysis. Boston: Harvard Business School Press, 1965.</w:t>
      </w:r>
    </w:p>
    <w:p>
      <w:pPr>
        <w:pStyle w:val="Normal"/>
        <w:spacing w:lineRule="auto" w:line="240" w:before="0" w:after="240"/>
        <w:ind w:hanging="0" w:left="0"/>
        <w:jc w:val="left"/>
        <w:rPr/>
      </w:pPr>
      <w:r>
        <w:rPr>
          <w:rFonts w:eastAsia="Tahoma" w:cs="Tahoma"/>
          <w:b w:val="false"/>
          <w:sz w:val="24"/>
        </w:rPr>
        <w:t xml:space="preserve">BARDIN, Laurence. </w:t>
      </w:r>
      <w:r>
        <w:rPr>
          <w:rFonts w:eastAsia="Tahoma" w:cs="Tahoma"/>
          <w:b/>
          <w:sz w:val="24"/>
        </w:rPr>
        <w:t>Análise de conteúdo</w:t>
      </w:r>
      <w:r>
        <w:rPr>
          <w:rFonts w:eastAsia="Tahoma" w:cs="Tahoma"/>
          <w:b w:val="false"/>
          <w:sz w:val="24"/>
        </w:rPr>
        <w:t>. São Paulo: Edições 70, 2011.</w:t>
      </w:r>
    </w:p>
    <w:p>
      <w:pPr>
        <w:pStyle w:val="Normal"/>
        <w:spacing w:lineRule="auto" w:line="240" w:before="0" w:after="240"/>
        <w:ind w:hanging="0" w:left="0"/>
        <w:jc w:val="left"/>
        <w:rPr/>
      </w:pPr>
      <w:r>
        <w:rPr>
          <w:rFonts w:eastAsia="Tahoma" w:cs="Tahoma"/>
          <w:b w:val="false"/>
          <w:sz w:val="24"/>
        </w:rPr>
        <w:t xml:space="preserve">BAUMEISTER, Roy F. et al. Ego depletion: is the active self a limited resource? </w:t>
      </w:r>
      <w:r>
        <w:rPr>
          <w:rFonts w:eastAsia="Tahoma" w:cs="Tahoma"/>
          <w:b/>
          <w:sz w:val="24"/>
        </w:rPr>
        <w:t>Journal of Personality and Social Psychology</w:t>
      </w:r>
      <w:r>
        <w:rPr>
          <w:rFonts w:eastAsia="Tahoma" w:cs="Tahoma"/>
          <w:b w:val="false"/>
          <w:sz w:val="24"/>
        </w:rPr>
        <w:t>, Washington, DC, v. 74, n. 5, p. 1252-1265, maio 1998. DOI: 10.1037/0022-3514.74.5.1252.</w:t>
      </w:r>
    </w:p>
    <w:p>
      <w:pPr>
        <w:pStyle w:val="Normal"/>
        <w:spacing w:lineRule="auto" w:line="240" w:before="0" w:after="240"/>
        <w:ind w:hanging="0" w:left="0"/>
        <w:jc w:val="left"/>
        <w:rPr/>
      </w:pPr>
      <w:r>
        <w:rPr>
          <w:rFonts w:eastAsia="Tahoma" w:cs="Tahoma"/>
          <w:b w:val="false"/>
          <w:sz w:val="24"/>
        </w:rPr>
        <w:t xml:space="preserve">BINENBOJM, Gustavo. </w:t>
      </w:r>
      <w:r>
        <w:rPr>
          <w:rFonts w:eastAsia="Tahoma" w:cs="Tahoma"/>
          <w:b/>
          <w:sz w:val="24"/>
        </w:rPr>
        <w:t>Poder de polícia, ordenação, regulação</w:t>
      </w:r>
      <w:r>
        <w:rPr>
          <w:rFonts w:eastAsia="Tahoma" w:cs="Tahoma"/>
          <w:b w:val="false"/>
          <w:sz w:val="24"/>
        </w:rPr>
        <w:t>: transformações político-jurídicas, econômicas e institucionais do direito administrativo ordenador. 3. ed. Belo Horizonte: Fórum, 2023.</w:t>
      </w:r>
    </w:p>
    <w:p>
      <w:pPr>
        <w:pStyle w:val="Normal"/>
        <w:spacing w:lineRule="auto" w:line="240" w:before="0" w:after="240"/>
        <w:ind w:hanging="0" w:left="0"/>
        <w:jc w:val="left"/>
        <w:rPr/>
      </w:pPr>
      <w:r>
        <w:rPr>
          <w:rFonts w:eastAsia="Tahoma" w:cs="Tahoma"/>
          <w:b w:val="false"/>
          <w:sz w:val="24"/>
        </w:rPr>
        <w:t xml:space="preserve">BRASIL. [Constituição (1988)]. </w:t>
      </w:r>
      <w:r>
        <w:rPr>
          <w:rFonts w:eastAsia="Tahoma" w:cs="Tahoma"/>
          <w:b/>
          <w:sz w:val="24"/>
        </w:rPr>
        <w:t>Constituição da República Federativa do Brasil de 1988</w:t>
      </w:r>
      <w:r>
        <w:rPr>
          <w:rFonts w:eastAsia="Tahoma" w:cs="Tahoma"/>
          <w:b w:val="false"/>
          <w:sz w:val="24"/>
        </w:rPr>
        <w:t>. Brasília, DF: Senado Federal, 1988. Disponível em: https://www.planalto.gov.br/ccivil_03/constituicao/constituicao.htm. Acesso em: 20 ago. 2026.</w:t>
      </w:r>
    </w:p>
    <w:p>
      <w:pPr>
        <w:pStyle w:val="Normal"/>
        <w:spacing w:lineRule="auto" w:line="240" w:before="0" w:after="240"/>
        <w:ind w:hanging="0" w:left="0"/>
        <w:jc w:val="left"/>
        <w:rPr/>
      </w:pPr>
      <w:r>
        <w:rPr>
          <w:rFonts w:eastAsia="Tahoma" w:cs="Tahoma"/>
          <w:b w:val="false"/>
          <w:sz w:val="24"/>
        </w:rPr>
        <w:t xml:space="preserve">BRASIL. </w:t>
      </w:r>
      <w:r>
        <w:rPr>
          <w:rFonts w:eastAsia="Tahoma" w:cs="Tahoma"/>
          <w:b/>
          <w:sz w:val="24"/>
        </w:rPr>
        <w:t>Lei n. 13.709, de 14 de agosto de 2018</w:t>
      </w:r>
      <w:r>
        <w:rPr>
          <w:rFonts w:eastAsia="Tahoma" w:cs="Tahoma"/>
          <w:b w:val="false"/>
          <w:sz w:val="24"/>
        </w:rPr>
        <w:t>. Lei Geral de Proteção de Dados Pessoais (LGPD). Brasília, DF: Presidência da República, 2018. Disponível em: https://www.planalto.gov.br/ccivil_03/_ato2015-2018/2018/lei/l13709.htm. Acesso em: 20 ago. 2026.</w:t>
      </w:r>
    </w:p>
    <w:p>
      <w:pPr>
        <w:pStyle w:val="Normal"/>
        <w:spacing w:lineRule="auto" w:line="240" w:before="0" w:after="240"/>
        <w:ind w:hanging="0" w:left="0"/>
        <w:jc w:val="left"/>
        <w:rPr/>
      </w:pPr>
      <w:r>
        <w:rPr>
          <w:rFonts w:eastAsia="Tahoma" w:cs="Tahoma"/>
          <w:b w:val="false"/>
          <w:sz w:val="24"/>
        </w:rPr>
        <w:t xml:space="preserve">BRASIL. </w:t>
      </w:r>
      <w:r>
        <w:rPr>
          <w:rFonts w:eastAsia="Tahoma" w:cs="Tahoma"/>
          <w:b/>
          <w:sz w:val="24"/>
        </w:rPr>
        <w:t>Lei n. 14.611, de 3 de julho de 2023</w:t>
      </w:r>
      <w:r>
        <w:rPr>
          <w:rFonts w:eastAsia="Tahoma" w:cs="Tahoma"/>
          <w:b w:val="false"/>
          <w:sz w:val="24"/>
        </w:rPr>
        <w:t>. Dispõe sobre a igualdade salarial e de critérios remuneratórios entre mulheres e homens. Brasília, DF: Presidência da República, 2023. Disponível em: https://www.planalto.gov.br/ccivil_03/_ato2023-2026/2023/lei/l14611.htm. Acesso em: 20 ago. 2026.</w:t>
      </w:r>
    </w:p>
    <w:p>
      <w:pPr>
        <w:pStyle w:val="Normal"/>
        <w:spacing w:lineRule="auto" w:line="240" w:before="0" w:after="240"/>
        <w:ind w:hanging="0" w:left="0"/>
        <w:jc w:val="left"/>
        <w:rPr/>
      </w:pPr>
      <w:r>
        <w:rPr>
          <w:rFonts w:eastAsia="Tahoma" w:cs="Tahoma"/>
          <w:b w:val="false"/>
          <w:sz w:val="24"/>
        </w:rPr>
        <w:t xml:space="preserve">BRASIL. Ministério do Trabalho e Emprego. </w:t>
      </w:r>
      <w:r>
        <w:rPr>
          <w:rFonts w:eastAsia="Tahoma" w:cs="Tahoma"/>
          <w:b/>
          <w:sz w:val="24"/>
        </w:rPr>
        <w:t>4º Relatório de Transparência Salarial e de Critérios Remuneratórios</w:t>
      </w:r>
      <w:r>
        <w:rPr>
          <w:rFonts w:eastAsia="Tahoma" w:cs="Tahoma"/>
          <w:b w:val="false"/>
          <w:sz w:val="24"/>
        </w:rPr>
        <w:t>. Brasília, DF: MTE, 2025. Disponível em: https://www.gov.br/trabalho-e-emprego/pt-br/noticias-e-conteudo/2025/novembro/ministerios-do-trabalho-e-das-mulheres-apresentam-4o-relatorio-de-transparencia-salarial. Acesso em: 20 ago. 2026.</w:t>
      </w:r>
    </w:p>
    <w:p>
      <w:pPr>
        <w:pStyle w:val="Normal"/>
        <w:spacing w:lineRule="auto" w:line="240" w:before="0" w:after="240"/>
        <w:ind w:hanging="0" w:left="0"/>
        <w:jc w:val="left"/>
        <w:rPr/>
      </w:pPr>
      <w:r>
        <w:rPr>
          <w:rFonts w:eastAsia="Tahoma" w:cs="Tahoma"/>
          <w:b w:val="false"/>
          <w:sz w:val="24"/>
        </w:rPr>
        <w:t xml:space="preserve">CHOO, Chun Wei. </w:t>
      </w:r>
      <w:r>
        <w:rPr>
          <w:rFonts w:eastAsia="Tahoma" w:cs="Tahoma"/>
          <w:b/>
          <w:sz w:val="24"/>
        </w:rPr>
        <w:t>A organização do conhecimento</w:t>
      </w:r>
      <w:r>
        <w:rPr>
          <w:rFonts w:eastAsia="Tahoma" w:cs="Tahoma"/>
          <w:b w:val="false"/>
          <w:sz w:val="24"/>
        </w:rPr>
        <w:t>: como as organizações usam a informação para criar significado, construir conhecimento e tomar decisões. 2. ed. São Paulo: Senac, 2006.</w:t>
      </w:r>
    </w:p>
    <w:p>
      <w:pPr>
        <w:pStyle w:val="Normal"/>
        <w:spacing w:lineRule="auto" w:line="240" w:before="0" w:after="240"/>
        <w:ind w:hanging="0" w:left="0"/>
        <w:jc w:val="left"/>
        <w:rPr/>
      </w:pPr>
      <w:r>
        <w:rPr>
          <w:rFonts w:eastAsia="Tahoma" w:cs="Tahoma"/>
          <w:b w:val="false"/>
          <w:sz w:val="24"/>
        </w:rPr>
        <w:t xml:space="preserve">CONSELHO NACIONAL DE JUSTIÇA. </w:t>
      </w:r>
      <w:r>
        <w:rPr>
          <w:rFonts w:eastAsia="Tahoma" w:cs="Tahoma"/>
          <w:b/>
          <w:sz w:val="24"/>
        </w:rPr>
        <w:t>Justiça em Números 2026</w:t>
      </w:r>
      <w:r>
        <w:rPr>
          <w:rFonts w:eastAsia="Tahoma" w:cs="Tahoma"/>
          <w:b w:val="false"/>
          <w:sz w:val="24"/>
        </w:rPr>
        <w:t>: ano-base 2025. Brasília, DF: CNJ, 2026. Disponível em: https://www.cnj.jus.br/pesquisas-judiciarias/justica-em-numeros/. Acesso em: 1 set. 2026.</w:t>
      </w:r>
    </w:p>
    <w:p>
      <w:pPr>
        <w:pStyle w:val="Normal"/>
        <w:spacing w:lineRule="auto" w:line="240" w:before="0" w:after="240"/>
        <w:ind w:hanging="0" w:left="0"/>
        <w:jc w:val="left"/>
        <w:rPr/>
      </w:pPr>
      <w:r>
        <w:rPr>
          <w:rFonts w:eastAsia="Tahoma" w:cs="Tahoma"/>
          <w:b w:val="false"/>
          <w:sz w:val="24"/>
        </w:rPr>
        <w:t xml:space="preserve">CONSELHO NACIONAL DE JUSTIÇA. </w:t>
      </w:r>
      <w:r>
        <w:rPr>
          <w:rFonts w:eastAsia="Tahoma" w:cs="Tahoma"/>
          <w:b/>
          <w:sz w:val="24"/>
        </w:rPr>
        <w:t>Painel de Iniciativas de Inteligência Artificial no Poder Judiciário</w:t>
      </w:r>
      <w:r>
        <w:rPr>
          <w:rFonts w:eastAsia="Tahoma" w:cs="Tahoma"/>
          <w:b w:val="false"/>
          <w:sz w:val="24"/>
        </w:rPr>
        <w:t>. Brasília, DF: CNJ, 2024. Disponível em: https://www.cnj.jus.br/sistemas/plataforma-sinapses/paineis-e-publicacoes/. Acesso em: 20 ago. 2026.</w:t>
      </w:r>
    </w:p>
    <w:p>
      <w:pPr>
        <w:pStyle w:val="Normal"/>
        <w:spacing w:lineRule="auto" w:line="240" w:before="0" w:after="240"/>
        <w:ind w:hanging="0" w:left="0"/>
        <w:jc w:val="left"/>
        <w:rPr/>
      </w:pPr>
      <w:r>
        <w:rPr>
          <w:rFonts w:eastAsia="Tahoma" w:cs="Tahoma"/>
          <w:b w:val="false"/>
          <w:sz w:val="24"/>
        </w:rPr>
        <w:t xml:space="preserve">CONSELHO NACIONAL DE JUSTIÇA. </w:t>
      </w:r>
      <w:r>
        <w:rPr>
          <w:rFonts w:eastAsia="Tahoma" w:cs="Tahoma"/>
          <w:b/>
          <w:sz w:val="24"/>
        </w:rPr>
        <w:t>Pesquisa Inteligência Artificial no Judiciário 2024</w:t>
      </w:r>
      <w:r>
        <w:rPr>
          <w:rFonts w:eastAsia="Tahoma" w:cs="Tahoma"/>
          <w:b w:val="false"/>
          <w:sz w:val="24"/>
        </w:rPr>
        <w:t>: resumo executivo. Brasília, DF: CNJ; PNUD, 2025. Disponível em: https://www.cnj.jus.br/sistemas/plataforma-sinapses/paineis-e-publicacoes/. Acesso em: 20 ago. 2026.</w:t>
      </w:r>
    </w:p>
    <w:p>
      <w:pPr>
        <w:pStyle w:val="Normal"/>
        <w:spacing w:lineRule="auto" w:line="240" w:before="0" w:after="240"/>
        <w:ind w:hanging="0" w:left="0"/>
        <w:jc w:val="left"/>
        <w:rPr/>
      </w:pPr>
      <w:r>
        <w:rPr>
          <w:rFonts w:eastAsia="Tahoma" w:cs="Tahoma"/>
          <w:b w:val="false"/>
          <w:sz w:val="24"/>
        </w:rPr>
        <w:t xml:space="preserve">CONSELHO NACIONAL DE JUSTIÇA. </w:t>
      </w:r>
      <w:r>
        <w:rPr>
          <w:rFonts w:eastAsia="Tahoma" w:cs="Tahoma"/>
          <w:b/>
          <w:sz w:val="24"/>
        </w:rPr>
        <w:t>Programa Conecta</w:t>
      </w:r>
      <w:r>
        <w:rPr>
          <w:rFonts w:eastAsia="Tahoma" w:cs="Tahoma"/>
          <w:b w:val="false"/>
          <w:sz w:val="24"/>
        </w:rPr>
        <w:t>: incubadora de soluções tecnológicas do Poder Judiciário. Brasília, DF: CNJ, 2026. Disponível em: https://www.cnj.jus.br/tecnologia-da-informacao-e-comunicacao/justica-4-0/conheca-o-conecta/. Acesso em: 20 abr. 2026.</w:t>
      </w:r>
    </w:p>
    <w:p>
      <w:pPr>
        <w:pStyle w:val="Normal"/>
        <w:spacing w:lineRule="auto" w:line="240" w:before="0" w:after="240"/>
        <w:ind w:hanging="0" w:left="0"/>
        <w:jc w:val="left"/>
        <w:rPr/>
      </w:pPr>
      <w:r>
        <w:rPr>
          <w:rFonts w:eastAsia="Tahoma" w:cs="Tahoma"/>
          <w:b w:val="false"/>
          <w:sz w:val="24"/>
        </w:rPr>
        <w:t xml:space="preserve">CONSELHO NACIONAL DE JUSTIÇA. </w:t>
      </w:r>
      <w:r>
        <w:rPr>
          <w:rFonts w:eastAsia="Tahoma" w:cs="Tahoma"/>
          <w:b/>
          <w:sz w:val="24"/>
        </w:rPr>
        <w:t>Resolução n. 615, de 11 de março de 2025</w:t>
      </w:r>
      <w:r>
        <w:rPr>
          <w:rFonts w:eastAsia="Tahoma" w:cs="Tahoma"/>
          <w:b w:val="false"/>
          <w:sz w:val="24"/>
        </w:rPr>
        <w:t>. Estabelece diretrizes para o desenvolvimento, utilização e governança de soluções desenvolvidas com recursos de inteligência artificial no Poder Judiciário. Brasília, DF: CNJ, 2025. Disponível em: https://atos.cnj.jus.br/atos/detalhar/6001. Acesso em: 20 ago. 2026.</w:t>
      </w:r>
    </w:p>
    <w:p>
      <w:pPr>
        <w:pStyle w:val="Normal"/>
        <w:spacing w:lineRule="auto" w:line="240" w:before="0" w:after="240"/>
        <w:ind w:hanging="0" w:left="0"/>
        <w:jc w:val="left"/>
        <w:rPr/>
      </w:pPr>
      <w:r>
        <w:rPr>
          <w:rFonts w:eastAsia="Tahoma" w:cs="Tahoma"/>
          <w:b w:val="false"/>
          <w:sz w:val="24"/>
        </w:rPr>
        <w:t xml:space="preserve">CONSELHO SUPERIOR DA JUSTIÇA DO TRABALHO. </w:t>
      </w:r>
      <w:r>
        <w:rPr>
          <w:rFonts w:eastAsia="Tahoma" w:cs="Tahoma"/>
          <w:b/>
          <w:sz w:val="24"/>
        </w:rPr>
        <w:t>Chat-JT</w:t>
      </w:r>
      <w:r>
        <w:rPr>
          <w:rFonts w:eastAsia="Tahoma" w:cs="Tahoma"/>
          <w:b w:val="false"/>
          <w:sz w:val="24"/>
        </w:rPr>
        <w:t>: Justiça do Trabalho lança inteligência artificial. Brasília, DF: CSJT, 4 fev. 2025. Disponível em: https://www.csjt.jus.br/web/csjt/-/chat-jt-justi%C3%A7a-do-trabalho-lan%C3%A7a-intelig%C3%AAncia-artificial-para-auxiliar-profissionais-da-institui%C3%A7%C3%A3o. Acesso em: 20 ago. 2026.</w:t>
      </w:r>
    </w:p>
    <w:p>
      <w:pPr>
        <w:pStyle w:val="Normal"/>
        <w:spacing w:lineRule="auto" w:line="240" w:before="0" w:after="240"/>
        <w:ind w:hanging="0" w:left="0"/>
        <w:jc w:val="left"/>
        <w:rPr/>
      </w:pPr>
      <w:r>
        <w:rPr>
          <w:rFonts w:eastAsia="Tahoma" w:cs="Tahoma"/>
          <w:b w:val="false"/>
          <w:sz w:val="24"/>
        </w:rPr>
        <w:t xml:space="preserve">DAMA INTERNATIONAL. </w:t>
      </w:r>
      <w:r>
        <w:rPr>
          <w:rFonts w:eastAsia="Tahoma" w:cs="Tahoma"/>
          <w:b/>
          <w:sz w:val="24"/>
        </w:rPr>
        <w:t>DAMA-DMBOK</w:t>
      </w:r>
      <w:r>
        <w:rPr>
          <w:rFonts w:eastAsia="Tahoma" w:cs="Tahoma"/>
          <w:b w:val="false"/>
          <w:sz w:val="24"/>
        </w:rPr>
        <w:t>: data management body of knowledge. 2. ed. Basking Ridge: Technics Publications, 2017.</w:t>
      </w:r>
    </w:p>
    <w:p>
      <w:pPr>
        <w:pStyle w:val="Normal"/>
        <w:spacing w:lineRule="auto" w:line="240" w:before="0" w:after="240"/>
        <w:ind w:hanging="0" w:left="0"/>
        <w:jc w:val="left"/>
        <w:rPr/>
      </w:pPr>
      <w:r>
        <w:rPr>
          <w:rFonts w:eastAsia="Tahoma" w:cs="Tahoma"/>
          <w:b w:val="false"/>
          <w:sz w:val="24"/>
        </w:rPr>
        <w:t xml:space="preserve">DANZIGER, Shai; LEVAV, Jonathan; AVNAIM-PESSO, Liora. Extraneous factors in judicial decisions. </w:t>
      </w:r>
      <w:r>
        <w:rPr>
          <w:rFonts w:eastAsia="Tahoma" w:cs="Tahoma"/>
          <w:b/>
          <w:sz w:val="24"/>
        </w:rPr>
        <w:t>Proceedings of the National Academy of Sciences</w:t>
      </w:r>
      <w:r>
        <w:rPr>
          <w:rFonts w:eastAsia="Tahoma" w:cs="Tahoma"/>
          <w:b w:val="false"/>
          <w:sz w:val="24"/>
        </w:rPr>
        <w:t>, Washington, DC, v. 108, n. 17, p. 6889-6892, abr. 2011. DOI: 10.1073/pnas.1018033108.</w:t>
      </w:r>
    </w:p>
    <w:p>
      <w:pPr>
        <w:pStyle w:val="Normal"/>
        <w:spacing w:lineRule="auto" w:line="240" w:before="0" w:after="240"/>
        <w:ind w:hanging="0" w:left="0"/>
        <w:jc w:val="left"/>
        <w:rPr/>
      </w:pPr>
      <w:r>
        <w:rPr>
          <w:rFonts w:eastAsia="Tahoma" w:cs="Tahoma"/>
          <w:b w:val="false"/>
          <w:sz w:val="24"/>
        </w:rPr>
        <w:t xml:space="preserve">EUBANKS, Virginia. </w:t>
      </w:r>
      <w:r>
        <w:rPr>
          <w:rFonts w:eastAsia="Tahoma" w:cs="Tahoma"/>
          <w:b/>
          <w:sz w:val="24"/>
        </w:rPr>
        <w:t>Automating Inequality</w:t>
      </w:r>
      <w:r>
        <w:rPr>
          <w:rFonts w:eastAsia="Tahoma" w:cs="Tahoma"/>
          <w:b w:val="false"/>
          <w:sz w:val="24"/>
        </w:rPr>
        <w:t>: how high-tech tools profile, police, and punish the poor. Nova Iorque: St. Martin's Press, 2018.</w:t>
      </w:r>
    </w:p>
    <w:p>
      <w:pPr>
        <w:pStyle w:val="Normal"/>
        <w:spacing w:lineRule="auto" w:line="240" w:before="0" w:after="240"/>
        <w:ind w:hanging="0" w:left="0"/>
        <w:jc w:val="left"/>
        <w:rPr/>
      </w:pPr>
      <w:r>
        <w:rPr>
          <w:rFonts w:eastAsia="Tahoma" w:cs="Tahoma"/>
          <w:b w:val="false"/>
          <w:sz w:val="24"/>
        </w:rPr>
        <w:t xml:space="preserve">FLORIDI, Luciano et al. AI4People: an ethical framework for a good AI society. </w:t>
      </w:r>
      <w:r>
        <w:rPr>
          <w:rFonts w:eastAsia="Tahoma" w:cs="Tahoma"/>
          <w:b/>
          <w:sz w:val="24"/>
        </w:rPr>
        <w:t>Minds and Machines</w:t>
      </w:r>
      <w:r>
        <w:rPr>
          <w:rFonts w:eastAsia="Tahoma" w:cs="Tahoma"/>
          <w:b w:val="false"/>
          <w:sz w:val="24"/>
        </w:rPr>
        <w:t>, Dordrecht, v. 28, n. 4, p. 689-707, dez. 2018. DOI: 10.1007/s11023-018-9482-5.</w:t>
      </w:r>
    </w:p>
    <w:p>
      <w:pPr>
        <w:pStyle w:val="Normal"/>
        <w:spacing w:lineRule="auto" w:line="240" w:before="0" w:after="240"/>
        <w:ind w:hanging="0" w:left="0"/>
        <w:jc w:val="left"/>
        <w:rPr/>
      </w:pPr>
      <w:r>
        <w:rPr>
          <w:rFonts w:eastAsia="Tahoma" w:cs="Tahoma"/>
          <w:b w:val="false"/>
          <w:sz w:val="24"/>
        </w:rPr>
        <w:t xml:space="preserve">GUTHRIE, Chris; RACHLINSKI, Jeffrey J.; WISTRICH, Andrew J. Blinking on the bench: how judges decide cases. </w:t>
      </w:r>
      <w:r>
        <w:rPr>
          <w:rFonts w:eastAsia="Tahoma" w:cs="Tahoma"/>
          <w:b/>
          <w:sz w:val="24"/>
        </w:rPr>
        <w:t>Cornell Law Review</w:t>
      </w:r>
      <w:r>
        <w:rPr>
          <w:rFonts w:eastAsia="Tahoma" w:cs="Tahoma"/>
          <w:b w:val="false"/>
          <w:sz w:val="24"/>
        </w:rPr>
        <w:t>, Ithaca, v. 93, n. 1, p. 1-43, nov. 2007.</w:t>
      </w:r>
    </w:p>
    <w:p>
      <w:pPr>
        <w:pStyle w:val="Normal"/>
        <w:spacing w:lineRule="auto" w:line="240" w:before="0" w:after="240"/>
        <w:ind w:hanging="0" w:left="0"/>
        <w:jc w:val="left"/>
        <w:rPr/>
      </w:pPr>
      <w:r>
        <w:rPr>
          <w:rFonts w:eastAsia="Tahoma" w:cs="Tahoma"/>
          <w:b w:val="false"/>
          <w:sz w:val="24"/>
        </w:rPr>
        <w:t xml:space="preserve">KAHNEMAN, Daniel. </w:t>
      </w:r>
      <w:r>
        <w:rPr>
          <w:rFonts w:eastAsia="Tahoma" w:cs="Tahoma"/>
          <w:b/>
          <w:sz w:val="24"/>
        </w:rPr>
        <w:t>Thinking, Fast and Slow</w:t>
      </w:r>
      <w:r>
        <w:rPr>
          <w:rFonts w:eastAsia="Tahoma" w:cs="Tahoma"/>
          <w:b w:val="false"/>
          <w:sz w:val="24"/>
        </w:rPr>
        <w:t>. Nova Iorque: Farrar, Straus and Giroux, 2011.</w:t>
      </w:r>
    </w:p>
    <w:p>
      <w:pPr>
        <w:pStyle w:val="Normal"/>
        <w:spacing w:lineRule="auto" w:line="240" w:before="0" w:after="240"/>
        <w:ind w:hanging="0" w:left="0"/>
        <w:jc w:val="left"/>
        <w:rPr/>
      </w:pPr>
      <w:r>
        <w:rPr>
          <w:rFonts w:eastAsia="Tahoma" w:cs="Tahoma"/>
          <w:b w:val="false"/>
          <w:sz w:val="24"/>
        </w:rPr>
        <w:t xml:space="preserve">LEE, Kai-Fu. </w:t>
      </w:r>
      <w:r>
        <w:rPr>
          <w:rFonts w:eastAsia="Tahoma" w:cs="Tahoma"/>
          <w:b/>
          <w:sz w:val="24"/>
        </w:rPr>
        <w:t>Inteligência artificial</w:t>
      </w:r>
      <w:r>
        <w:rPr>
          <w:rFonts w:eastAsia="Tahoma" w:cs="Tahoma"/>
          <w:b w:val="false"/>
          <w:sz w:val="24"/>
        </w:rPr>
        <w:t>: como os robôs estão mudando o mundo, a forma como amamos, nos relacionamos, trabalhamos e vivemos. Rio de Janeiro: Globo Livros, 2019.</w:t>
      </w:r>
    </w:p>
    <w:p>
      <w:pPr>
        <w:pStyle w:val="Normal"/>
        <w:spacing w:lineRule="auto" w:line="240" w:before="0" w:after="240"/>
        <w:ind w:hanging="0" w:left="0"/>
        <w:jc w:val="left"/>
        <w:rPr/>
      </w:pPr>
      <w:r>
        <w:rPr>
          <w:rFonts w:eastAsia="Tahoma" w:cs="Tahoma"/>
          <w:b w:val="false"/>
          <w:sz w:val="24"/>
        </w:rPr>
        <w:t xml:space="preserve">LEWIS, Patrick et al. Retrieval-augmented generation for knowledge-intensive NLP tasks. </w:t>
      </w:r>
      <w:r>
        <w:rPr>
          <w:rFonts w:eastAsia="Tahoma" w:cs="Tahoma"/>
          <w:b/>
          <w:sz w:val="24"/>
        </w:rPr>
        <w:t>Advances in Neural Information Processing Systems</w:t>
      </w:r>
      <w:r>
        <w:rPr>
          <w:rFonts w:eastAsia="Tahoma" w:cs="Tahoma"/>
          <w:b w:val="false"/>
          <w:sz w:val="24"/>
        </w:rPr>
        <w:t>, v. 33, p. 9459-9474, 2020. Disponível em: https://arxiv.org/abs/2005.11401. Acesso em: 20 ago. 2026.</w:t>
      </w:r>
    </w:p>
    <w:p>
      <w:pPr>
        <w:pStyle w:val="Normal"/>
        <w:spacing w:lineRule="auto" w:line="240" w:before="0" w:after="240"/>
        <w:ind w:hanging="0" w:left="0"/>
        <w:jc w:val="left"/>
        <w:rPr/>
      </w:pPr>
      <w:r>
        <w:rPr>
          <w:rFonts w:eastAsia="Tahoma" w:cs="Tahoma"/>
          <w:b w:val="false"/>
          <w:sz w:val="24"/>
        </w:rPr>
        <w:t xml:space="preserve">MELLO, Eric Lopes. Inovação tecnológica e sua efetividade na justiça. </w:t>
      </w:r>
      <w:r>
        <w:rPr>
          <w:rFonts w:eastAsia="Tahoma" w:cs="Tahoma"/>
          <w:b/>
          <w:sz w:val="24"/>
        </w:rPr>
        <w:t>Revista do Tribunal Regional do Trabalho da 2ª Região</w:t>
      </w:r>
      <w:r>
        <w:rPr>
          <w:rFonts w:eastAsia="Tahoma" w:cs="Tahoma"/>
          <w:b w:val="false"/>
          <w:sz w:val="24"/>
        </w:rPr>
        <w:t>, São Paulo, v. 14, n. 28, p. 135-140, 2022.</w:t>
      </w:r>
    </w:p>
    <w:p>
      <w:pPr>
        <w:pStyle w:val="Normal"/>
        <w:spacing w:lineRule="auto" w:line="240" w:before="0" w:after="240"/>
        <w:ind w:hanging="0" w:left="0"/>
        <w:jc w:val="left"/>
        <w:rPr/>
      </w:pPr>
      <w:r>
        <w:rPr>
          <w:rFonts w:eastAsia="Tahoma" w:cs="Tahoma"/>
          <w:b w:val="false"/>
          <w:sz w:val="24"/>
        </w:rPr>
        <w:t xml:space="preserve">MINTZBERG, Henry. </w:t>
      </w:r>
      <w:r>
        <w:rPr>
          <w:rFonts w:eastAsia="Tahoma" w:cs="Tahoma"/>
          <w:b/>
          <w:sz w:val="24"/>
        </w:rPr>
        <w:t>Criando organizações eficazes</w:t>
      </w:r>
      <w:r>
        <w:rPr>
          <w:rFonts w:eastAsia="Tahoma" w:cs="Tahoma"/>
          <w:b w:val="false"/>
          <w:sz w:val="24"/>
        </w:rPr>
        <w:t>: estruturas em cinco configurações. 2. ed. São Paulo: Atlas, 2003.</w:t>
      </w:r>
    </w:p>
    <w:p>
      <w:pPr>
        <w:pStyle w:val="Normal"/>
        <w:spacing w:lineRule="auto" w:line="240" w:before="0" w:after="240"/>
        <w:ind w:hanging="0" w:left="0"/>
        <w:jc w:val="left"/>
        <w:rPr/>
      </w:pPr>
      <w:r>
        <w:rPr>
          <w:rFonts w:eastAsia="Tahoma" w:cs="Tahoma"/>
          <w:b w:val="false"/>
          <w:sz w:val="24"/>
        </w:rPr>
        <w:t xml:space="preserve">NATIONAL INSTITUTE OF STANDARDS AND TECHNOLOGY. </w:t>
      </w:r>
      <w:r>
        <w:rPr>
          <w:rFonts w:eastAsia="Tahoma" w:cs="Tahoma"/>
          <w:b/>
          <w:sz w:val="24"/>
        </w:rPr>
        <w:t>Artificial Intelligence Risk Management Framework</w:t>
      </w:r>
      <w:r>
        <w:rPr>
          <w:rFonts w:eastAsia="Tahoma" w:cs="Tahoma"/>
          <w:b w:val="false"/>
          <w:sz w:val="24"/>
        </w:rPr>
        <w:t>: AI RMF 1.0. Gaithersburg: NIST, 2023.</w:t>
      </w:r>
    </w:p>
    <w:p>
      <w:pPr>
        <w:pStyle w:val="Normal"/>
        <w:spacing w:lineRule="auto" w:line="240" w:before="0" w:after="240"/>
        <w:ind w:hanging="0" w:left="0"/>
        <w:jc w:val="left"/>
        <w:rPr/>
      </w:pPr>
      <w:r>
        <w:rPr>
          <w:rFonts w:eastAsia="Tahoma" w:cs="Tahoma"/>
          <w:b w:val="false"/>
          <w:sz w:val="24"/>
        </w:rPr>
        <w:t xml:space="preserve">NONAKA, Ikujiro; TAKEUCHI, Hirotaka. </w:t>
      </w:r>
      <w:r>
        <w:rPr>
          <w:rFonts w:eastAsia="Tahoma" w:cs="Tahoma"/>
          <w:b/>
          <w:sz w:val="24"/>
        </w:rPr>
        <w:t>Criação de conhecimento na empresa</w:t>
      </w:r>
      <w:r>
        <w:rPr>
          <w:rFonts w:eastAsia="Tahoma" w:cs="Tahoma"/>
          <w:b w:val="false"/>
          <w:sz w:val="24"/>
        </w:rPr>
        <w:t>: como as empresas japonesas geram a dinâmica da inovação. Rio de Janeiro: Campus, 1997.</w:t>
      </w:r>
    </w:p>
    <w:p>
      <w:pPr>
        <w:pStyle w:val="Normal"/>
        <w:spacing w:lineRule="auto" w:line="240" w:before="0" w:after="240"/>
        <w:ind w:hanging="0" w:left="0"/>
        <w:jc w:val="left"/>
        <w:rPr/>
      </w:pPr>
      <w:r>
        <w:rPr>
          <w:rFonts w:eastAsia="Tahoma" w:cs="Tahoma"/>
          <w:b w:val="false"/>
          <w:sz w:val="24"/>
        </w:rPr>
        <w:t xml:space="preserve">O'NEIL, Cathy. </w:t>
      </w:r>
      <w:r>
        <w:rPr>
          <w:rFonts w:eastAsia="Tahoma" w:cs="Tahoma"/>
          <w:b/>
          <w:sz w:val="24"/>
        </w:rPr>
        <w:t>Weapons of Math Destruction</w:t>
      </w:r>
      <w:r>
        <w:rPr>
          <w:rFonts w:eastAsia="Tahoma" w:cs="Tahoma"/>
          <w:b w:val="false"/>
          <w:sz w:val="24"/>
        </w:rPr>
        <w:t>: how big data increases inequality and threatens democracy. Nova Iorque: Crown, 2016.</w:t>
      </w:r>
    </w:p>
    <w:p>
      <w:pPr>
        <w:pStyle w:val="Normal"/>
        <w:spacing w:lineRule="auto" w:line="240" w:before="0" w:after="240"/>
        <w:ind w:hanging="0" w:left="0"/>
        <w:jc w:val="left"/>
        <w:rPr/>
      </w:pPr>
      <w:r>
        <w:rPr>
          <w:rFonts w:eastAsia="Tahoma" w:cs="Tahoma"/>
          <w:b w:val="false"/>
          <w:sz w:val="24"/>
        </w:rPr>
        <w:t xml:space="preserve">PARASURAMAN, Raja; MANZEY, Dietrich H. Complacency and bias in human use of automation: an attentional integration. </w:t>
      </w:r>
      <w:r>
        <w:rPr>
          <w:rFonts w:eastAsia="Tahoma" w:cs="Tahoma"/>
          <w:b/>
          <w:sz w:val="24"/>
        </w:rPr>
        <w:t>Human Factors</w:t>
      </w:r>
      <w:r>
        <w:rPr>
          <w:rFonts w:eastAsia="Tahoma" w:cs="Tahoma"/>
          <w:b w:val="false"/>
          <w:sz w:val="24"/>
        </w:rPr>
        <w:t>, Thousand Oaks, v. 52, n. 3, p. 381-410, jun. 2010. DOI: 10.1177/0018720810376055.</w:t>
      </w:r>
    </w:p>
    <w:p>
      <w:pPr>
        <w:pStyle w:val="Normal"/>
        <w:spacing w:lineRule="auto" w:line="240" w:before="0" w:after="240"/>
        <w:ind w:hanging="0" w:left="0"/>
        <w:jc w:val="left"/>
        <w:rPr/>
      </w:pPr>
      <w:r>
        <w:rPr>
          <w:rFonts w:eastAsia="Tahoma" w:cs="Tahoma"/>
          <w:b w:val="false"/>
          <w:sz w:val="24"/>
        </w:rPr>
        <w:t xml:space="preserve">POLANYI, Michael. </w:t>
      </w:r>
      <w:r>
        <w:rPr>
          <w:rFonts w:eastAsia="Tahoma" w:cs="Tahoma"/>
          <w:b/>
          <w:sz w:val="24"/>
        </w:rPr>
        <w:t>The Tacit Dimension</w:t>
      </w:r>
      <w:r>
        <w:rPr>
          <w:rFonts w:eastAsia="Tahoma" w:cs="Tahoma"/>
          <w:b w:val="false"/>
          <w:sz w:val="24"/>
        </w:rPr>
        <w:t>. Chicago: University of Chicago Press, 1966.</w:t>
      </w:r>
    </w:p>
    <w:p>
      <w:pPr>
        <w:pStyle w:val="Normal"/>
        <w:spacing w:lineRule="auto" w:line="240" w:before="0" w:after="240"/>
        <w:ind w:hanging="0" w:left="0"/>
        <w:jc w:val="left"/>
        <w:rPr/>
      </w:pPr>
      <w:r>
        <w:rPr>
          <w:rFonts w:eastAsia="Tahoma" w:cs="Tahoma"/>
          <w:b w:val="false"/>
          <w:sz w:val="24"/>
        </w:rPr>
        <w:t xml:space="preserve">ROSS, Jeanne W.; WEILL, Peter; ROBERTSON, David C. </w:t>
      </w:r>
      <w:r>
        <w:rPr>
          <w:rFonts w:eastAsia="Tahoma" w:cs="Tahoma"/>
          <w:b/>
          <w:sz w:val="24"/>
        </w:rPr>
        <w:t>Arquitetura de TI como estratégia empresarial</w:t>
      </w:r>
      <w:r>
        <w:rPr>
          <w:rFonts w:eastAsia="Tahoma" w:cs="Tahoma"/>
          <w:b w:val="false"/>
          <w:sz w:val="24"/>
        </w:rPr>
        <w:t>. São Paulo: M.Books, 2008.</w:t>
      </w:r>
    </w:p>
    <w:p>
      <w:pPr>
        <w:pStyle w:val="Normal"/>
        <w:spacing w:lineRule="auto" w:line="240" w:before="0" w:after="240"/>
        <w:ind w:hanging="0" w:left="0"/>
        <w:jc w:val="left"/>
        <w:rPr/>
      </w:pPr>
      <w:r>
        <w:rPr>
          <w:rFonts w:eastAsia="Tahoma" w:cs="Tahoma"/>
          <w:b w:val="false"/>
          <w:sz w:val="24"/>
        </w:rPr>
        <w:t xml:space="preserve">SHNEIDERMAN, Ben. </w:t>
      </w:r>
      <w:r>
        <w:rPr>
          <w:rFonts w:eastAsia="Tahoma" w:cs="Tahoma"/>
          <w:b/>
          <w:sz w:val="24"/>
        </w:rPr>
        <w:t>Human-Centered AI</w:t>
      </w:r>
      <w:r>
        <w:rPr>
          <w:rFonts w:eastAsia="Tahoma" w:cs="Tahoma"/>
          <w:b w:val="false"/>
          <w:sz w:val="24"/>
        </w:rPr>
        <w:t>. Oxford: Oxford University Press, 2022.</w:t>
      </w:r>
    </w:p>
    <w:p>
      <w:pPr>
        <w:pStyle w:val="Normal"/>
        <w:spacing w:lineRule="auto" w:line="240" w:before="0" w:after="240"/>
        <w:ind w:hanging="0" w:left="0"/>
        <w:jc w:val="left"/>
        <w:rPr/>
      </w:pPr>
      <w:r>
        <w:rPr>
          <w:rFonts w:eastAsia="Tahoma" w:cs="Tahoma"/>
          <w:b w:val="false"/>
          <w:sz w:val="24"/>
        </w:rPr>
        <w:t xml:space="preserve">SILIC, Mario; BACK, Andrea. Shadow IT: a view from behind the curtain. </w:t>
      </w:r>
      <w:r>
        <w:rPr>
          <w:rFonts w:eastAsia="Tahoma" w:cs="Tahoma"/>
          <w:b/>
          <w:sz w:val="24"/>
        </w:rPr>
        <w:t>Computers &amp; Security</w:t>
      </w:r>
      <w:r>
        <w:rPr>
          <w:rFonts w:eastAsia="Tahoma" w:cs="Tahoma"/>
          <w:b w:val="false"/>
          <w:sz w:val="24"/>
        </w:rPr>
        <w:t>, v. 45, p. 274-283, 2014.</w:t>
      </w:r>
    </w:p>
    <w:p>
      <w:pPr>
        <w:pStyle w:val="Normal"/>
        <w:spacing w:lineRule="auto" w:line="240" w:before="0" w:after="240"/>
        <w:ind w:hanging="0" w:left="0"/>
        <w:jc w:val="left"/>
        <w:rPr/>
      </w:pPr>
      <w:r>
        <w:rPr>
          <w:rFonts w:eastAsia="Tahoma" w:cs="Tahoma"/>
          <w:b w:val="false"/>
          <w:sz w:val="24"/>
        </w:rPr>
        <w:t xml:space="preserve">SILIC, Mario; SILIC, Dario; KIND-TRÜLLER, Kathrin. From Shadow IT to Shadow AI: threats, risks and opportunities for organizations. </w:t>
      </w:r>
      <w:r>
        <w:rPr>
          <w:rFonts w:eastAsia="Tahoma" w:cs="Tahoma"/>
          <w:b/>
          <w:sz w:val="24"/>
        </w:rPr>
        <w:t>Strategic Change</w:t>
      </w:r>
      <w:r>
        <w:rPr>
          <w:rFonts w:eastAsia="Tahoma" w:cs="Tahoma"/>
          <w:b w:val="false"/>
          <w:sz w:val="24"/>
        </w:rPr>
        <w:t>, p. 1-16, 2025.</w:t>
      </w:r>
    </w:p>
    <w:p>
      <w:pPr>
        <w:pStyle w:val="Normal"/>
        <w:spacing w:lineRule="auto" w:line="240" w:before="0" w:after="240"/>
        <w:ind w:hanging="0" w:left="0"/>
        <w:jc w:val="left"/>
        <w:rPr/>
      </w:pPr>
      <w:r>
        <w:rPr>
          <w:rFonts w:eastAsia="Tahoma" w:cs="Tahoma"/>
          <w:b w:val="false"/>
          <w:sz w:val="24"/>
        </w:rPr>
        <w:t xml:space="preserve">SIMON, Herbert A. </w:t>
      </w:r>
      <w:r>
        <w:rPr>
          <w:rFonts w:eastAsia="Tahoma" w:cs="Tahoma"/>
          <w:b/>
          <w:sz w:val="24"/>
        </w:rPr>
        <w:t>Administrative Behavior</w:t>
      </w:r>
      <w:r>
        <w:rPr>
          <w:rFonts w:eastAsia="Tahoma" w:cs="Tahoma"/>
          <w:b w:val="false"/>
          <w:sz w:val="24"/>
        </w:rPr>
        <w:t>: a study of decision-making processes in administrative organizations. 4. ed. Nova Iorque: Free Press, 1997.</w:t>
      </w:r>
    </w:p>
    <w:p>
      <w:pPr>
        <w:pStyle w:val="Normal"/>
        <w:spacing w:lineRule="auto" w:line="240" w:before="0" w:after="240"/>
        <w:ind w:hanging="0" w:left="0"/>
        <w:jc w:val="left"/>
        <w:rPr/>
      </w:pPr>
      <w:r>
        <w:rPr>
          <w:rFonts w:eastAsia="Tahoma" w:cs="Tahoma"/>
          <w:b w:val="false"/>
          <w:sz w:val="24"/>
        </w:rPr>
        <w:t xml:space="preserve">UNIÃO EUROPEIA. </w:t>
      </w:r>
      <w:r>
        <w:rPr>
          <w:rFonts w:eastAsia="Tahoma" w:cs="Tahoma"/>
          <w:b/>
          <w:sz w:val="24"/>
        </w:rPr>
        <w:t>Regulamento (UE) 2024/1689 do Parlamento Europeu e do Conselho, de 13 de junho de 2024</w:t>
      </w:r>
      <w:r>
        <w:rPr>
          <w:rFonts w:eastAsia="Tahoma" w:cs="Tahoma"/>
          <w:b w:val="false"/>
          <w:sz w:val="24"/>
        </w:rPr>
        <w:t>. Estabelece regras harmonizadas em matéria de inteligência artificial. Jornal Oficial da União Europeia, 12 jul. 2024.</w:t>
      </w:r>
    </w:p>
    <w:p>
      <w:pPr>
        <w:pStyle w:val="Normal"/>
        <w:spacing w:lineRule="auto" w:line="240" w:before="0" w:after="240"/>
        <w:ind w:hanging="0" w:left="0"/>
        <w:jc w:val="left"/>
        <w:rPr/>
      </w:pPr>
      <w:r>
        <w:rPr>
          <w:rFonts w:eastAsia="Tahoma" w:cs="Tahoma"/>
          <w:b w:val="false"/>
          <w:sz w:val="24"/>
        </w:rPr>
        <w:t xml:space="preserve">VALIM, Rafael. </w:t>
      </w:r>
      <w:r>
        <w:rPr>
          <w:rFonts w:eastAsia="Tahoma" w:cs="Tahoma"/>
          <w:b/>
          <w:sz w:val="24"/>
        </w:rPr>
        <w:t>Estado de exceção</w:t>
      </w:r>
      <w:r>
        <w:rPr>
          <w:rFonts w:eastAsia="Tahoma" w:cs="Tahoma"/>
          <w:b w:val="false"/>
          <w:sz w:val="24"/>
        </w:rPr>
        <w:t>: a forma jurídica do neoliberalismo. São Paulo: Contracorrente, 2021.</w:t>
      </w:r>
    </w:p>
    <w:p>
      <w:pPr>
        <w:pStyle w:val="Normal"/>
        <w:spacing w:lineRule="auto" w:line="240" w:before="0" w:after="240"/>
        <w:ind w:hanging="0" w:left="0"/>
        <w:jc w:val="left"/>
        <w:rPr/>
      </w:pPr>
      <w:r>
        <w:rPr>
          <w:rFonts w:eastAsia="Tahoma" w:cs="Tahoma"/>
          <w:b w:val="false"/>
          <w:sz w:val="24"/>
        </w:rPr>
        <w:t xml:space="preserve">WEBER, Max. </w:t>
      </w:r>
      <w:r>
        <w:rPr>
          <w:rFonts w:eastAsia="Tahoma" w:cs="Tahoma"/>
          <w:b/>
          <w:sz w:val="24"/>
        </w:rPr>
        <w:t>Ensaios de Sociologia</w:t>
      </w:r>
      <w:r>
        <w:rPr>
          <w:rFonts w:eastAsia="Tahoma" w:cs="Tahoma"/>
          <w:b w:val="false"/>
          <w:sz w:val="24"/>
        </w:rPr>
        <w:t>. 5. ed. Rio de Janeiro: LTC, 1982.</w:t>
      </w:r>
    </w:p>
    <w:p>
      <w:pPr>
        <w:pStyle w:val="Normal"/>
        <w:spacing w:lineRule="auto" w:line="240" w:before="40" w:after="0"/>
        <w:ind w:hanging="0"/>
        <w:jc w:val="both"/>
        <w:rPr>
          <w:rFonts w:eastAsia="Tahoma" w:cs="Tahoma"/>
          <w:b/>
          <w:bCs/>
          <w:sz w:val="24"/>
          <w:szCs w:val="22"/>
          <w:shd w:fill="auto" w:val="clear"/>
        </w:rPr>
      </w:pPr>
      <w:r>
        <w:rPr/>
      </w:r>
    </w:p>
    <w:p>
      <w:pPr>
        <w:pStyle w:val="Normal"/>
        <w:spacing w:lineRule="auto" w:line="240" w:before="40" w:after="0"/>
        <w:ind w:hanging="0"/>
        <w:jc w:val="both"/>
        <w:rPr/>
      </w:pPr>
      <w:r>
        <w:rPr>
          <w:rFonts w:eastAsia="Tahoma" w:cs="Tahoma"/>
          <w:b/>
          <w:bCs/>
          <w:sz w:val="24"/>
          <w:szCs w:val="22"/>
          <w:shd w:fill="auto" w:val="clear"/>
        </w:rPr>
        <w:t>DECLARAÇÃO DE DISPONIBILIDADE DE DADOS DA PESQUISA</w:t>
      </w:r>
    </w:p>
    <w:p>
      <w:pPr>
        <w:pStyle w:val="Normal"/>
        <w:spacing w:lineRule="auto" w:line="240" w:before="40" w:after="0"/>
        <w:ind w:hanging="0"/>
        <w:jc w:val="both"/>
        <w:rPr/>
      </w:pPr>
      <w:r>
        <w:rPr>
          <w:rFonts w:eastAsia="Tahoma" w:cs="Tahoma"/>
          <w:sz w:val="24"/>
          <w:szCs w:val="22"/>
          <w:shd w:fill="auto" w:val="clear"/>
        </w:rPr>
        <w:t>Todo o conjunto de dados de apoio aos resultados deste estudo foi publicado no próprio artigo.</w:t>
      </w:r>
    </w:p>
    <w:p>
      <w:pPr>
        <w:pStyle w:val="Normal"/>
        <w:spacing w:lineRule="auto" w:line="240" w:before="40" w:after="0"/>
        <w:ind w:hanging="0"/>
        <w:jc w:val="both"/>
        <w:rPr/>
      </w:pPr>
      <w:r>
        <w:rPr>
          <w:rFonts w:eastAsia="Tahoma" w:cs="Tahoma"/>
          <w:b/>
          <w:bCs/>
          <w:sz w:val="24"/>
          <w:szCs w:val="22"/>
          <w:shd w:fill="auto" w:val="clear"/>
        </w:rPr>
        <w:t>FINANCIAMENTO</w:t>
      </w:r>
    </w:p>
    <w:p>
      <w:pPr>
        <w:pStyle w:val="Normal"/>
        <w:spacing w:lineRule="auto" w:line="240" w:before="40" w:after="0"/>
        <w:ind w:hanging="0"/>
        <w:jc w:val="both"/>
        <w:rPr/>
      </w:pPr>
      <w:r>
        <w:rPr>
          <w:rFonts w:eastAsia="Tahoma" w:cs="Tahoma"/>
          <w:sz w:val="24"/>
          <w:szCs w:val="22"/>
          <w:shd w:fill="auto" w:val="clear"/>
        </w:rPr>
        <w:t>Esta pesquisa não recebeu nenhuma subvenção específica de qualquer agência de financiamento dos setores público, privado ou sem fins lucrativos.</w:t>
      </w:r>
    </w:p>
    <w:p>
      <w:pPr>
        <w:pStyle w:val="Normal"/>
        <w:spacing w:lineRule="auto" w:line="240" w:before="40" w:after="0"/>
        <w:ind w:hanging="0"/>
        <w:jc w:val="both"/>
        <w:rPr/>
      </w:pPr>
      <w:r>
        <w:rPr>
          <w:rFonts w:eastAsia="Tahoma" w:cs="Tahoma"/>
          <w:b/>
          <w:bCs/>
          <w:sz w:val="24"/>
          <w:szCs w:val="22"/>
          <w:shd w:fill="auto" w:val="clear"/>
        </w:rPr>
        <w:t>CONTRIBUIÇÃO DO(A) AUTOR(A)</w:t>
      </w:r>
    </w:p>
    <w:p>
      <w:pPr>
        <w:pStyle w:val="Normal"/>
        <w:spacing w:lineRule="auto" w:line="240" w:before="40" w:after="0"/>
        <w:ind w:hanging="0"/>
        <w:jc w:val="both"/>
        <w:rPr/>
      </w:pPr>
      <w:r>
        <w:rPr>
          <w:rFonts w:eastAsia="Tahoma" w:cs="Tahoma"/>
          <w:sz w:val="24"/>
          <w:szCs w:val="22"/>
          <w:shd w:fill="auto" w:val="clear"/>
        </w:rPr>
        <w:t>Eric Lopes Mello: conceituação, metodologia, investigação, análise formal, redação (rascunho original) e redação (revisão e edição).</w:t>
      </w:r>
    </w:p>
    <w:p>
      <w:pPr>
        <w:pStyle w:val="Normal"/>
        <w:spacing w:lineRule="auto" w:line="240" w:before="40" w:after="0"/>
        <w:ind w:hanging="0"/>
        <w:jc w:val="both"/>
        <w:rPr/>
      </w:pPr>
      <w:r>
        <w:rPr>
          <w:rFonts w:eastAsia="Tahoma" w:cs="Tahoma"/>
          <w:b/>
          <w:bCs/>
          <w:sz w:val="24"/>
          <w:szCs w:val="22"/>
          <w:shd w:fill="auto" w:val="clear"/>
        </w:rPr>
        <w:t>DECLARAÇÃO DE CONFLITO DE INTERESSE</w:t>
      </w:r>
    </w:p>
    <w:p>
      <w:pPr>
        <w:pStyle w:val="Normal"/>
        <w:spacing w:lineRule="auto" w:line="240" w:before="40" w:after="0"/>
        <w:ind w:hanging="0"/>
        <w:jc w:val="both"/>
        <w:rPr/>
      </w:pPr>
      <w:r>
        <w:rPr>
          <w:rFonts w:eastAsia="Tahoma" w:cs="Tahoma"/>
          <w:sz w:val="24"/>
          <w:szCs w:val="22"/>
          <w:shd w:fill="auto" w:val="clear"/>
        </w:rPr>
        <w:t>Eu, abaixo assinado, autor do artigo intitulado "Governança algorítmica e simbiose decisória no Poder Judiciário brasileiro: como preservar a autoridade decisória do magistrado sem renunciar aos avanços da inteligência artificial", a ser apresentado no 4º Congresso Nacional de Pesquisas Judiciárias, Estatística e Ciência de Dados da Justiça do Trabalho, declaro que:</w:t>
      </w:r>
    </w:p>
    <w:p>
      <w:pPr>
        <w:pStyle w:val="Normal"/>
        <w:spacing w:lineRule="auto" w:line="240" w:before="40" w:after="0"/>
        <w:ind w:hanging="0"/>
        <w:jc w:val="both"/>
        <w:rPr/>
      </w:pPr>
      <w:r>
        <w:rPr>
          <w:rFonts w:eastAsia="Tahoma" w:cs="Tahoma"/>
          <w:sz w:val="24"/>
          <w:szCs w:val="22"/>
          <w:shd w:fill="auto" w:val="clear"/>
        </w:rPr>
        <w:t>(X) Não há conflitos de interesses de qualquer natureza que possam influenciar, inadequadamente, os resultados, interpretações ou conclusões deste trabalho.</w:t>
      </w:r>
    </w:p>
    <w:p>
      <w:pPr>
        <w:pStyle w:val="Normal"/>
        <w:spacing w:lineRule="auto" w:line="240" w:before="40" w:after="0"/>
        <w:ind w:hanging="0"/>
        <w:jc w:val="both"/>
        <w:rPr/>
      </w:pPr>
      <w:r>
        <w:rPr>
          <w:rFonts w:eastAsia="Tahoma" w:cs="Tahoma"/>
          <w:sz w:val="24"/>
          <w:szCs w:val="22"/>
          <w:shd w:fill="auto" w:val="clear"/>
        </w:rPr>
        <w:t>( ) Há possível/possíveis conflito(s) de interesse(s), conforme descrito(s) a seguir:</w:t>
      </w:r>
    </w:p>
    <w:p>
      <w:pPr>
        <w:pStyle w:val="Normal"/>
        <w:spacing w:lineRule="auto" w:line="240" w:before="40" w:after="0"/>
        <w:ind w:hanging="0"/>
        <w:jc w:val="left"/>
        <w:rPr>
          <w:rFonts w:eastAsia="Tahoma" w:cs="Tahoma"/>
          <w:b w:val="false"/>
          <w:sz w:val="24"/>
        </w:rPr>
      </w:pPr>
      <w:r>
        <w:rPr>
          <w:rFonts w:eastAsia="Tahoma" w:cs="Tahoma"/>
          <w:b w:val="false"/>
          <w:sz w:val="24"/>
        </w:rPr>
      </w:r>
    </w:p>
    <w:p>
      <w:pPr>
        <w:pStyle w:val="Normal"/>
        <w:spacing w:lineRule="auto" w:line="240" w:before="40" w:after="0"/>
        <w:ind w:hanging="0"/>
        <w:jc w:val="left"/>
        <w:rPr>
          <w:rFonts w:eastAsia="Tahoma" w:cs="Tahoma"/>
          <w:b w:val="false"/>
          <w:sz w:val="24"/>
        </w:rPr>
      </w:pPr>
      <w:r>
        <w:rPr>
          <w:rFonts w:eastAsia="Tahoma" w:cs="Tahoma"/>
          <w:b w:val="false"/>
          <w:sz w:val="24"/>
        </w:rPr>
      </w:r>
    </w:p>
    <w:p>
      <w:pPr>
        <w:pStyle w:val="Normal"/>
        <w:spacing w:lineRule="auto" w:line="240" w:before="40" w:after="0"/>
        <w:ind w:hanging="0"/>
        <w:jc w:val="left"/>
        <w:rPr>
          <w:rFonts w:eastAsia="Tahoma" w:cs="Tahoma"/>
          <w:b w:val="false"/>
          <w:sz w:val="24"/>
        </w:rPr>
      </w:pPr>
      <w:r>
        <w:rPr>
          <w:rFonts w:eastAsia="Tahoma" w:cs="Tahoma"/>
          <w:b w:val="false"/>
          <w:sz w:val="24"/>
        </w:rPr>
      </w:r>
    </w:p>
    <w:p>
      <w:pPr>
        <w:pStyle w:val="Normal"/>
        <w:spacing w:lineRule="auto" w:line="240" w:before="40" w:after="0"/>
        <w:ind w:hanging="0"/>
        <w:jc w:val="left"/>
        <w:rPr>
          <w:rFonts w:eastAsia="Tahoma" w:cs="Tahoma"/>
          <w:b w:val="false"/>
          <w:sz w:val="24"/>
        </w:rPr>
      </w:pPr>
      <w:r>
        <w:rPr>
          <w:rFonts w:eastAsia="Tahoma" w:cs="Tahoma"/>
          <w:b w:val="false"/>
          <w:sz w:val="24"/>
        </w:rPr>
      </w:r>
    </w:p>
    <w:p>
      <w:pPr>
        <w:pStyle w:val="Normal"/>
        <w:spacing w:lineRule="auto" w:line="240" w:before="40" w:after="0"/>
        <w:ind w:hanging="0"/>
        <w:jc w:val="left"/>
        <w:rPr/>
      </w:pPr>
      <w:r>
        <w:rPr>
          <w:rFonts w:eastAsia="Tahoma" w:cs="Tahoma"/>
          <w:b w:val="false"/>
          <w:sz w:val="24"/>
        </w:rPr>
        <w:t>_____________________________________________________________________</w:t>
      </w:r>
    </w:p>
    <w:p>
      <w:pPr>
        <w:pStyle w:val="Normal"/>
        <w:spacing w:lineRule="auto" w:line="240" w:before="40" w:after="0"/>
        <w:ind w:hanging="0"/>
        <w:jc w:val="left"/>
        <w:rPr/>
      </w:pPr>
      <w:r>
        <w:rPr>
          <w:rFonts w:eastAsia="Tahoma" w:cs="Tahoma"/>
          <w:b/>
          <w:sz w:val="24"/>
        </w:rPr>
        <w:t>MINIBIOGRAFIA</w:t>
      </w:r>
    </w:p>
    <w:p>
      <w:pPr>
        <w:pStyle w:val="Normal"/>
        <w:spacing w:lineRule="auto" w:line="240" w:before="40" w:after="0"/>
        <w:ind w:hanging="0"/>
        <w:jc w:val="both"/>
        <w:rPr>
          <w:highlight w:val="none"/>
          <w:shd w:fill="FFFF00" w:val="clear"/>
        </w:rPr>
      </w:pPr>
      <w:r>
        <w:rPr>
          <w:rFonts w:eastAsia="Tahoma" w:cs="Tahoma"/>
          <w:b w:val="false"/>
          <w:sz w:val="24"/>
          <w:shd w:fill="auto" w:val="clear"/>
        </w:rPr>
        <w:t xml:space="preserve">Eric Lopes Mello. Esp. em Governança de TI e Engenharia de Machine Learning. Esp. em andamento em Neurociência. Servidor do TRT2, onde pesquisa governança algorítmica e atua na auditabilidade de sistemas de apoio à decisão. </w:t>
      </w:r>
    </w:p>
    <w:sectPr>
      <w:footnotePr>
        <w:numFmt w:val="decimal"/>
      </w:footnotePr>
      <w:type w:val="nextPage"/>
      <w:pgSz w:w="11906" w:h="16838"/>
      <w:pgMar w:left="1701" w:right="1134" w:gutter="0" w:header="0" w:top="1701" w:footer="0" w:bottom="1134"/>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Tahoma">
    <w:charset w:val="00"/>
    <w:family w:val="roman"/>
    <w:pitch w:val="variable"/>
  </w:font>
  <w:font w:name="Liberation Sans">
    <w:altName w:val="Arial"/>
    <w:charset w:val="00"/>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p>
  </w:footnote>
  <w:footnote w:id="1" w:type="continuationSeparator">
    <w:p>
      <w:pPr>
        <w:rPr>
          <w:sz w:val="12"/>
        </w:rPr>
      </w:pPr>
      <w:r/>
    </w:p>
  </w:footnote>
  <w:footnote w:id="2">
    <w:p>
      <w:pPr>
        <w:pStyle w:val="FootnoteText"/>
        <w:rPr>
          <w:highlight w:val="none"/>
          <w:shd w:fill="auto" w:val="clear"/>
        </w:rPr>
      </w:pPr>
      <w:r>
        <w:rPr>
          <w:rStyle w:val="Caracteresdenotaderodap"/>
        </w:rPr>
        <w:t>*</w:t>
      </w:r>
      <w:r>
        <w:rPr>
          <w:rStyle w:val="Caracteresdenotaderodap"/>
        </w:rPr>
        <w:t>******</w:t>
      </w:r>
      <w:r>
        <w:rPr>
          <w:rFonts w:cs="Tahoma"/>
          <w:sz w:val="20"/>
          <w:szCs w:val="20"/>
          <w:shd w:fill="auto" w:val="clear"/>
        </w:rPr>
        <w:t xml:space="preserve"> Especialista em Governança de TI. Servidor do Tribunal Regional do Trabalho da 2ª Região (TRT2)/Analista Judiciário - Tecnologia da Informação. São Paulo, SP, Brasil. </w:t>
      </w:r>
    </w:p>
    <w:p>
      <w:pPr>
        <w:pStyle w:val="FootnoteText"/>
        <w:rPr>
          <w:highlight w:val="none"/>
          <w:shd w:fill="auto" w:val="clear"/>
        </w:rPr>
      </w:pPr>
      <w:r>
        <w:rPr>
          <w:rFonts w:cs="Tahoma"/>
          <w:sz w:val="20"/>
          <w:szCs w:val="20"/>
          <w:shd w:fill="auto" w:val="clear"/>
        </w:rPr>
        <w:t xml:space="preserve">E-mail: eric.mello@trtsp.jus.br. Lattes: https://lattes.cnpq.br/4067922909268264. </w:t>
      </w:r>
    </w:p>
    <w:p>
      <w:pPr>
        <w:pStyle w:val="FootnoteText"/>
        <w:rPr>
          <w:highlight w:val="none"/>
          <w:shd w:fill="auto" w:val="clear"/>
        </w:rPr>
      </w:pPr>
      <w:r>
        <w:rPr>
          <w:rFonts w:cs="Tahoma"/>
          <w:sz w:val="20"/>
          <w:szCs w:val="20"/>
          <w:shd w:fill="auto" w:val="clear"/>
        </w:rPr>
        <w:t>ORCID: https://orcid.org/0009-0004-3962-5283.</w:t>
      </w:r>
    </w:p>
  </w:footnote>
  <w:footnote w:id="3">
    <w:p>
      <w:pPr>
        <w:pStyle w:val="FootnoteText"/>
        <w:rPr/>
      </w:pPr>
      <w:r>
        <w:rPr>
          <w:rStyle w:val="Caracteresdenotaderodap"/>
        </w:rPr>
        <w:footnoteRef/>
      </w:r>
      <w:r>
        <w:rPr>
          <w:rFonts w:cs="Tahoma"/>
          <w:sz w:val="20"/>
          <w:szCs w:val="20"/>
        </w:rPr>
        <w:t xml:space="preserve"> </w:t>
      </w:r>
      <w:r>
        <w:rPr>
          <w:rFonts w:cs="Tahoma"/>
          <w:sz w:val="20"/>
          <w:szCs w:val="20"/>
        </w:rPr>
        <w:t xml:space="preserve">CONSELHO NACIONAL DE JUSTIÇA. </w:t>
      </w:r>
      <w:r>
        <w:rPr>
          <w:rFonts w:cs="Tahoma"/>
          <w:b/>
          <w:bCs/>
          <w:sz w:val="20"/>
          <w:szCs w:val="20"/>
        </w:rPr>
        <w:t>Justiça em Números 2026</w:t>
      </w:r>
      <w:r>
        <w:rPr>
          <w:rFonts w:cs="Tahoma"/>
          <w:sz w:val="20"/>
          <w:szCs w:val="20"/>
        </w:rPr>
        <w:t>: ano-base 2025. Brasília, DF: CNJ, 2026. Disponível em: https://www.cnj.jus.br/pesquisas-judiciarias/justica-em-numeros/. Acesso em: 1 set. 2026.</w:t>
      </w:r>
    </w:p>
  </w:footnote>
  <w:footnote w:id="4">
    <w:p>
      <w:pPr>
        <w:pStyle w:val="FootnoteText"/>
        <w:rPr/>
      </w:pPr>
      <w:r>
        <w:rPr>
          <w:rStyle w:val="Caracteresdenotaderodap"/>
        </w:rPr>
        <w:footnoteRef/>
      </w:r>
      <w:r>
        <w:rPr>
          <w:rFonts w:cs="Tahoma"/>
          <w:sz w:val="20"/>
          <w:szCs w:val="20"/>
        </w:rPr>
        <w:t xml:space="preserve"> </w:t>
      </w:r>
      <w:r>
        <w:rPr>
          <w:rFonts w:cs="Tahoma"/>
          <w:sz w:val="20"/>
          <w:szCs w:val="20"/>
        </w:rPr>
        <w:t xml:space="preserve">CONSELHO NACIONAL DE JUSTIÇA. </w:t>
      </w:r>
      <w:r>
        <w:rPr>
          <w:rFonts w:cs="Tahoma"/>
          <w:b/>
          <w:bCs/>
          <w:sz w:val="20"/>
          <w:szCs w:val="20"/>
        </w:rPr>
        <w:t>Pesquisa Inteligência Artificial no Judiciário 2024</w:t>
      </w:r>
      <w:r>
        <w:rPr>
          <w:rFonts w:cs="Tahoma"/>
          <w:sz w:val="20"/>
          <w:szCs w:val="20"/>
        </w:rPr>
        <w:t>: resumo executivo. Brasília, DF: CNJ; PNUD, 2025. Disponível em: https://www.cnj.jus.br/sistemas/plataforma-sinapses/paineis-e-publicacoes/. Acesso em: 20 ago. 2026.</w:t>
      </w:r>
    </w:p>
  </w:footnote>
  <w:footnote w:id="5">
    <w:p>
      <w:pPr>
        <w:pStyle w:val="FootnoteText"/>
        <w:rPr/>
      </w:pPr>
      <w:r>
        <w:rPr>
          <w:rStyle w:val="Caracteresdenotaderodap"/>
        </w:rPr>
        <w:footnoteRef/>
      </w:r>
      <w:r>
        <w:rPr>
          <w:rFonts w:cs="Tahoma"/>
          <w:sz w:val="20"/>
          <w:szCs w:val="20"/>
        </w:rPr>
        <w:t xml:space="preserve"> </w:t>
      </w:r>
      <w:r>
        <w:rPr>
          <w:rFonts w:cs="Tahoma"/>
          <w:sz w:val="20"/>
          <w:szCs w:val="20"/>
        </w:rPr>
        <w:t xml:space="preserve">LEE, Kai-Fu. </w:t>
      </w:r>
      <w:r>
        <w:rPr>
          <w:rFonts w:cs="Tahoma"/>
          <w:b/>
          <w:bCs/>
          <w:sz w:val="20"/>
          <w:szCs w:val="20"/>
        </w:rPr>
        <w:t>Inteligência artificial</w:t>
      </w:r>
      <w:r>
        <w:rPr>
          <w:rFonts w:cs="Tahoma"/>
          <w:sz w:val="20"/>
          <w:szCs w:val="20"/>
        </w:rPr>
        <w:t>: como os robôs estão mudando o mundo, a forma como amamos, nos relacionamos, trabalhamos e vivemos. Rio de Janeiro: Globo Livros, 2019.</w:t>
      </w:r>
    </w:p>
  </w:footnote>
  <w:footnote w:id="6">
    <w:p>
      <w:pPr>
        <w:pStyle w:val="FootnoteText"/>
        <w:rPr/>
      </w:pPr>
      <w:r>
        <w:rPr>
          <w:rStyle w:val="Caracteresdenotaderodap"/>
        </w:rPr>
        <w:footnoteRef/>
      </w:r>
      <w:r>
        <w:rPr>
          <w:rFonts w:cs="Tahoma"/>
          <w:sz w:val="20"/>
          <w:szCs w:val="20"/>
        </w:rPr>
        <w:t xml:space="preserve"> </w:t>
      </w:r>
      <w:r>
        <w:rPr>
          <w:rFonts w:cs="Tahoma"/>
          <w:sz w:val="20"/>
          <w:szCs w:val="20"/>
        </w:rPr>
        <w:t xml:space="preserve">MELLO, Eric Lopes. Inovação tecnológica e sua efetividade na justiça. </w:t>
      </w:r>
      <w:r>
        <w:rPr>
          <w:rFonts w:cs="Tahoma"/>
          <w:b/>
          <w:bCs/>
          <w:sz w:val="20"/>
          <w:szCs w:val="20"/>
        </w:rPr>
        <w:t>Revista do Tribunal Regional do Trabalho da 2ª Região</w:t>
      </w:r>
      <w:r>
        <w:rPr>
          <w:rFonts w:cs="Tahoma"/>
          <w:sz w:val="20"/>
          <w:szCs w:val="20"/>
        </w:rPr>
        <w:t>, São Paulo, v. 14, n. 28, p. 135-140, 2022.</w:t>
      </w:r>
    </w:p>
  </w:footnote>
  <w:footnote w:id="7">
    <w:p>
      <w:pPr>
        <w:pStyle w:val="FootnoteText"/>
        <w:rPr/>
      </w:pPr>
      <w:r>
        <w:rPr>
          <w:rStyle w:val="Caracteresdenotaderodap"/>
        </w:rPr>
        <w:footnoteRef/>
      </w:r>
      <w:r>
        <w:rPr>
          <w:rFonts w:cs="Tahoma"/>
          <w:sz w:val="20"/>
          <w:szCs w:val="20"/>
        </w:rPr>
        <w:t xml:space="preserve"> </w:t>
      </w:r>
      <w:r>
        <w:rPr>
          <w:rFonts w:cs="Tahoma"/>
          <w:sz w:val="20"/>
          <w:szCs w:val="20"/>
        </w:rPr>
        <w:t xml:space="preserve">MINTZBERG, Henry. </w:t>
      </w:r>
      <w:r>
        <w:rPr>
          <w:rFonts w:cs="Tahoma"/>
          <w:b/>
          <w:bCs/>
          <w:sz w:val="20"/>
          <w:szCs w:val="20"/>
        </w:rPr>
        <w:t>Criando organizações eficazes</w:t>
      </w:r>
      <w:r>
        <w:rPr>
          <w:rFonts w:cs="Tahoma"/>
          <w:sz w:val="20"/>
          <w:szCs w:val="20"/>
        </w:rPr>
        <w:t>: estruturas em cinco configurações. 2. ed. São Paulo: Atlas, 2003.</w:t>
      </w:r>
    </w:p>
  </w:footnote>
  <w:footnote w:id="8">
    <w:p>
      <w:pPr>
        <w:pStyle w:val="FootnoteText"/>
        <w:rPr/>
      </w:pPr>
      <w:r>
        <w:rPr>
          <w:rStyle w:val="Caracteresdenotaderodap"/>
        </w:rPr>
        <w:footnoteRef/>
      </w:r>
      <w:r>
        <w:rPr>
          <w:rFonts w:cs="Tahoma"/>
          <w:sz w:val="20"/>
          <w:szCs w:val="20"/>
        </w:rPr>
        <w:t xml:space="preserve"> </w:t>
      </w:r>
      <w:r>
        <w:rPr>
          <w:rFonts w:cs="Tahoma"/>
          <w:sz w:val="20"/>
          <w:szCs w:val="20"/>
        </w:rPr>
        <w:t xml:space="preserve">ROSS, Jeanne W.; WEILL, Peter; ROBERTSON, David C. </w:t>
      </w:r>
      <w:r>
        <w:rPr>
          <w:rFonts w:cs="Tahoma"/>
          <w:b/>
          <w:bCs/>
          <w:sz w:val="20"/>
          <w:szCs w:val="20"/>
        </w:rPr>
        <w:t>Arquitetura de TI como estratégia empresarial</w:t>
      </w:r>
      <w:r>
        <w:rPr>
          <w:rFonts w:cs="Tahoma"/>
          <w:sz w:val="20"/>
          <w:szCs w:val="20"/>
        </w:rPr>
        <w:t>. São Paulo: M.Books, 2008.</w:t>
      </w:r>
    </w:p>
  </w:footnote>
  <w:footnote w:id="9">
    <w:p>
      <w:pPr>
        <w:pStyle w:val="FootnoteText"/>
        <w:rPr/>
      </w:pPr>
      <w:r>
        <w:rPr>
          <w:rStyle w:val="Caracteresdenotaderodap"/>
        </w:rPr>
        <w:footnoteRef/>
      </w:r>
      <w:r>
        <w:rPr>
          <w:rFonts w:cs="Tahoma"/>
          <w:sz w:val="20"/>
          <w:szCs w:val="20"/>
        </w:rPr>
        <w:t xml:space="preserve"> </w:t>
      </w:r>
      <w:r>
        <w:rPr>
          <w:rFonts w:cs="Tahoma"/>
          <w:sz w:val="20"/>
          <w:szCs w:val="20"/>
        </w:rPr>
        <w:t xml:space="preserve">CONSELHO NACIONAL DE JUSTIÇA. </w:t>
      </w:r>
      <w:r>
        <w:rPr>
          <w:rFonts w:cs="Tahoma"/>
          <w:b/>
          <w:bCs/>
          <w:sz w:val="20"/>
          <w:szCs w:val="20"/>
        </w:rPr>
        <w:t>Resolução n. 615, de 11 de março de 2025</w:t>
      </w:r>
      <w:r>
        <w:rPr>
          <w:rFonts w:cs="Tahoma"/>
          <w:sz w:val="20"/>
          <w:szCs w:val="20"/>
        </w:rPr>
        <w:t>. Estabelece diretrizes para o desenvolvimento, utilização e governança de soluções desenvolvidas com recursos de inteligência artificial no Poder Judiciário. Brasília, DF: CNJ, 2025. Disponível em: https://atos.cnj.jus.br/atos/detalhar/6001. Acesso em: 20 ago. 2026.</w:t>
      </w:r>
    </w:p>
  </w:footnote>
  <w:footnote w:id="10">
    <w:p>
      <w:pPr>
        <w:pStyle w:val="FootnoteText"/>
        <w:rPr/>
      </w:pPr>
      <w:r>
        <w:rPr>
          <w:rStyle w:val="Caracteresdenotaderodap"/>
        </w:rPr>
        <w:footnoteRef/>
      </w:r>
      <w:r>
        <w:rPr>
          <w:rFonts w:cs="Tahoma"/>
          <w:sz w:val="20"/>
          <w:szCs w:val="20"/>
        </w:rPr>
        <w:t xml:space="preserve"> </w:t>
      </w:r>
      <w:r>
        <w:rPr>
          <w:rFonts w:cs="Tahoma"/>
          <w:sz w:val="20"/>
          <w:szCs w:val="20"/>
        </w:rPr>
        <w:t xml:space="preserve">NONAKA, Ikujiro; TAKEUCHI, Hirotaka. </w:t>
      </w:r>
      <w:r>
        <w:rPr>
          <w:rFonts w:cs="Tahoma"/>
          <w:b/>
          <w:bCs/>
          <w:sz w:val="20"/>
          <w:szCs w:val="20"/>
        </w:rPr>
        <w:t>Criação de conhecimento na empresa</w:t>
      </w:r>
      <w:r>
        <w:rPr>
          <w:rFonts w:cs="Tahoma"/>
          <w:sz w:val="20"/>
          <w:szCs w:val="20"/>
        </w:rPr>
        <w:t>: como as empresas japonesas geram a dinâmica da inovação. Rio de Janeiro: Campus, 1997.</w:t>
      </w:r>
    </w:p>
  </w:footnote>
  <w:footnote w:id="11">
    <w:p>
      <w:pPr>
        <w:pStyle w:val="FootnoteText"/>
        <w:rPr/>
      </w:pPr>
      <w:r>
        <w:rPr>
          <w:rStyle w:val="Caracteresdenotaderodap"/>
        </w:rPr>
        <w:footnoteRef/>
      </w:r>
      <w:r>
        <w:rPr>
          <w:rFonts w:cs="Tahoma"/>
          <w:sz w:val="20"/>
          <w:szCs w:val="20"/>
        </w:rPr>
        <w:t xml:space="preserve"> </w:t>
      </w:r>
      <w:r>
        <w:rPr>
          <w:rFonts w:cs="Tahoma"/>
          <w:sz w:val="20"/>
          <w:szCs w:val="20"/>
        </w:rPr>
        <w:t xml:space="preserve">VALIM, Rafael. </w:t>
      </w:r>
      <w:r>
        <w:rPr>
          <w:rFonts w:cs="Tahoma"/>
          <w:b/>
          <w:bCs/>
          <w:sz w:val="20"/>
          <w:szCs w:val="20"/>
        </w:rPr>
        <w:t>Estado de exceção</w:t>
      </w:r>
      <w:r>
        <w:rPr>
          <w:rFonts w:cs="Tahoma"/>
          <w:sz w:val="20"/>
          <w:szCs w:val="20"/>
        </w:rPr>
        <w:t>: a forma jurídica do neoliberalismo. São Paulo: Contracorrente, 2021.</w:t>
      </w:r>
    </w:p>
  </w:footnote>
  <w:footnote w:id="12">
    <w:p>
      <w:pPr>
        <w:pStyle w:val="FootnoteText"/>
        <w:rPr/>
      </w:pPr>
      <w:r>
        <w:rPr>
          <w:rStyle w:val="Caracteresdenotaderodap"/>
        </w:rPr>
        <w:footnoteRef/>
      </w:r>
      <w:r>
        <w:rPr>
          <w:rFonts w:cs="Tahoma"/>
          <w:sz w:val="20"/>
          <w:szCs w:val="20"/>
        </w:rPr>
        <w:t xml:space="preserve"> </w:t>
      </w:r>
      <w:r>
        <w:rPr>
          <w:rFonts w:cs="Tahoma"/>
          <w:sz w:val="20"/>
          <w:szCs w:val="20"/>
        </w:rPr>
        <w:t xml:space="preserve">BRASIL. [Constituição (1988)]. </w:t>
      </w:r>
      <w:r>
        <w:rPr>
          <w:rFonts w:cs="Tahoma"/>
          <w:b/>
          <w:bCs/>
          <w:sz w:val="20"/>
          <w:szCs w:val="20"/>
        </w:rPr>
        <w:t>Constituição da República Federativa do Brasil de 1988</w:t>
      </w:r>
      <w:r>
        <w:rPr>
          <w:rFonts w:cs="Tahoma"/>
          <w:sz w:val="20"/>
          <w:szCs w:val="20"/>
        </w:rPr>
        <w:t>. Art. 93, IX. Brasília, DF: Senado Federal, 1988. Disponível em: https://www.planalto.gov.br/ccivil_03/constituicao/constituicao.htm. Acesso em: 20 ago. 2026.</w:t>
      </w:r>
    </w:p>
  </w:footnote>
  <w:footnote w:id="13">
    <w:p>
      <w:pPr>
        <w:pStyle w:val="FootnoteText"/>
        <w:rPr/>
      </w:pPr>
      <w:r>
        <w:rPr>
          <w:rStyle w:val="Caracteresdenotaderodap"/>
        </w:rPr>
        <w:footnoteRef/>
      </w:r>
      <w:r>
        <w:rPr>
          <w:rFonts w:cs="Tahoma"/>
          <w:sz w:val="20"/>
          <w:szCs w:val="20"/>
        </w:rPr>
        <w:t xml:space="preserve"> </w:t>
      </w:r>
      <w:r>
        <w:rPr>
          <w:rFonts w:cs="Tahoma"/>
          <w:sz w:val="20"/>
          <w:szCs w:val="20"/>
        </w:rPr>
        <w:t xml:space="preserve">FLORIDI, Luciano et al. AI4People: an ethical framework for a good AI society. </w:t>
      </w:r>
      <w:r>
        <w:rPr>
          <w:rFonts w:cs="Tahoma"/>
          <w:b/>
          <w:bCs/>
          <w:sz w:val="20"/>
          <w:szCs w:val="20"/>
        </w:rPr>
        <w:t>Minds and Machines</w:t>
      </w:r>
      <w:r>
        <w:rPr>
          <w:rFonts w:cs="Tahoma"/>
          <w:sz w:val="20"/>
          <w:szCs w:val="20"/>
        </w:rPr>
        <w:t>, Dordrecht, v. 28, n. 4, p. 689-707, dez. 2018. DOI: 10.1007/s11023-018-9482-5.</w:t>
      </w:r>
    </w:p>
  </w:footnote>
  <w:footnote w:id="14">
    <w:p>
      <w:pPr>
        <w:pStyle w:val="FootnoteText"/>
        <w:rPr/>
      </w:pPr>
      <w:r>
        <w:rPr>
          <w:rStyle w:val="Caracteresdenotaderodap"/>
        </w:rPr>
        <w:footnoteRef/>
      </w:r>
      <w:r>
        <w:rPr>
          <w:rFonts w:cs="Tahoma"/>
          <w:sz w:val="20"/>
          <w:szCs w:val="20"/>
        </w:rPr>
        <w:t xml:space="preserve"> </w:t>
      </w:r>
      <w:r>
        <w:rPr>
          <w:rFonts w:cs="Tahoma"/>
          <w:sz w:val="20"/>
          <w:szCs w:val="20"/>
        </w:rPr>
        <w:t xml:space="preserve">SHNEIDERMAN, Ben. </w:t>
      </w:r>
      <w:r>
        <w:rPr>
          <w:rFonts w:cs="Tahoma"/>
          <w:b/>
          <w:bCs/>
          <w:sz w:val="20"/>
          <w:szCs w:val="20"/>
        </w:rPr>
        <w:t>Human-Centered AI</w:t>
      </w:r>
      <w:r>
        <w:rPr>
          <w:rFonts w:cs="Tahoma"/>
          <w:sz w:val="20"/>
          <w:szCs w:val="20"/>
        </w:rPr>
        <w:t>. Oxford: Oxford University Press, 2022.</w:t>
      </w:r>
    </w:p>
  </w:footnote>
  <w:footnote w:id="15">
    <w:p>
      <w:pPr>
        <w:pStyle w:val="FootnoteText"/>
        <w:rPr/>
      </w:pPr>
      <w:r>
        <w:rPr>
          <w:rStyle w:val="Caracteresdenotaderodap"/>
        </w:rPr>
        <w:footnoteRef/>
      </w:r>
      <w:r>
        <w:rPr>
          <w:rFonts w:cs="Tahoma"/>
          <w:sz w:val="20"/>
          <w:szCs w:val="20"/>
        </w:rPr>
        <w:t xml:space="preserve"> </w:t>
      </w:r>
      <w:r>
        <w:rPr>
          <w:rFonts w:cs="Tahoma"/>
          <w:sz w:val="20"/>
          <w:szCs w:val="20"/>
        </w:rPr>
        <w:t xml:space="preserve">O'NEIL, Cathy. </w:t>
      </w:r>
      <w:r>
        <w:rPr>
          <w:rFonts w:cs="Tahoma"/>
          <w:b/>
          <w:bCs/>
          <w:sz w:val="20"/>
          <w:szCs w:val="20"/>
        </w:rPr>
        <w:t>Weapons of Math Destruction</w:t>
      </w:r>
      <w:r>
        <w:rPr>
          <w:rFonts w:cs="Tahoma"/>
          <w:sz w:val="20"/>
          <w:szCs w:val="20"/>
        </w:rPr>
        <w:t>: how big data increases inequality and threatens democracy. Nova Iorque: Crown, 2016.</w:t>
      </w:r>
    </w:p>
  </w:footnote>
  <w:footnote w:id="16">
    <w:p>
      <w:pPr>
        <w:pStyle w:val="FootnoteText"/>
        <w:rPr/>
      </w:pPr>
      <w:r>
        <w:rPr>
          <w:rStyle w:val="Caracteresdenotaderodap"/>
        </w:rPr>
        <w:footnoteRef/>
      </w:r>
      <w:r>
        <w:rPr>
          <w:rFonts w:cs="Tahoma"/>
          <w:sz w:val="20"/>
          <w:szCs w:val="20"/>
        </w:rPr>
        <w:t xml:space="preserve"> </w:t>
      </w:r>
      <w:r>
        <w:rPr>
          <w:rFonts w:cs="Tahoma"/>
          <w:sz w:val="20"/>
          <w:szCs w:val="20"/>
        </w:rPr>
        <w:t xml:space="preserve">EUBANKS, Virginia. </w:t>
      </w:r>
      <w:r>
        <w:rPr>
          <w:rFonts w:cs="Tahoma"/>
          <w:b/>
          <w:bCs/>
          <w:sz w:val="20"/>
          <w:szCs w:val="20"/>
        </w:rPr>
        <w:t>Automating Inequality</w:t>
      </w:r>
      <w:r>
        <w:rPr>
          <w:rFonts w:cs="Tahoma"/>
          <w:sz w:val="20"/>
          <w:szCs w:val="20"/>
        </w:rPr>
        <w:t>: how high-tech tools profile, police, and punish the poor. Nova Iorque: St. Martin's Press, 2018.</w:t>
      </w:r>
    </w:p>
  </w:footnote>
  <w:footnote w:id="17">
    <w:p>
      <w:pPr>
        <w:pStyle w:val="FootnoteText"/>
        <w:rPr/>
      </w:pPr>
      <w:r>
        <w:rPr>
          <w:rStyle w:val="Caracteresdenotaderodap"/>
        </w:rPr>
        <w:footnoteRef/>
      </w:r>
      <w:r>
        <w:rPr>
          <w:rFonts w:cs="Tahoma"/>
          <w:sz w:val="20"/>
          <w:szCs w:val="20"/>
        </w:rPr>
        <w:t xml:space="preserve"> </w:t>
      </w:r>
      <w:r>
        <w:rPr>
          <w:rFonts w:cs="Tahoma"/>
          <w:sz w:val="20"/>
          <w:szCs w:val="20"/>
        </w:rPr>
        <w:t xml:space="preserve">BRASIL. Ministério do Trabalho e Emprego. </w:t>
      </w:r>
      <w:r>
        <w:rPr>
          <w:rFonts w:cs="Tahoma"/>
          <w:b/>
          <w:bCs/>
          <w:sz w:val="20"/>
          <w:szCs w:val="20"/>
        </w:rPr>
        <w:t>4º Relatório de Transparência Salarial e de Critérios Remuneratórios</w:t>
      </w:r>
      <w:r>
        <w:rPr>
          <w:rFonts w:cs="Tahoma"/>
          <w:sz w:val="20"/>
          <w:szCs w:val="20"/>
        </w:rPr>
        <w:t>. Brasília, DF: MTE, 2025. Disponível em: https://www.gov.br/trabalho-e-emprego/pt-br/noticias-e-conteudo/2025/novembro/ministerios-do-trabalho-e-das-mulheres-apresentam-4o-relatorio-de-transparencia-salarial. Acesso em: 20 ago. 2026.</w:t>
      </w:r>
    </w:p>
  </w:footnote>
  <w:footnote w:id="18">
    <w:p>
      <w:pPr>
        <w:pStyle w:val="FootnoteText"/>
        <w:rPr/>
      </w:pPr>
      <w:r>
        <w:rPr>
          <w:rStyle w:val="Caracteresdenotaderodap"/>
        </w:rPr>
        <w:footnoteRef/>
      </w:r>
      <w:r>
        <w:rPr>
          <w:rFonts w:cs="Tahoma"/>
          <w:sz w:val="20"/>
          <w:szCs w:val="20"/>
        </w:rPr>
        <w:t xml:space="preserve"> </w:t>
      </w:r>
      <w:r>
        <w:rPr>
          <w:rFonts w:cs="Tahoma"/>
          <w:sz w:val="20"/>
          <w:szCs w:val="20"/>
        </w:rPr>
        <w:t xml:space="preserve">BRASIL. </w:t>
      </w:r>
      <w:r>
        <w:rPr>
          <w:rFonts w:cs="Tahoma"/>
          <w:b/>
          <w:bCs/>
          <w:sz w:val="20"/>
          <w:szCs w:val="20"/>
        </w:rPr>
        <w:t>Lei n. 14.611, de 3 de julho de 2023</w:t>
      </w:r>
      <w:r>
        <w:rPr>
          <w:rFonts w:cs="Tahoma"/>
          <w:sz w:val="20"/>
          <w:szCs w:val="20"/>
        </w:rPr>
        <w:t>. Dispõe sobre a igualdade salarial e de critérios remuneratórios entre mulheres e homens. Brasília, DF: Presidência da República, 2023. Disponível em: https://www.planalto.gov.br/ccivil_03/_ato2023-2026/2023/lei/l14611.htm. Acesso em: 20 ago. 2026.</w:t>
      </w:r>
    </w:p>
  </w:footnote>
  <w:footnote w:id="19">
    <w:p>
      <w:pPr>
        <w:pStyle w:val="FootnoteText"/>
        <w:rPr/>
      </w:pPr>
      <w:r>
        <w:rPr>
          <w:rStyle w:val="Caracteresdenotaderodap"/>
        </w:rPr>
        <w:footnoteRef/>
      </w:r>
      <w:r>
        <w:rPr>
          <w:rFonts w:cs="Tahoma"/>
          <w:sz w:val="20"/>
          <w:szCs w:val="20"/>
        </w:rPr>
        <w:t xml:space="preserve"> </w:t>
      </w:r>
      <w:r>
        <w:rPr>
          <w:rFonts w:cs="Tahoma"/>
          <w:sz w:val="20"/>
          <w:szCs w:val="20"/>
        </w:rPr>
        <w:t xml:space="preserve">BRASIL. </w:t>
      </w:r>
      <w:r>
        <w:rPr>
          <w:rFonts w:cs="Tahoma"/>
          <w:b/>
          <w:bCs/>
          <w:sz w:val="20"/>
          <w:szCs w:val="20"/>
        </w:rPr>
        <w:t>Lei n. 13.709, de 14 de agosto de 2018</w:t>
      </w:r>
      <w:r>
        <w:rPr>
          <w:rFonts w:cs="Tahoma"/>
          <w:sz w:val="20"/>
          <w:szCs w:val="20"/>
        </w:rPr>
        <w:t>. Lei Geral de Proteção de Dados Pessoais (LGPD). Brasília, DF: Presidência da República, 2018. Disponível em: https://www.planalto.gov.br/ccivil_03/_ato2015-2018/2018/lei/l13709.htm. Acesso em: 20 ago. 2026.</w:t>
      </w:r>
    </w:p>
  </w:footnote>
  <w:footnote w:id="20">
    <w:p>
      <w:pPr>
        <w:pStyle w:val="FootnoteText"/>
        <w:rPr/>
      </w:pPr>
      <w:r>
        <w:rPr>
          <w:rStyle w:val="Caracteresdenotaderodap"/>
        </w:rPr>
        <w:footnoteRef/>
      </w:r>
      <w:r>
        <w:rPr>
          <w:rFonts w:cs="Tahoma"/>
          <w:sz w:val="20"/>
          <w:szCs w:val="20"/>
        </w:rPr>
        <w:t xml:space="preserve"> </w:t>
      </w:r>
      <w:r>
        <w:rPr>
          <w:rFonts w:cs="Tahoma"/>
          <w:sz w:val="20"/>
          <w:szCs w:val="20"/>
        </w:rPr>
        <w:t xml:space="preserve">CONSELHO NACIONAL DE JUSTIÇA. </w:t>
      </w:r>
      <w:r>
        <w:rPr>
          <w:rFonts w:cs="Tahoma"/>
          <w:b/>
          <w:bCs/>
          <w:sz w:val="20"/>
          <w:szCs w:val="20"/>
        </w:rPr>
        <w:t>Painel de Iniciativas de Inteligência Artificial no Poder Judiciário</w:t>
      </w:r>
      <w:r>
        <w:rPr>
          <w:rFonts w:cs="Tahoma"/>
          <w:sz w:val="20"/>
          <w:szCs w:val="20"/>
        </w:rPr>
        <w:t>. Brasília, DF: CNJ, 2024. Disponível em: https://www.cnj.jus.br/sistemas/plataforma-sinapses/paineis-e-publicacoes/. Acesso em: 20 ago. 2026.</w:t>
      </w:r>
    </w:p>
  </w:footnote>
  <w:footnote w:id="21">
    <w:p>
      <w:pPr>
        <w:pStyle w:val="FootnoteText"/>
        <w:rPr/>
      </w:pPr>
      <w:r>
        <w:rPr>
          <w:rStyle w:val="Caracteresdenotaderodap"/>
        </w:rPr>
        <w:footnoteRef/>
      </w:r>
      <w:r>
        <w:rPr>
          <w:rFonts w:cs="Tahoma"/>
          <w:sz w:val="20"/>
          <w:szCs w:val="20"/>
        </w:rPr>
        <w:t xml:space="preserve"> </w:t>
      </w:r>
      <w:r>
        <w:rPr>
          <w:rFonts w:cs="Tahoma"/>
          <w:sz w:val="20"/>
          <w:szCs w:val="20"/>
        </w:rPr>
        <w:t xml:space="preserve">CONSELHO SUPERIOR DA JUSTIÇA DO TRABALHO. </w:t>
      </w:r>
      <w:r>
        <w:rPr>
          <w:rFonts w:cs="Tahoma"/>
          <w:b/>
          <w:bCs/>
          <w:sz w:val="20"/>
          <w:szCs w:val="20"/>
        </w:rPr>
        <w:t>Chat-JT</w:t>
      </w:r>
      <w:r>
        <w:rPr>
          <w:rFonts w:cs="Tahoma"/>
          <w:sz w:val="20"/>
          <w:szCs w:val="20"/>
        </w:rPr>
        <w:t>: Justiça do Trabalho lança inteligência artificial. Brasília, DF: CSJT, 4 fev. 2025. Disponível em: https://www.csjt.jus.br/web/csjt/-/chat-jt-justi%C3%A7a-do-trabalho-lan%C3%A7a-intelig%C3%AAncia-artificial-para-auxiliar-profissionais-da-institui%C3%A7%C3%A3o. Acesso em: 20 ago. 2026.</w:t>
      </w:r>
    </w:p>
  </w:footnote>
  <w:footnote w:id="22">
    <w:p>
      <w:pPr>
        <w:pStyle w:val="FootnoteText"/>
        <w:rPr/>
      </w:pPr>
      <w:r>
        <w:rPr>
          <w:rStyle w:val="Caracteresdenotaderodap"/>
        </w:rPr>
        <w:footnoteRef/>
      </w:r>
      <w:r>
        <w:rPr>
          <w:rFonts w:cs="Tahoma"/>
          <w:sz w:val="20"/>
          <w:szCs w:val="20"/>
        </w:rPr>
        <w:t xml:space="preserve"> </w:t>
      </w:r>
      <w:r>
        <w:rPr>
          <w:rFonts w:cs="Tahoma"/>
          <w:sz w:val="20"/>
          <w:szCs w:val="20"/>
        </w:rPr>
        <w:t xml:space="preserve">CONSELHO NACIONAL DE JUSTIÇA. </w:t>
      </w:r>
      <w:r>
        <w:rPr>
          <w:rFonts w:cs="Tahoma"/>
          <w:b/>
          <w:bCs/>
          <w:sz w:val="20"/>
          <w:szCs w:val="20"/>
        </w:rPr>
        <w:t>Pesquisa Inteligência Artificial no Judiciário 2024</w:t>
      </w:r>
      <w:r>
        <w:rPr>
          <w:rFonts w:cs="Tahoma"/>
          <w:sz w:val="20"/>
          <w:szCs w:val="20"/>
        </w:rPr>
        <w:t>, 2025.</w:t>
      </w:r>
    </w:p>
  </w:footnote>
  <w:footnote w:id="23">
    <w:p>
      <w:pPr>
        <w:pStyle w:val="FootnoteText"/>
        <w:rPr/>
      </w:pPr>
      <w:r>
        <w:rPr>
          <w:rStyle w:val="Caracteresdenotaderodap"/>
        </w:rPr>
        <w:footnoteRef/>
      </w:r>
      <w:r>
        <w:rPr>
          <w:rFonts w:cs="Tahoma"/>
          <w:sz w:val="20"/>
          <w:szCs w:val="20"/>
        </w:rPr>
        <w:t xml:space="preserve"> </w:t>
      </w:r>
      <w:r>
        <w:rPr>
          <w:rFonts w:cs="Tahoma"/>
          <w:sz w:val="20"/>
          <w:szCs w:val="20"/>
        </w:rPr>
        <w:t xml:space="preserve">CONSELHO NACIONAL DE JUSTIÇA. </w:t>
      </w:r>
      <w:r>
        <w:rPr>
          <w:rFonts w:cs="Tahoma"/>
          <w:b/>
          <w:bCs/>
          <w:sz w:val="20"/>
          <w:szCs w:val="20"/>
        </w:rPr>
        <w:t>Programa Conecta</w:t>
      </w:r>
      <w:r>
        <w:rPr>
          <w:rFonts w:cs="Tahoma"/>
          <w:sz w:val="20"/>
          <w:szCs w:val="20"/>
        </w:rPr>
        <w:t>: incubadora de soluções tecnológicas do Poder Judiciário. Brasília, DF: CNJ, 2026. Disponível em: https://www.cnj.jus.br/tecnologia-da-informacao-e-comunicacao/justica-4-0/conheca-o-conecta/. Acesso em: 20 abr. 2026.</w:t>
      </w:r>
    </w:p>
  </w:footnote>
  <w:footnote w:id="24">
    <w:p>
      <w:pPr>
        <w:pStyle w:val="FootnoteText"/>
        <w:rPr/>
      </w:pPr>
      <w:r>
        <w:rPr>
          <w:rStyle w:val="Caracteresdenotaderodap"/>
        </w:rPr>
        <w:footnoteRef/>
      </w:r>
      <w:r>
        <w:rPr>
          <w:rFonts w:cs="Tahoma"/>
          <w:sz w:val="20"/>
          <w:szCs w:val="20"/>
        </w:rPr>
        <w:t xml:space="preserve"> </w:t>
      </w:r>
      <w:r>
        <w:rPr>
          <w:rFonts w:cs="Tahoma"/>
          <w:sz w:val="20"/>
          <w:szCs w:val="20"/>
        </w:rPr>
        <w:t xml:space="preserve">SILIC, Mario; BACK, Andrea. Shadow IT: a view from behind the curtain. </w:t>
      </w:r>
      <w:r>
        <w:rPr>
          <w:rFonts w:cs="Tahoma"/>
          <w:b/>
          <w:bCs/>
          <w:sz w:val="20"/>
          <w:szCs w:val="20"/>
        </w:rPr>
        <w:t>Computers &amp; Security</w:t>
      </w:r>
      <w:r>
        <w:rPr>
          <w:rFonts w:cs="Tahoma"/>
          <w:sz w:val="20"/>
          <w:szCs w:val="20"/>
        </w:rPr>
        <w:t>, v. 45, p. 274-283, 2014.</w:t>
      </w:r>
    </w:p>
  </w:footnote>
  <w:footnote w:id="25">
    <w:p>
      <w:pPr>
        <w:pStyle w:val="FootnoteText"/>
        <w:rPr/>
      </w:pPr>
      <w:r>
        <w:rPr>
          <w:rStyle w:val="Caracteresdenotaderodap"/>
        </w:rPr>
        <w:footnoteRef/>
      </w:r>
      <w:r>
        <w:rPr>
          <w:rFonts w:cs="Tahoma"/>
          <w:sz w:val="20"/>
          <w:szCs w:val="20"/>
        </w:rPr>
        <w:t xml:space="preserve"> </w:t>
      </w:r>
      <w:r>
        <w:rPr>
          <w:rFonts w:cs="Tahoma"/>
          <w:sz w:val="20"/>
          <w:szCs w:val="20"/>
        </w:rPr>
        <w:t xml:space="preserve">SILIC, Mario; SILIC, Dario; KIND-TRÜLLER, Kathrin. From Shadow IT to Shadow AI: threats, risks and opportunities for organizations. </w:t>
      </w:r>
      <w:r>
        <w:rPr>
          <w:rFonts w:cs="Tahoma"/>
          <w:b/>
          <w:bCs/>
          <w:sz w:val="20"/>
          <w:szCs w:val="20"/>
        </w:rPr>
        <w:t>Strategic Change</w:t>
      </w:r>
      <w:r>
        <w:rPr>
          <w:rFonts w:cs="Tahoma"/>
          <w:sz w:val="20"/>
          <w:szCs w:val="20"/>
        </w:rPr>
        <w:t>, p. 1-16, 2025.</w:t>
      </w:r>
    </w:p>
  </w:footnote>
  <w:footnote w:id="26">
    <w:p>
      <w:pPr>
        <w:pStyle w:val="FootnoteText"/>
        <w:rPr/>
      </w:pPr>
      <w:r>
        <w:rPr>
          <w:rStyle w:val="Caracteresdenotaderodap"/>
        </w:rPr>
        <w:footnoteRef/>
      </w:r>
      <w:r>
        <w:rPr>
          <w:rFonts w:cs="Tahoma"/>
          <w:sz w:val="20"/>
          <w:szCs w:val="20"/>
        </w:rPr>
        <w:t xml:space="preserve"> </w:t>
      </w:r>
      <w:r>
        <w:rPr>
          <w:rFonts w:cs="Tahoma"/>
          <w:sz w:val="20"/>
          <w:szCs w:val="20"/>
        </w:rPr>
        <w:t xml:space="preserve">NONAKA; TAKEUCHI. </w:t>
      </w:r>
      <w:r>
        <w:rPr>
          <w:rFonts w:cs="Tahoma"/>
          <w:b/>
          <w:bCs/>
          <w:sz w:val="20"/>
          <w:szCs w:val="20"/>
        </w:rPr>
        <w:t>Criação de conhecimento na empresa</w:t>
      </w:r>
      <w:r>
        <w:rPr>
          <w:rFonts w:cs="Tahoma"/>
          <w:sz w:val="20"/>
          <w:szCs w:val="20"/>
        </w:rPr>
        <w:t>, 1997.</w:t>
      </w:r>
    </w:p>
  </w:footnote>
  <w:footnote w:id="27">
    <w:p>
      <w:pPr>
        <w:pStyle w:val="FootnoteText"/>
        <w:rPr/>
      </w:pPr>
      <w:r>
        <w:rPr>
          <w:rStyle w:val="Caracteresdenotaderodap"/>
        </w:rPr>
        <w:footnoteRef/>
      </w:r>
      <w:r>
        <w:rPr>
          <w:rFonts w:cs="Tahoma"/>
          <w:sz w:val="20"/>
          <w:szCs w:val="20"/>
        </w:rPr>
        <w:t xml:space="preserve"> </w:t>
      </w:r>
      <w:r>
        <w:rPr>
          <w:rFonts w:cs="Tahoma"/>
          <w:sz w:val="20"/>
          <w:szCs w:val="20"/>
        </w:rPr>
        <w:t xml:space="preserve">CHOO, Chun Wei. </w:t>
      </w:r>
      <w:r>
        <w:rPr>
          <w:rFonts w:cs="Tahoma"/>
          <w:b/>
          <w:bCs/>
          <w:sz w:val="20"/>
          <w:szCs w:val="20"/>
        </w:rPr>
        <w:t>A organização do conhecimento</w:t>
      </w:r>
      <w:r>
        <w:rPr>
          <w:rFonts w:cs="Tahoma"/>
          <w:sz w:val="20"/>
          <w:szCs w:val="20"/>
        </w:rPr>
        <w:t>: como as organizações usam a informação para criar significado, construir conhecimento e tomar decisões. 2. ed. São Paulo: Senac, 2006.</w:t>
      </w:r>
    </w:p>
  </w:footnote>
  <w:footnote w:id="28">
    <w:p>
      <w:pPr>
        <w:pStyle w:val="FootnoteText"/>
        <w:rPr/>
      </w:pPr>
      <w:r>
        <w:rPr>
          <w:rStyle w:val="Caracteresdenotaderodap"/>
        </w:rPr>
        <w:footnoteRef/>
      </w:r>
      <w:r>
        <w:rPr>
          <w:rFonts w:cs="Tahoma"/>
          <w:sz w:val="20"/>
          <w:szCs w:val="20"/>
        </w:rPr>
        <w:t xml:space="preserve"> </w:t>
      </w:r>
      <w:r>
        <w:rPr>
          <w:rFonts w:cs="Tahoma"/>
          <w:sz w:val="20"/>
          <w:szCs w:val="20"/>
        </w:rPr>
        <w:t xml:space="preserve">O'NEIL. </w:t>
      </w:r>
      <w:r>
        <w:rPr>
          <w:rFonts w:cs="Tahoma"/>
          <w:b/>
          <w:bCs/>
          <w:sz w:val="20"/>
          <w:szCs w:val="20"/>
        </w:rPr>
        <w:t>Weapons of Math Destruction</w:t>
      </w:r>
      <w:r>
        <w:rPr>
          <w:rFonts w:cs="Tahoma"/>
          <w:sz w:val="20"/>
          <w:szCs w:val="20"/>
        </w:rPr>
        <w:t>, 2016.</w:t>
      </w:r>
    </w:p>
  </w:footnote>
  <w:footnote w:id="29">
    <w:p>
      <w:pPr>
        <w:pStyle w:val="FootnoteText"/>
        <w:rPr/>
      </w:pPr>
      <w:r>
        <w:rPr>
          <w:rStyle w:val="Caracteresdenotaderodap"/>
        </w:rPr>
        <w:footnoteRef/>
      </w:r>
      <w:r>
        <w:rPr>
          <w:rFonts w:cs="Tahoma"/>
          <w:sz w:val="20"/>
          <w:szCs w:val="20"/>
        </w:rPr>
        <w:t xml:space="preserve"> </w:t>
      </w:r>
      <w:r>
        <w:rPr>
          <w:rFonts w:cs="Tahoma"/>
          <w:sz w:val="20"/>
          <w:szCs w:val="20"/>
        </w:rPr>
        <w:t xml:space="preserve">EUBANKS. </w:t>
      </w:r>
      <w:r>
        <w:rPr>
          <w:rFonts w:cs="Tahoma"/>
          <w:b/>
          <w:bCs/>
          <w:sz w:val="20"/>
          <w:szCs w:val="20"/>
        </w:rPr>
        <w:t>Automating Inequality</w:t>
      </w:r>
      <w:r>
        <w:rPr>
          <w:rFonts w:cs="Tahoma"/>
          <w:sz w:val="20"/>
          <w:szCs w:val="20"/>
        </w:rPr>
        <w:t>, 2018.</w:t>
      </w:r>
    </w:p>
  </w:footnote>
  <w:footnote w:id="30">
    <w:p>
      <w:pPr>
        <w:pStyle w:val="FootnoteText"/>
        <w:rPr/>
      </w:pPr>
      <w:r>
        <w:rPr>
          <w:rStyle w:val="Caracteresdenotaderodap"/>
        </w:rPr>
        <w:footnoteRef/>
      </w:r>
      <w:r>
        <w:rPr>
          <w:rFonts w:cs="Tahoma"/>
          <w:sz w:val="20"/>
          <w:szCs w:val="20"/>
        </w:rPr>
        <w:t xml:space="preserve"> </w:t>
      </w:r>
      <w:r>
        <w:rPr>
          <w:rFonts w:cs="Tahoma"/>
          <w:sz w:val="20"/>
          <w:szCs w:val="20"/>
        </w:rPr>
        <w:t xml:space="preserve">LEWIS, Patrick et al. Retrieval-augmented generation for knowledge-intensive NLP tasks. </w:t>
      </w:r>
      <w:r>
        <w:rPr>
          <w:rFonts w:cs="Tahoma"/>
          <w:b/>
          <w:bCs/>
          <w:sz w:val="20"/>
          <w:szCs w:val="20"/>
        </w:rPr>
        <w:t>Advances in Neural Information Processing Systems</w:t>
      </w:r>
      <w:r>
        <w:rPr>
          <w:rFonts w:cs="Tahoma"/>
          <w:sz w:val="20"/>
          <w:szCs w:val="20"/>
        </w:rPr>
        <w:t>, v. 33, p. 9459-9474, 2020. Disponível em: https://arxiv.org/abs/2005.11401. Acesso em: 20 ago. 2026.</w:t>
      </w:r>
    </w:p>
  </w:footnote>
  <w:footnote w:id="31">
    <w:p>
      <w:pPr>
        <w:pStyle w:val="FootnoteText"/>
        <w:rPr/>
      </w:pPr>
      <w:r>
        <w:rPr>
          <w:rStyle w:val="Caracteresdenotaderodap"/>
        </w:rPr>
        <w:footnoteRef/>
      </w:r>
      <w:r>
        <w:rPr>
          <w:rFonts w:cs="Tahoma"/>
          <w:sz w:val="20"/>
          <w:szCs w:val="20"/>
        </w:rPr>
        <w:t xml:space="preserve"> </w:t>
      </w:r>
      <w:r>
        <w:rPr>
          <w:rFonts w:cs="Tahoma"/>
          <w:sz w:val="20"/>
          <w:szCs w:val="20"/>
        </w:rPr>
        <w:t xml:space="preserve">SIMON, Herbert A. </w:t>
      </w:r>
      <w:r>
        <w:rPr>
          <w:rFonts w:cs="Tahoma"/>
          <w:b/>
          <w:bCs/>
          <w:sz w:val="20"/>
          <w:szCs w:val="20"/>
        </w:rPr>
        <w:t>Administrative Behavior</w:t>
      </w:r>
      <w:r>
        <w:rPr>
          <w:rFonts w:cs="Tahoma"/>
          <w:sz w:val="20"/>
          <w:szCs w:val="20"/>
        </w:rPr>
        <w:t>: a study of decision-making processes in administrative organizations. 4. ed. Nova Iorque: Free Press, 1997.</w:t>
      </w:r>
    </w:p>
  </w:footnote>
  <w:footnote w:id="32">
    <w:p>
      <w:pPr>
        <w:pStyle w:val="FootnoteText"/>
        <w:rPr/>
      </w:pPr>
      <w:r>
        <w:rPr>
          <w:rStyle w:val="Caracteresdenotaderodap"/>
        </w:rPr>
        <w:footnoteRef/>
      </w:r>
      <w:r>
        <w:rPr>
          <w:rFonts w:cs="Tahoma"/>
          <w:sz w:val="20"/>
          <w:szCs w:val="20"/>
        </w:rPr>
        <w:t xml:space="preserve"> </w:t>
      </w:r>
      <w:r>
        <w:rPr>
          <w:rFonts w:cs="Tahoma"/>
          <w:sz w:val="20"/>
          <w:szCs w:val="20"/>
        </w:rPr>
        <w:t xml:space="preserve">ANTHONY, Robert N. </w:t>
      </w:r>
      <w:r>
        <w:rPr>
          <w:rFonts w:cs="Tahoma"/>
          <w:b/>
          <w:bCs/>
          <w:sz w:val="20"/>
          <w:szCs w:val="20"/>
        </w:rPr>
        <w:t>Planning and Control Systems</w:t>
      </w:r>
      <w:r>
        <w:rPr>
          <w:rFonts w:cs="Tahoma"/>
          <w:sz w:val="20"/>
          <w:szCs w:val="20"/>
        </w:rPr>
        <w:t>: a framework for analysis. Boston: Harvard Business School Press, 1965.</w:t>
      </w:r>
    </w:p>
  </w:footnote>
  <w:footnote w:id="33">
    <w:p>
      <w:pPr>
        <w:pStyle w:val="FootnoteText"/>
        <w:rPr/>
      </w:pPr>
      <w:r>
        <w:rPr>
          <w:rStyle w:val="Caracteresdenotaderodap"/>
        </w:rPr>
        <w:footnoteRef/>
      </w:r>
      <w:r>
        <w:rPr>
          <w:rFonts w:cs="Tahoma"/>
          <w:sz w:val="20"/>
          <w:szCs w:val="20"/>
        </w:rPr>
        <w:t xml:space="preserve"> </w:t>
      </w:r>
      <w:r>
        <w:rPr>
          <w:rFonts w:cs="Tahoma"/>
          <w:sz w:val="20"/>
          <w:szCs w:val="20"/>
        </w:rPr>
        <w:t xml:space="preserve">KAHNEMAN, Daniel. </w:t>
      </w:r>
      <w:r>
        <w:rPr>
          <w:rFonts w:cs="Tahoma"/>
          <w:b/>
          <w:bCs/>
          <w:sz w:val="20"/>
          <w:szCs w:val="20"/>
        </w:rPr>
        <w:t>Thinking, Fast and Slow</w:t>
      </w:r>
      <w:r>
        <w:rPr>
          <w:rFonts w:cs="Tahoma"/>
          <w:sz w:val="20"/>
          <w:szCs w:val="20"/>
        </w:rPr>
        <w:t>. Nova Iorque: Farrar, Straus and Giroux, 2011.</w:t>
      </w:r>
    </w:p>
  </w:footnote>
  <w:footnote w:id="34">
    <w:p>
      <w:pPr>
        <w:pStyle w:val="FootnoteText"/>
        <w:rPr/>
      </w:pPr>
      <w:r>
        <w:rPr>
          <w:rStyle w:val="Caracteresdenotaderodap"/>
        </w:rPr>
        <w:footnoteRef/>
      </w:r>
      <w:r>
        <w:rPr>
          <w:rFonts w:cs="Tahoma"/>
          <w:sz w:val="20"/>
          <w:szCs w:val="20"/>
        </w:rPr>
        <w:t xml:space="preserve"> </w:t>
      </w:r>
      <w:r>
        <w:rPr>
          <w:rFonts w:cs="Tahoma"/>
          <w:sz w:val="20"/>
          <w:szCs w:val="20"/>
        </w:rPr>
        <w:t xml:space="preserve">DANZIGER, Shai; LEVAV, Jonathan; AVNAIM-PESSO, Liora. Extraneous factors in judicial decisions. </w:t>
      </w:r>
      <w:r>
        <w:rPr>
          <w:rFonts w:cs="Tahoma"/>
          <w:b/>
          <w:bCs/>
          <w:sz w:val="20"/>
          <w:szCs w:val="20"/>
        </w:rPr>
        <w:t>Proceedings of the National Academy of Sciences</w:t>
      </w:r>
      <w:r>
        <w:rPr>
          <w:rFonts w:cs="Tahoma"/>
          <w:sz w:val="20"/>
          <w:szCs w:val="20"/>
        </w:rPr>
        <w:t>, Washington, DC, v. 108, n. 17, p. 6889-6892, abr. 2011. DOI: 10.1073/pnas.1018033108.</w:t>
      </w:r>
    </w:p>
  </w:footnote>
  <w:footnote w:id="35">
    <w:p>
      <w:pPr>
        <w:pStyle w:val="FootnoteText"/>
        <w:rPr/>
      </w:pPr>
      <w:r>
        <w:rPr>
          <w:rStyle w:val="Caracteresdenotaderodap"/>
        </w:rPr>
        <w:footnoteRef/>
      </w:r>
      <w:r>
        <w:rPr>
          <w:rFonts w:cs="Tahoma"/>
          <w:sz w:val="20"/>
          <w:szCs w:val="20"/>
        </w:rPr>
        <w:t xml:space="preserve"> </w:t>
      </w:r>
      <w:r>
        <w:rPr>
          <w:rFonts w:cs="Tahoma"/>
          <w:sz w:val="20"/>
          <w:szCs w:val="20"/>
        </w:rPr>
        <w:t xml:space="preserve">BAUMEISTER, Roy F. et al. Ego depletion: is the active self a limited resource? </w:t>
      </w:r>
      <w:r>
        <w:rPr>
          <w:rFonts w:cs="Tahoma"/>
          <w:b/>
          <w:bCs/>
          <w:sz w:val="20"/>
          <w:szCs w:val="20"/>
        </w:rPr>
        <w:t>Journal of Personality and Social Psychology</w:t>
      </w:r>
      <w:r>
        <w:rPr>
          <w:rFonts w:cs="Tahoma"/>
          <w:sz w:val="20"/>
          <w:szCs w:val="20"/>
        </w:rPr>
        <w:t>, Washington, DC, v. 74, n. 5, p. 1252-1265, maio 1998. DOI: 10.1037/0022-3514.74.5.1252.</w:t>
      </w:r>
    </w:p>
  </w:footnote>
  <w:footnote w:id="36">
    <w:p>
      <w:pPr>
        <w:pStyle w:val="FootnoteText"/>
        <w:rPr/>
      </w:pPr>
      <w:r>
        <w:rPr>
          <w:rStyle w:val="Caracteresdenotaderodap"/>
        </w:rPr>
        <w:footnoteRef/>
      </w:r>
      <w:r>
        <w:rPr>
          <w:rFonts w:cs="Tahoma"/>
          <w:sz w:val="20"/>
          <w:szCs w:val="20"/>
        </w:rPr>
        <w:t xml:space="preserve"> </w:t>
      </w:r>
      <w:r>
        <w:rPr>
          <w:rFonts w:cs="Tahoma"/>
          <w:sz w:val="20"/>
          <w:szCs w:val="20"/>
        </w:rPr>
        <w:t xml:space="preserve">GUTHRIE, Chris; RACHLINSKI, Jeffrey J.; WISTRICH, Andrew J. Blinking on the bench: how judges decide cases. </w:t>
      </w:r>
      <w:r>
        <w:rPr>
          <w:rFonts w:cs="Tahoma"/>
          <w:b/>
          <w:bCs/>
          <w:sz w:val="20"/>
          <w:szCs w:val="20"/>
        </w:rPr>
        <w:t>Cornell Law Review</w:t>
      </w:r>
      <w:r>
        <w:rPr>
          <w:rFonts w:cs="Tahoma"/>
          <w:sz w:val="20"/>
          <w:szCs w:val="20"/>
        </w:rPr>
        <w:t>, Ithaca, v. 93, n. 1, p. 1-43, nov. 2007.</w:t>
      </w:r>
    </w:p>
  </w:footnote>
  <w:footnote w:id="37">
    <w:p>
      <w:pPr>
        <w:pStyle w:val="FootnoteText"/>
        <w:rPr/>
      </w:pPr>
      <w:r>
        <w:rPr>
          <w:rStyle w:val="Caracteresdenotaderodap"/>
        </w:rPr>
        <w:footnoteRef/>
      </w:r>
      <w:r>
        <w:rPr>
          <w:rFonts w:cs="Tahoma"/>
          <w:sz w:val="20"/>
          <w:szCs w:val="20"/>
        </w:rPr>
        <w:t xml:space="preserve"> </w:t>
      </w:r>
      <w:r>
        <w:rPr>
          <w:rFonts w:cs="Tahoma"/>
          <w:sz w:val="20"/>
          <w:szCs w:val="20"/>
        </w:rPr>
        <w:t xml:space="preserve">PARASURAMAN, Raja; MANZEY, Dietrich H. Complacency and bias in human use of automation: an attentional integration. </w:t>
      </w:r>
      <w:r>
        <w:rPr>
          <w:rFonts w:cs="Tahoma"/>
          <w:b/>
          <w:bCs/>
          <w:sz w:val="20"/>
          <w:szCs w:val="20"/>
        </w:rPr>
        <w:t>Human Factors</w:t>
      </w:r>
      <w:r>
        <w:rPr>
          <w:rFonts w:cs="Tahoma"/>
          <w:sz w:val="20"/>
          <w:szCs w:val="20"/>
        </w:rPr>
        <w:t>, Thousand Oaks, v. 52, n. 3, p. 381-410, jun. 2010. DOI: 10.1177/0018720810376055.</w:t>
      </w:r>
    </w:p>
  </w:footnote>
  <w:footnote w:id="38">
    <w:p>
      <w:pPr>
        <w:pStyle w:val="FootnoteText"/>
        <w:rPr/>
      </w:pPr>
      <w:r>
        <w:rPr>
          <w:rStyle w:val="Caracteresdenotaderodap"/>
        </w:rPr>
        <w:footnoteRef/>
      </w:r>
      <w:r>
        <w:rPr>
          <w:rFonts w:cs="Tahoma"/>
          <w:sz w:val="20"/>
          <w:szCs w:val="20"/>
        </w:rPr>
        <w:t xml:space="preserve"> </w:t>
      </w:r>
      <w:r>
        <w:rPr>
          <w:rFonts w:cs="Tahoma"/>
          <w:sz w:val="20"/>
          <w:szCs w:val="20"/>
        </w:rPr>
        <w:t xml:space="preserve">ROSS; WEILL; ROBERTSON. </w:t>
      </w:r>
      <w:r>
        <w:rPr>
          <w:rFonts w:cs="Tahoma"/>
          <w:b/>
          <w:bCs/>
          <w:sz w:val="20"/>
          <w:szCs w:val="20"/>
        </w:rPr>
        <w:t>Arquitetura de TI como estratégia empresarial</w:t>
      </w:r>
      <w:r>
        <w:rPr>
          <w:rFonts w:cs="Tahoma"/>
          <w:sz w:val="20"/>
          <w:szCs w:val="20"/>
        </w:rPr>
        <w:t>, 2008.</w:t>
      </w:r>
    </w:p>
  </w:footnote>
  <w:footnote w:id="39">
    <w:p>
      <w:pPr>
        <w:pStyle w:val="FootnoteText"/>
        <w:rPr/>
      </w:pPr>
      <w:r>
        <w:rPr>
          <w:rStyle w:val="Caracteresdenotaderodap"/>
        </w:rPr>
        <w:footnoteRef/>
      </w:r>
      <w:r>
        <w:rPr>
          <w:rFonts w:cs="Tahoma"/>
          <w:sz w:val="20"/>
          <w:szCs w:val="20"/>
        </w:rPr>
        <w:t xml:space="preserve"> </w:t>
      </w:r>
      <w:r>
        <w:rPr>
          <w:rFonts w:cs="Tahoma"/>
          <w:sz w:val="20"/>
          <w:szCs w:val="20"/>
        </w:rPr>
        <w:t xml:space="preserve">MINTZBERG. </w:t>
      </w:r>
      <w:r>
        <w:rPr>
          <w:rFonts w:cs="Tahoma"/>
          <w:b/>
          <w:bCs/>
          <w:sz w:val="20"/>
          <w:szCs w:val="20"/>
        </w:rPr>
        <w:t>Criando organizações eficazes</w:t>
      </w:r>
      <w:r>
        <w:rPr>
          <w:rFonts w:cs="Tahoma"/>
          <w:sz w:val="20"/>
          <w:szCs w:val="20"/>
        </w:rPr>
        <w:t>, 2003.</w:t>
      </w:r>
    </w:p>
  </w:footnote>
  <w:footnote w:id="40">
    <w:p>
      <w:pPr>
        <w:pStyle w:val="FootnoteText"/>
        <w:rPr/>
      </w:pPr>
      <w:r>
        <w:rPr>
          <w:rStyle w:val="Caracteresdenotaderodap"/>
        </w:rPr>
        <w:footnoteRef/>
      </w:r>
      <w:r>
        <w:rPr>
          <w:rFonts w:cs="Tahoma"/>
          <w:sz w:val="20"/>
          <w:szCs w:val="20"/>
        </w:rPr>
        <w:t xml:space="preserve"> </w:t>
      </w:r>
      <w:r>
        <w:rPr>
          <w:rFonts w:cs="Tahoma"/>
          <w:sz w:val="20"/>
          <w:szCs w:val="20"/>
        </w:rPr>
        <w:t xml:space="preserve">WEBER, Max. </w:t>
      </w:r>
      <w:r>
        <w:rPr>
          <w:rFonts w:cs="Tahoma"/>
          <w:b/>
          <w:bCs/>
          <w:sz w:val="20"/>
          <w:szCs w:val="20"/>
        </w:rPr>
        <w:t>Ensaios de Sociologia</w:t>
      </w:r>
      <w:r>
        <w:rPr>
          <w:rFonts w:cs="Tahoma"/>
          <w:sz w:val="20"/>
          <w:szCs w:val="20"/>
        </w:rPr>
        <w:t>. 5. ed. Rio de Janeiro: LTC, 1982.</w:t>
      </w:r>
    </w:p>
  </w:footnote>
  <w:footnote w:id="41">
    <w:p>
      <w:pPr>
        <w:pStyle w:val="FootnoteText"/>
        <w:rPr/>
      </w:pPr>
      <w:r>
        <w:rPr>
          <w:rStyle w:val="Caracteresdenotaderodap"/>
        </w:rPr>
        <w:footnoteRef/>
      </w:r>
      <w:r>
        <w:rPr>
          <w:rFonts w:cs="Tahoma"/>
          <w:sz w:val="20"/>
          <w:szCs w:val="20"/>
        </w:rPr>
        <w:t xml:space="preserve"> </w:t>
      </w:r>
      <w:r>
        <w:rPr>
          <w:rFonts w:cs="Tahoma"/>
          <w:sz w:val="20"/>
          <w:szCs w:val="20"/>
        </w:rPr>
        <w:t xml:space="preserve">DAMA INTERNATIONAL. </w:t>
      </w:r>
      <w:r>
        <w:rPr>
          <w:rFonts w:cs="Tahoma"/>
          <w:b/>
          <w:bCs/>
          <w:sz w:val="20"/>
          <w:szCs w:val="20"/>
        </w:rPr>
        <w:t>DAMA-DMBOK</w:t>
      </w:r>
      <w:r>
        <w:rPr>
          <w:rFonts w:cs="Tahoma"/>
          <w:sz w:val="20"/>
          <w:szCs w:val="20"/>
        </w:rPr>
        <w:t>: data management body of knowledge. 2. ed. Basking Ridge: Technics Publications, 2017.</w:t>
      </w:r>
    </w:p>
  </w:footnote>
  <w:footnote w:id="42">
    <w:p>
      <w:pPr>
        <w:pStyle w:val="FootnoteText"/>
        <w:rPr/>
      </w:pPr>
      <w:r>
        <w:rPr>
          <w:rStyle w:val="Caracteresdenotaderodap"/>
        </w:rPr>
        <w:footnoteRef/>
      </w:r>
      <w:r>
        <w:rPr>
          <w:rFonts w:cs="Tahoma"/>
          <w:sz w:val="20"/>
          <w:szCs w:val="20"/>
        </w:rPr>
        <w:t xml:space="preserve"> </w:t>
      </w:r>
      <w:r>
        <w:rPr>
          <w:rFonts w:cs="Tahoma"/>
          <w:sz w:val="20"/>
          <w:szCs w:val="20"/>
        </w:rPr>
        <w:t xml:space="preserve">O'NEIL. </w:t>
      </w:r>
      <w:r>
        <w:rPr>
          <w:rFonts w:cs="Tahoma"/>
          <w:b/>
          <w:bCs/>
          <w:sz w:val="20"/>
          <w:szCs w:val="20"/>
        </w:rPr>
        <w:t>Weapons of Math Destruction</w:t>
      </w:r>
      <w:r>
        <w:rPr>
          <w:rFonts w:cs="Tahoma"/>
          <w:sz w:val="20"/>
          <w:szCs w:val="20"/>
        </w:rPr>
        <w:t>, 2016.</w:t>
      </w:r>
    </w:p>
  </w:footnote>
  <w:footnote w:id="43">
    <w:p>
      <w:pPr>
        <w:pStyle w:val="FootnoteText"/>
        <w:rPr/>
      </w:pPr>
      <w:r>
        <w:rPr>
          <w:rStyle w:val="Caracteresdenotaderodap"/>
        </w:rPr>
        <w:footnoteRef/>
      </w:r>
      <w:r>
        <w:rPr>
          <w:rFonts w:cs="Tahoma"/>
          <w:sz w:val="20"/>
          <w:szCs w:val="20"/>
        </w:rPr>
        <w:t xml:space="preserve"> </w:t>
      </w:r>
      <w:r>
        <w:rPr>
          <w:rFonts w:cs="Tahoma"/>
          <w:sz w:val="20"/>
          <w:szCs w:val="20"/>
        </w:rPr>
        <w:t xml:space="preserve">EUBANKS. </w:t>
      </w:r>
      <w:r>
        <w:rPr>
          <w:rFonts w:cs="Tahoma"/>
          <w:b/>
          <w:bCs/>
          <w:sz w:val="20"/>
          <w:szCs w:val="20"/>
        </w:rPr>
        <w:t>Automating Inequality</w:t>
      </w:r>
      <w:r>
        <w:rPr>
          <w:rFonts w:cs="Tahoma"/>
          <w:sz w:val="20"/>
          <w:szCs w:val="20"/>
        </w:rPr>
        <w:t>, 2018.</w:t>
      </w:r>
    </w:p>
  </w:footnote>
  <w:footnote w:id="44">
    <w:p>
      <w:pPr>
        <w:pStyle w:val="FootnoteText"/>
        <w:rPr/>
      </w:pPr>
      <w:r>
        <w:rPr>
          <w:rStyle w:val="Caracteresdenotaderodap"/>
        </w:rPr>
        <w:footnoteRef/>
      </w:r>
      <w:r>
        <w:rPr>
          <w:rFonts w:cs="Tahoma"/>
          <w:sz w:val="20"/>
          <w:szCs w:val="20"/>
        </w:rPr>
        <w:t xml:space="preserve"> </w:t>
      </w:r>
      <w:r>
        <w:rPr>
          <w:rFonts w:cs="Tahoma"/>
          <w:sz w:val="20"/>
          <w:szCs w:val="20"/>
        </w:rPr>
        <w:t xml:space="preserve">LEWIS et al. </w:t>
      </w:r>
      <w:r>
        <w:rPr>
          <w:rFonts w:cs="Tahoma"/>
          <w:b/>
          <w:bCs/>
          <w:sz w:val="20"/>
          <w:szCs w:val="20"/>
        </w:rPr>
        <w:t>Advances in Neural Information Processing Systems</w:t>
      </w:r>
      <w:r>
        <w:rPr>
          <w:rFonts w:cs="Tahoma"/>
          <w:sz w:val="20"/>
          <w:szCs w:val="20"/>
        </w:rPr>
        <w:t>, 2020.</w:t>
      </w:r>
    </w:p>
  </w:footnote>
  <w:footnote w:id="45">
    <w:p>
      <w:pPr>
        <w:pStyle w:val="FootnoteText"/>
        <w:rPr/>
      </w:pPr>
      <w:r>
        <w:rPr>
          <w:rStyle w:val="Caracteresdenotaderodap"/>
        </w:rPr>
        <w:footnoteRef/>
      </w:r>
      <w:r>
        <w:rPr>
          <w:rFonts w:cs="Tahoma"/>
          <w:sz w:val="20"/>
          <w:szCs w:val="20"/>
        </w:rPr>
        <w:t xml:space="preserve"> </w:t>
      </w:r>
      <w:r>
        <w:rPr>
          <w:rFonts w:cs="Tahoma"/>
          <w:sz w:val="20"/>
          <w:szCs w:val="20"/>
        </w:rPr>
        <w:t xml:space="preserve">FLORIDI et al. </w:t>
      </w:r>
      <w:r>
        <w:rPr>
          <w:rFonts w:cs="Tahoma"/>
          <w:b/>
          <w:bCs/>
          <w:sz w:val="20"/>
          <w:szCs w:val="20"/>
        </w:rPr>
        <w:t>Minds and Machines</w:t>
      </w:r>
      <w:r>
        <w:rPr>
          <w:rFonts w:cs="Tahoma"/>
          <w:sz w:val="20"/>
          <w:szCs w:val="20"/>
        </w:rPr>
        <w:t>, 2018.</w:t>
      </w:r>
    </w:p>
  </w:footnote>
  <w:footnote w:id="46">
    <w:p>
      <w:pPr>
        <w:pStyle w:val="FootnoteText"/>
        <w:rPr/>
      </w:pPr>
      <w:r>
        <w:rPr>
          <w:rStyle w:val="Caracteresdenotaderodap"/>
        </w:rPr>
        <w:footnoteRef/>
      </w:r>
      <w:r>
        <w:rPr>
          <w:rFonts w:cs="Tahoma"/>
          <w:sz w:val="20"/>
          <w:szCs w:val="20"/>
        </w:rPr>
        <w:t xml:space="preserve"> </w:t>
      </w:r>
      <w:r>
        <w:rPr>
          <w:rFonts w:cs="Tahoma"/>
          <w:sz w:val="20"/>
          <w:szCs w:val="20"/>
        </w:rPr>
        <w:t xml:space="preserve">SHNEIDERMAN. </w:t>
      </w:r>
      <w:r>
        <w:rPr>
          <w:rFonts w:cs="Tahoma"/>
          <w:b/>
          <w:bCs/>
          <w:sz w:val="20"/>
          <w:szCs w:val="20"/>
        </w:rPr>
        <w:t>Human-Centered AI</w:t>
      </w:r>
      <w:r>
        <w:rPr>
          <w:rFonts w:cs="Tahoma"/>
          <w:sz w:val="20"/>
          <w:szCs w:val="20"/>
        </w:rPr>
        <w:t>, 2022.</w:t>
      </w:r>
    </w:p>
  </w:footnote>
  <w:footnote w:id="47">
    <w:p>
      <w:pPr>
        <w:pStyle w:val="FootnoteText"/>
        <w:rPr/>
      </w:pPr>
      <w:r>
        <w:rPr>
          <w:rStyle w:val="Caracteresdenotaderodap"/>
        </w:rPr>
        <w:footnoteRef/>
      </w:r>
      <w:r>
        <w:rPr>
          <w:rFonts w:cs="Tahoma"/>
          <w:sz w:val="20"/>
          <w:szCs w:val="20"/>
        </w:rPr>
        <w:t xml:space="preserve"> </w:t>
      </w:r>
      <w:r>
        <w:rPr>
          <w:rFonts w:cs="Tahoma"/>
          <w:sz w:val="20"/>
          <w:szCs w:val="20"/>
        </w:rPr>
        <w:t xml:space="preserve">VALIM. </w:t>
      </w:r>
      <w:r>
        <w:rPr>
          <w:rFonts w:cs="Tahoma"/>
          <w:b/>
          <w:bCs/>
          <w:sz w:val="20"/>
          <w:szCs w:val="20"/>
        </w:rPr>
        <w:t>Estado de exceção</w:t>
      </w:r>
      <w:r>
        <w:rPr>
          <w:rFonts w:cs="Tahoma"/>
          <w:sz w:val="20"/>
          <w:szCs w:val="20"/>
        </w:rPr>
        <w:t>, 2021.</w:t>
      </w:r>
    </w:p>
  </w:footnote>
  <w:footnote w:id="48">
    <w:p>
      <w:pPr>
        <w:pStyle w:val="FootnoteText"/>
        <w:rPr/>
      </w:pPr>
      <w:r>
        <w:rPr>
          <w:rStyle w:val="Caracteresdenotaderodap"/>
        </w:rPr>
        <w:footnoteRef/>
      </w:r>
      <w:r>
        <w:rPr>
          <w:rFonts w:cs="Tahoma"/>
          <w:sz w:val="20"/>
          <w:szCs w:val="20"/>
        </w:rPr>
        <w:t xml:space="preserve"> </w:t>
      </w:r>
      <w:r>
        <w:rPr>
          <w:rFonts w:cs="Tahoma"/>
          <w:sz w:val="20"/>
          <w:szCs w:val="20"/>
        </w:rPr>
        <w:t xml:space="preserve">BINENBOJM, Gustavo. </w:t>
      </w:r>
      <w:r>
        <w:rPr>
          <w:rFonts w:cs="Tahoma"/>
          <w:b/>
          <w:bCs/>
          <w:sz w:val="20"/>
          <w:szCs w:val="20"/>
        </w:rPr>
        <w:t>Poder de polícia, ordenação, regulação</w:t>
      </w:r>
      <w:r>
        <w:rPr>
          <w:rFonts w:cs="Tahoma"/>
          <w:sz w:val="20"/>
          <w:szCs w:val="20"/>
        </w:rPr>
        <w:t>: transformações político-jurídicas, econômicas e institucionais do direito administrativo ordenador. 3. ed. Belo Horizonte: Fórum, 2023.</w:t>
      </w:r>
    </w:p>
  </w:footnote>
  <w:footnote w:id="49">
    <w:p>
      <w:pPr>
        <w:pStyle w:val="FootnoteText"/>
        <w:rPr/>
      </w:pPr>
      <w:r>
        <w:rPr>
          <w:rStyle w:val="Caracteresdenotaderodap"/>
        </w:rPr>
        <w:footnoteRef/>
      </w:r>
      <w:r>
        <w:rPr>
          <w:rFonts w:cs="Tahoma"/>
          <w:sz w:val="20"/>
          <w:szCs w:val="20"/>
        </w:rPr>
        <w:t xml:space="preserve"> </w:t>
      </w:r>
      <w:r>
        <w:rPr>
          <w:rFonts w:cs="Tahoma"/>
          <w:sz w:val="20"/>
          <w:szCs w:val="20"/>
        </w:rPr>
        <w:t xml:space="preserve">EUBANKS. </w:t>
      </w:r>
      <w:r>
        <w:rPr>
          <w:rFonts w:cs="Tahoma"/>
          <w:b/>
          <w:bCs/>
          <w:sz w:val="20"/>
          <w:szCs w:val="20"/>
        </w:rPr>
        <w:t>Automating Inequality</w:t>
      </w:r>
      <w:r>
        <w:rPr>
          <w:rFonts w:cs="Tahoma"/>
          <w:sz w:val="20"/>
          <w:szCs w:val="20"/>
        </w:rPr>
        <w:t>, 2018.</w:t>
      </w:r>
    </w:p>
  </w:footnote>
  <w:footnote w:id="50">
    <w:p>
      <w:pPr>
        <w:pStyle w:val="FootnoteText"/>
        <w:rPr/>
      </w:pPr>
      <w:r>
        <w:rPr>
          <w:rStyle w:val="Caracteresdenotaderodap"/>
        </w:rPr>
        <w:footnoteRef/>
      </w:r>
      <w:r>
        <w:rPr>
          <w:rFonts w:cs="Tahoma"/>
          <w:sz w:val="20"/>
          <w:szCs w:val="20"/>
        </w:rPr>
        <w:t xml:space="preserve"> </w:t>
      </w:r>
      <w:r>
        <w:rPr>
          <w:rFonts w:cs="Tahoma"/>
          <w:sz w:val="20"/>
          <w:szCs w:val="20"/>
        </w:rPr>
        <w:t xml:space="preserve">POLANYI, Michael. </w:t>
      </w:r>
      <w:r>
        <w:rPr>
          <w:rFonts w:cs="Tahoma"/>
          <w:b/>
          <w:bCs/>
          <w:sz w:val="20"/>
          <w:szCs w:val="20"/>
        </w:rPr>
        <w:t>The Tacit Dimension</w:t>
      </w:r>
      <w:r>
        <w:rPr>
          <w:rFonts w:cs="Tahoma"/>
          <w:sz w:val="20"/>
          <w:szCs w:val="20"/>
        </w:rPr>
        <w:t>. Chicago: University of Chicago Press, 1966.</w:t>
      </w:r>
    </w:p>
  </w:footnote>
  <w:footnote w:id="51">
    <w:p>
      <w:pPr>
        <w:pStyle w:val="FootnoteText"/>
        <w:rPr/>
      </w:pPr>
      <w:r>
        <w:rPr>
          <w:rStyle w:val="Caracteresdenotaderodap"/>
        </w:rPr>
        <w:footnoteRef/>
      </w:r>
      <w:r>
        <w:rPr>
          <w:rFonts w:cs="Tahoma"/>
          <w:sz w:val="20"/>
          <w:szCs w:val="20"/>
        </w:rPr>
        <w:t xml:space="preserve"> </w:t>
      </w:r>
      <w:r>
        <w:rPr>
          <w:rFonts w:cs="Tahoma"/>
          <w:sz w:val="20"/>
          <w:szCs w:val="20"/>
        </w:rPr>
        <w:t xml:space="preserve">CONSELHO NACIONAL DE JUSTIÇA. </w:t>
      </w:r>
      <w:r>
        <w:rPr>
          <w:rFonts w:cs="Tahoma"/>
          <w:b/>
          <w:bCs/>
          <w:sz w:val="20"/>
          <w:szCs w:val="20"/>
        </w:rPr>
        <w:t>Painel de Iniciativas de Inteligência Artificial no Poder Judiciário</w:t>
      </w:r>
      <w:r>
        <w:rPr>
          <w:rFonts w:cs="Tahoma"/>
          <w:sz w:val="20"/>
          <w:szCs w:val="20"/>
        </w:rPr>
        <w:t>, 2024.</w:t>
      </w:r>
    </w:p>
  </w:footnote>
  <w:footnote w:id="52">
    <w:p>
      <w:pPr>
        <w:pStyle w:val="FootnoteText"/>
        <w:rPr/>
      </w:pPr>
      <w:r>
        <w:rPr>
          <w:rStyle w:val="Caracteresdenotaderodap"/>
        </w:rPr>
        <w:footnoteRef/>
      </w:r>
      <w:r>
        <w:rPr>
          <w:rFonts w:cs="Tahoma"/>
          <w:sz w:val="20"/>
          <w:szCs w:val="20"/>
        </w:rPr>
        <w:t xml:space="preserve"> </w:t>
      </w:r>
      <w:r>
        <w:rPr>
          <w:rFonts w:cs="Tahoma"/>
          <w:sz w:val="20"/>
          <w:szCs w:val="20"/>
        </w:rPr>
        <w:t xml:space="preserve">CONSELHO SUPERIOR DA JUSTIÇA DO TRABALHO. </w:t>
      </w:r>
      <w:r>
        <w:rPr>
          <w:rFonts w:cs="Tahoma"/>
          <w:b/>
          <w:bCs/>
          <w:sz w:val="20"/>
          <w:szCs w:val="20"/>
        </w:rPr>
        <w:t>Chat-JT</w:t>
      </w:r>
      <w:r>
        <w:rPr>
          <w:rFonts w:cs="Tahoma"/>
          <w:sz w:val="20"/>
          <w:szCs w:val="20"/>
        </w:rPr>
        <w:t>, 2025.</w:t>
      </w:r>
    </w:p>
  </w:footnote>
  <w:footnote w:id="53">
    <w:p>
      <w:pPr>
        <w:pStyle w:val="FootnoteText"/>
        <w:rPr/>
      </w:pPr>
      <w:r>
        <w:rPr>
          <w:rStyle w:val="Caracteresdenotaderodap"/>
        </w:rPr>
        <w:footnoteRef/>
      </w:r>
      <w:r>
        <w:rPr>
          <w:rFonts w:cs="Tahoma"/>
          <w:sz w:val="20"/>
          <w:szCs w:val="20"/>
        </w:rPr>
        <w:t xml:space="preserve"> </w:t>
      </w:r>
      <w:r>
        <w:rPr>
          <w:rFonts w:cs="Tahoma"/>
          <w:sz w:val="20"/>
          <w:szCs w:val="20"/>
        </w:rPr>
        <w:t xml:space="preserve">BARDIN, Laurence. </w:t>
      </w:r>
      <w:r>
        <w:rPr>
          <w:rFonts w:cs="Tahoma"/>
          <w:b/>
          <w:bCs/>
          <w:sz w:val="20"/>
          <w:szCs w:val="20"/>
        </w:rPr>
        <w:t>Análise de conteúdo</w:t>
      </w:r>
      <w:r>
        <w:rPr>
          <w:rFonts w:cs="Tahoma"/>
          <w:sz w:val="20"/>
          <w:szCs w:val="20"/>
        </w:rPr>
        <w:t>. São Paulo: Edições 70, 2011.</w:t>
      </w:r>
    </w:p>
  </w:footnote>
  <w:footnote w:id="54">
    <w:p>
      <w:pPr>
        <w:pStyle w:val="FootnoteText"/>
        <w:rPr/>
      </w:pPr>
      <w:r>
        <w:rPr>
          <w:rStyle w:val="Caracteresdenotaderodap"/>
        </w:rPr>
        <w:footnoteRef/>
      </w:r>
      <w:r>
        <w:rPr>
          <w:rFonts w:cs="Tahoma"/>
          <w:sz w:val="20"/>
          <w:szCs w:val="20"/>
        </w:rPr>
        <w:t xml:space="preserve"> </w:t>
      </w:r>
      <w:r>
        <w:rPr>
          <w:rFonts w:cs="Tahoma"/>
          <w:sz w:val="20"/>
          <w:szCs w:val="20"/>
        </w:rPr>
        <w:t xml:space="preserve">UNIÃO EUROPEIA. </w:t>
      </w:r>
      <w:r>
        <w:rPr>
          <w:rFonts w:cs="Tahoma"/>
          <w:b/>
          <w:bCs/>
          <w:sz w:val="20"/>
          <w:szCs w:val="20"/>
        </w:rPr>
        <w:t>Regulamento (UE) 2024/1689 do Parlamento Europeu e do Conselho, de 13 de junho de 2024</w:t>
      </w:r>
      <w:r>
        <w:rPr>
          <w:rFonts w:cs="Tahoma"/>
          <w:sz w:val="20"/>
          <w:szCs w:val="20"/>
        </w:rPr>
        <w:t>. Estabelece regras harmonizadas em matéria de inteligência artificial. Jornal Oficial da União Europeia, 12 jul. 2024.</w:t>
      </w:r>
    </w:p>
  </w:footnote>
  <w:footnote w:id="55">
    <w:p>
      <w:pPr>
        <w:pStyle w:val="FootnoteText"/>
        <w:rPr/>
      </w:pPr>
      <w:r>
        <w:rPr>
          <w:rStyle w:val="Caracteresdenotaderodap"/>
        </w:rPr>
        <w:footnoteRef/>
      </w:r>
      <w:r>
        <w:rPr>
          <w:rFonts w:cs="Tahoma"/>
          <w:sz w:val="20"/>
          <w:szCs w:val="20"/>
        </w:rPr>
        <w:t xml:space="preserve"> </w:t>
      </w:r>
      <w:r>
        <w:rPr>
          <w:rFonts w:cs="Tahoma"/>
          <w:sz w:val="20"/>
          <w:szCs w:val="20"/>
        </w:rPr>
        <w:t xml:space="preserve">NATIONAL INSTITUTE OF STANDARDS AND TECHNOLOGY. </w:t>
      </w:r>
      <w:r>
        <w:rPr>
          <w:rFonts w:cs="Tahoma"/>
          <w:b/>
          <w:bCs/>
          <w:sz w:val="20"/>
          <w:szCs w:val="20"/>
        </w:rPr>
        <w:t>Artificial Intelligence Risk Management Framework</w:t>
      </w:r>
      <w:r>
        <w:rPr>
          <w:rFonts w:cs="Tahoma"/>
          <w:sz w:val="20"/>
          <w:szCs w:val="20"/>
        </w:rPr>
        <w:t>: AI RMF 1.0. Gaithersburg: NIST, 2023.</w:t>
      </w:r>
    </w:p>
  </w:footnote>
  <w:footnote w:id="56">
    <w:p>
      <w:pPr>
        <w:pStyle w:val="FootnoteText"/>
        <w:rPr/>
      </w:pPr>
      <w:r>
        <w:rPr>
          <w:rStyle w:val="Caracteresdenotaderodap"/>
        </w:rPr>
        <w:footnoteRef/>
      </w:r>
      <w:r>
        <w:rPr>
          <w:rFonts w:cs="Tahoma"/>
          <w:sz w:val="20"/>
          <w:szCs w:val="20"/>
        </w:rPr>
        <w:t xml:space="preserve"> </w:t>
      </w:r>
      <w:r>
        <w:rPr>
          <w:rFonts w:cs="Tahoma"/>
          <w:sz w:val="20"/>
          <w:szCs w:val="20"/>
        </w:rPr>
        <w:t xml:space="preserve">CONSELHO NACIONAL DE JUSTIÇA. </w:t>
      </w:r>
      <w:r>
        <w:rPr>
          <w:rFonts w:cs="Tahoma"/>
          <w:b/>
          <w:bCs/>
          <w:sz w:val="20"/>
          <w:szCs w:val="20"/>
        </w:rPr>
        <w:t>Justiça em Números 2026</w:t>
      </w:r>
      <w:r>
        <w:rPr>
          <w:rFonts w:cs="Tahoma"/>
          <w:sz w:val="20"/>
          <w:szCs w:val="20"/>
        </w:rPr>
        <w:t>, 2026.</w:t>
      </w:r>
    </w:p>
  </w:footnote>
</w:footnotes>
</file>

<file path=word/settings.xml><?xml version="1.0" encoding="utf-8"?>
<w:settings xmlns:w="http://schemas.openxmlformats.org/wordprocessingml/2006/main">
  <w:zoom w:percent="90"/>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ahoma" w:hAnsi="Tahoma" w:eastAsia="Tahoma" w:cs="Tahoma"/>
        <w:sz w:val="22"/>
        <w:szCs w:val="22"/>
        <w:lang w:val="pt-BR" w:eastAsia="zh-CN" w:bidi="hi-IN"/>
      </w:rPr>
    </w:rPrDefault>
    <w:pPrDefault>
      <w:pPr>
        <w:suppressAutoHyphens w:val="true"/>
      </w:pPr>
    </w:pPrDefault>
  </w:docDefaults>
  <w:style w:type="paragraph" w:styleId="Normal">
    <w:name w:val="Normal"/>
    <w:qFormat/>
    <w:pPr>
      <w:widowControl/>
      <w:suppressAutoHyphens w:val="true"/>
      <w:bidi w:val="0"/>
      <w:spacing w:lineRule="auto" w:line="240" w:before="0" w:after="0"/>
      <w:jc w:val="left"/>
    </w:pPr>
    <w:rPr>
      <w:rFonts w:ascii="Tahoma" w:hAnsi="Tahoma" w:eastAsia="Tahoma" w:cs="Tahoma"/>
      <w:color w:val="auto"/>
      <w:kern w:val="0"/>
      <w:sz w:val="24"/>
      <w:szCs w:val="22"/>
      <w:lang w:val="pt-BR" w:eastAsia="zh-CN" w:bidi="hi-IN"/>
    </w:rPr>
  </w:style>
  <w:style w:type="paragraph" w:styleId="Heading1">
    <w:name w:val="Heading 1"/>
    <w:basedOn w:val="Ttulo"/>
    <w:qFormat/>
    <w:pPr/>
    <w:rPr>
      <w:color w:val="2E74B5"/>
      <w:sz w:val="32"/>
      <w:szCs w:val="32"/>
    </w:rPr>
  </w:style>
  <w:style w:type="paragraph" w:styleId="Heading2">
    <w:name w:val="Heading 2"/>
    <w:basedOn w:val="Ttulo"/>
    <w:qFormat/>
    <w:pPr/>
    <w:rPr>
      <w:color w:val="2E74B5"/>
      <w:sz w:val="26"/>
      <w:szCs w:val="26"/>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derodap">
    <w:name w:val="Caracteres de nota de rodapé"/>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defim">
    <w:name w:val="Caracteres de nota de fim"/>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left"/>
    </w:pPr>
    <w:rPr>
      <w:rFonts w:ascii="Tahoma" w:hAnsi="Tahoma" w:eastAsia="Tahoma" w:cs="Tahoma"/>
      <w:b/>
      <w:bCs/>
      <w:color w:val="auto"/>
      <w:kern w:val="0"/>
      <w:sz w:val="22"/>
      <w:szCs w:val="22"/>
      <w:lang w:val="pt-BR" w:eastAsia="zh-CN" w:bidi="hi-IN"/>
    </w:rPr>
  </w:style>
  <w:style w:type="paragraph" w:styleId="ListParagraph">
    <w:name w:val="List Paragraph"/>
    <w:qFormat/>
    <w:pPr>
      <w:widowControl/>
      <w:suppressAutoHyphens w:val="true"/>
      <w:bidi w:val="0"/>
      <w:spacing w:before="0" w:after="0"/>
      <w:jc w:val="left"/>
    </w:pPr>
    <w:rPr>
      <w:rFonts w:ascii="Tahoma" w:hAnsi="Tahoma" w:eastAsia="Tahoma" w:cs="Tahoma"/>
      <w:color w:val="auto"/>
      <w:kern w:val="0"/>
      <w:sz w:val="22"/>
      <w:szCs w:val="22"/>
      <w:lang w:val="pt-BR" w:eastAsia="zh-CN" w:bidi="hi-IN"/>
    </w:rPr>
  </w:style>
  <w:style w:type="paragraph" w:styleId="FootnoteText">
    <w:name w:val="Footnote Text"/>
    <w:basedOn w:val="Normal"/>
    <w:link w:val="FootnoteTextChar"/>
    <w:uiPriority w:val="99"/>
    <w:semiHidden/>
    <w:unhideWhenUsed/>
    <w:pPr>
      <w:spacing w:lineRule="auto" w:line="240" w:before="0" w:after="0"/>
    </w:pPr>
    <w:rPr>
      <w:rFonts w:ascii="Tahoma" w:hAnsi="Tahoma"/>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Blocodecitao">
    <w:name w:val="Bloco de citação"/>
    <w:basedOn w:val="Normal"/>
    <w:qFormat/>
    <w:pPr>
      <w:spacing w:before="0" w:after="283"/>
      <w:ind w:hanging="0" w:left="567" w:right="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notes" Target="footnot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5532</TotalTime>
  <Application>LibreOffice/7.6.5.2$Windows_X86_64 LibreOffice_project/38d5f62f85355c192ef5f1dd47c5c0c0c6d6598b</Application>
  <AppVersion>15.0000</AppVersion>
  <Pages>20</Pages>
  <Words>6420</Words>
  <Characters>38910</Characters>
  <CharactersWithSpaces>45110</CharactersWithSpaces>
  <Paragraphs>330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2026-08-18T00:57:17Z</dcterms:created>
  <dc:creator>Un-named</dc:creator>
  <dc:description/>
  <dc:language>pt-BR</dc:language>
  <cp:lastModifiedBy/>
  <cp:lastPrinted>2026-08-21T11:09:01Z</cp:lastPrinted>
  <dcterms:modified xsi:type="dcterms:W3CDTF">2026-09-09T13:55:40Z</dcterms:modified>
  <cp:revision>54</cp:revision>
  <dc:subject/>
  <dc:title/>
</cp:coreProperties>
</file>

<file path=docProps/custom.xml><?xml version="1.0" encoding="utf-8"?>
<Properties xmlns="http://schemas.openxmlformats.org/officeDocument/2006/custom-properties" xmlns:vt="http://schemas.openxmlformats.org/officeDocument/2006/docPropsVTypes"/>
</file>