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Arial" w:hAnsi="Arial" w:eastAsia="Arial" w:cs="Arial"/>
          <w:b/>
          <w:bCs/>
          <w:sz w:val="24"/>
          <w:szCs w:val="24"/>
        </w:rPr>
      </w:pPr>
      <w:r>
        <w:rPr>
          <w:rFonts w:eastAsia="Arial" w:cs="Arial" w:ascii="Arial" w:hAnsi="Arial"/>
          <w:b/>
          <w:bCs/>
          <w:sz w:val="24"/>
          <w:szCs w:val="24"/>
        </w:rPr>
      </w:r>
    </w:p>
    <w:p>
      <w:pPr>
        <w:pStyle w:val="Normal"/>
        <w:spacing w:lineRule="auto" w:line="360" w:before="0" w:after="0"/>
        <w:jc w:val="center"/>
        <w:rPr>
          <w:rFonts w:ascii="Arial" w:hAnsi="Arial" w:eastAsia="Arial" w:cs="Arial"/>
          <w:b/>
          <w:bCs/>
          <w:sz w:val="20"/>
          <w:szCs w:val="20"/>
        </w:rPr>
      </w:pPr>
      <w:r>
        <w:rPr>
          <w:rFonts w:eastAsia="Arial" w:cs="Arial" w:ascii="Arial" w:hAnsi="Arial"/>
          <w:b/>
          <w:bCs/>
          <w:sz w:val="24"/>
          <w:szCs w:val="24"/>
        </w:rPr>
        <w:t xml:space="preserve">VIÉS DE AUTOMAÇÃO E PERDA DE QUALIDADE DAS DECISÕES: </w:t>
      </w:r>
      <w:r>
        <w:rPr>
          <w:rFonts w:eastAsia="Arial" w:cs="Arial" w:ascii="Arial" w:hAnsi="Arial"/>
          <w:b/>
          <w:bCs/>
          <w:sz w:val="24"/>
          <w:szCs w:val="24"/>
        </w:rPr>
        <w:t>UM</w:t>
      </w:r>
      <w:r>
        <w:rPr>
          <w:rFonts w:eastAsia="Arial" w:cs="Arial" w:ascii="Arial" w:hAnsi="Arial"/>
          <w:b/>
          <w:bCs/>
          <w:sz w:val="24"/>
          <w:szCs w:val="24"/>
        </w:rPr>
        <w:t xml:space="preserve"> FRAMEWORK DE GESTÃO DE RISCOS, AUDITORIA E COMPLIANCE NO JUDICIÁRIO</w:t>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right"/>
        <w:rPr>
          <w:rFonts w:ascii="Arial" w:hAnsi="Arial" w:eastAsia="Arial" w:cs="Arial"/>
          <w:sz w:val="24"/>
          <w:szCs w:val="24"/>
        </w:rPr>
      </w:pPr>
      <w:r>
        <w:rPr>
          <w:rFonts w:eastAsia="Arial" w:cs="Arial" w:ascii="Arial" w:hAnsi="Arial"/>
          <w:sz w:val="24"/>
          <w:szCs w:val="24"/>
        </w:rPr>
        <w:t>MELLO, Eric Lopes</w:t>
      </w:r>
    </w:p>
    <w:p>
      <w:pPr>
        <w:pStyle w:val="Normal"/>
        <w:spacing w:lineRule="auto" w:line="360" w:before="0" w:after="0"/>
        <w:jc w:val="center"/>
        <w:rPr>
          <w:rFonts w:ascii="Arial" w:hAnsi="Arial" w:eastAsia="Arial" w:cs="Arial"/>
          <w:b/>
          <w:bCs/>
          <w:sz w:val="24"/>
          <w:szCs w:val="24"/>
        </w:rPr>
      </w:pPr>
      <w:r>
        <w:rPr>
          <w:rFonts w:eastAsia="Arial" w:cs="Arial" w:ascii="Arial" w:hAnsi="Arial"/>
          <w:b/>
          <w:bCs/>
          <w:sz w:val="24"/>
          <w:szCs w:val="24"/>
        </w:rPr>
      </w:r>
    </w:p>
    <w:p>
      <w:pPr>
        <w:pStyle w:val="Normal"/>
        <w:spacing w:lineRule="auto" w:line="360" w:before="0" w:after="0"/>
        <w:jc w:val="center"/>
        <w:rPr>
          <w:rFonts w:ascii="Arial" w:hAnsi="Arial" w:eastAsia="Arial" w:cs="Arial"/>
          <w:b/>
          <w:bCs/>
          <w:sz w:val="24"/>
          <w:szCs w:val="24"/>
        </w:rPr>
      </w:pPr>
      <w:r>
        <w:rPr>
          <w:rFonts w:eastAsia="Arial" w:cs="Arial" w:ascii="Arial" w:hAnsi="Arial"/>
          <w:b/>
          <w:bCs/>
          <w:sz w:val="24"/>
          <w:szCs w:val="24"/>
        </w:rPr>
        <w:t>RESUMO</w:t>
      </w:r>
    </w:p>
    <w:p>
      <w:pPr>
        <w:pStyle w:val="Normal"/>
        <w:spacing w:lineRule="auto" w:line="360" w:before="0" w:after="0"/>
        <w:jc w:val="center"/>
        <w:rPr>
          <w:rFonts w:ascii="Arial" w:hAnsi="Arial" w:eastAsia="Arial" w:cs="Arial"/>
          <w:b/>
          <w:bCs/>
          <w:sz w:val="24"/>
          <w:szCs w:val="24"/>
        </w:rPr>
      </w:pPr>
      <w:r>
        <w:rPr>
          <w:rFonts w:eastAsia="Arial" w:cs="Arial" w:ascii="Arial" w:hAnsi="Arial"/>
          <w:b/>
          <w:bCs/>
          <w:sz w:val="24"/>
          <w:szCs w:val="24"/>
        </w:rPr>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t xml:space="preserve">A adoção de sistemas automatizados de apoio à decisão no Poder Judiciário brasileiro, de painéis descritivos de gestão a soluções de inteligência artificial, avança mais depressa do que a capacidade institucional de supervisão. Isso recoloca, nas decisões jurisdicionais e administrativas, o viés de automação, a tendência de aceitar sem escrutínio crítico a informação apresentada pelo sistema, e com ele o risco de perda de qualidade das decisões. Esta revisão bibliográfica narrativa, de caráter propositivo, examina como um framework de gestão de riscos, auditoria e compliance pode ser desenhado e ter sua implantação estruturada em um modelo de projeto, para prevenir essa perda. Foram consultados o Google Acadêmico, a SciELO e o Periódicos CAPES entre agosto e outubro de 2026, com critérios explícitos de inclusão e exclusão, o que resultou em quarenta e seis referências. A literatura de fatores humanos associa o viés à pressão de prazo, ao volume elevado e à vigilância prolongada, condições que favorecem a perda de qualidade, e os referenciais de governança, gestão de riscos e auditoria, como o COBIT, a ISO 31000 e o Modelo de Três Linhas, medem estruturas e processos sem alcançar a qualidade do que se decide. A qualidade da decisão é definida pela adequação da fundamentação ao caso, segundo critérios formais do Código de Processo Civil e da lei do processo administrativo federal. Propõe-se, em termos teóricos e não experimentais, um modelo de projeto de implantação, de referência, com etapas genéricas, papéis distribuídos pelas três linhas, matriz de probabilidade e impacto, indicadores de risco de perda de qualidade lidos por tendência, controles preventivos, detectivos e corretivos, monitoramento automatizado </w:t>
      </w:r>
      <w:r>
        <w:rPr>
          <w:rFonts w:eastAsia="Arial" w:cs="Arial" w:ascii="Arial" w:hAnsi="Arial"/>
          <w:sz w:val="24"/>
          <w:szCs w:val="24"/>
        </w:rPr>
        <w:t>periódico</w:t>
      </w:r>
      <w:r>
        <w:rPr>
          <w:rFonts w:eastAsia="Arial" w:cs="Arial" w:ascii="Arial" w:hAnsi="Arial"/>
          <w:sz w:val="24"/>
          <w:szCs w:val="24"/>
        </w:rPr>
        <w:t xml:space="preserve"> pela segunda linha e avaliação independente pela auditoria interna. O modelo deriva da literatura, não descreve projeto de órgão algum e não foi aplicado. O trabalho contribui ao indicar como antecipar a perda de qualidade da decisão e preveni-la com apoio da gestão, e ao apontar lacunas que dependem de validação empírica.</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jc w:val="both"/>
        <w:rPr>
          <w:rFonts w:ascii="Arial" w:hAnsi="Arial" w:eastAsia="Arial" w:cs="Arial"/>
          <w:sz w:val="24"/>
          <w:szCs w:val="24"/>
        </w:rPr>
      </w:pPr>
      <w:r>
        <w:rPr>
          <w:rFonts w:eastAsia="Arial" w:cs="Arial" w:ascii="Arial" w:hAnsi="Arial"/>
          <w:b/>
          <w:bCs/>
          <w:sz w:val="24"/>
          <w:szCs w:val="24"/>
        </w:rPr>
        <w:t>Palavras-Chave:</w:t>
      </w:r>
      <w:r>
        <w:rPr>
          <w:rFonts w:eastAsia="Arial" w:cs="Arial" w:ascii="Arial" w:hAnsi="Arial"/>
          <w:sz w:val="24"/>
          <w:szCs w:val="24"/>
        </w:rPr>
        <w:t xml:space="preserve"> Viés de automação. Qualidade da decisão. Gestão de riscos. Auditoria. Compliance.</w:t>
      </w:r>
    </w:p>
    <w:p>
      <w:pPr>
        <w:pStyle w:val="Normal"/>
        <w:spacing w:lineRule="auto" w:line="240" w:before="0" w:after="0"/>
        <w:rPr>
          <w:rFonts w:ascii="Arial" w:hAnsi="Arial" w:eastAsia="Arial" w:cs="Arial"/>
          <w:sz w:val="24"/>
          <w:szCs w:val="24"/>
        </w:rPr>
      </w:pPr>
      <w:r>
        <w:rPr>
          <w:rFonts w:eastAsia="Arial" w:cs="Arial" w:ascii="Arial" w:hAnsi="Arial"/>
          <w:sz w:val="24"/>
          <w:szCs w:val="24"/>
        </w:rPr>
      </w:r>
      <w:r>
        <w:br w:type="page"/>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b/>
          <w:bCs/>
          <w:sz w:val="24"/>
          <w:szCs w:val="24"/>
        </w:rPr>
      </w:pPr>
      <w:r>
        <w:rPr>
          <w:rFonts w:eastAsia="Arial" w:cs="Arial" w:ascii="Arial" w:hAnsi="Arial"/>
          <w:b/>
          <w:bCs/>
          <w:sz w:val="24"/>
          <w:szCs w:val="24"/>
        </w:rPr>
        <w:t>1 INTRODUÇÃO</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Em 2025 o Poder Judiciário brasileiro recebeu 40,9 milhões de casos novos, o maior volume da série histórica iniciada em 2009, e encerrou o ano com 75,5 milhões de processos em tramitação e taxa de congestionamento de 62,6% (Conselho Nacional de Justiça, 2026). No ano anterior, a Pesquisa IA no Poder Judiciário registrou 178 projetos de inteligência artificial em tribunais e conselhos. Mais de 80% deles não tinham integração à Plataforma Sinapses, infraestrutura de auditoria centralizada mantida pelo próprio Conselho, à qual apenas 10,2% estavam integrados por completo (Conselho Nacional de Justiça, 2025a). O quadro é de adoção ampla, desigual e com acompanhamento comum ainda incipiente, o que recoloca a necessidade de distinguir a adoção da tecnologia de sua efetividade concreta (Mello, 2022).</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O magistrado e o gestor administrativo ocupam a posição central desse arranjo, o primeiro na decisão jurisdicional, o segundo nas decisões de gestão apoiadas em painéis institucionais. Este trabalho os designa em conjunto como decisores e distingue um do outro apenas quando isso importa ao argumento. O objeto da revisão abrange tanto as soluções de inteligência artificial quanto os painéis descritivos, que apenas exibem indicadores consolidados e ainda assim servem de base à decisão.</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A literatura de fatores humanos chama de viés de automação a tendência de operadores a aceitar recomendações de sistemas automatizados mesmo quando elas contradizem outras evidências disponíveis e confiáveis (Skitka; Mosier; Burdick, 1999). Parasuraman e Riley (1997) organizaram a relação entre humanos e automação em uso, mau uso, desuso e abuso, e o viés de automação é um dos mecanismos que produzem o mau uso. O fenômeno foi sistematizado em revisão que reúne sua frequência, seus mediadores e seus mitigadores (Goddard; Roudsari; Wyatt, 2012) e descrito em sistemas de apoio à decisão sob restrição de tempo (Cummings, 2004). Parasuraman e Manzey (2010) distinguiram dois processos independentes. A complacência é o monitoramento insuficiente do sistema ao longo do tempo, e o viés em sentido estrito é o peso excessivo atribuído à recomendação no momento da decisão.</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A distinção tem consequência prática. Comitês de governança, atas e relatórios de impacto, que ocupam o centro da Resolução CNJ n. 615/2025 (Conselho Nacional de Justiça, 2025b), respondem à responsabilização institucional pelo uso. Não impedem, porém, que o decisor deixe de verificar a recomendação antes de segui-la, ainda que a Constituição presuma fundamentação autônoma para toda decisão judicial (Brasil, 1988, art. 93, IX). O ambiente do Judiciário reúne as condições de maior risco descritas pela literatura, com decisões seriadas, pressão de prazo, volume elevado e conferência repetitiva, que reproduzem o cenário clássico dos estudos de vigilância (Mackworth, 1948; Warm; Parasuraman; Matthews, 2008). Guthrie, Rachlinski e Wistrich (2007) observaram que magistrados sob pressão de tempo recorrem mais a heurísticas intuitivas do que a raciocínio deliberativo.</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A revisão parte da seguinte questão. Como estruturar o projeto de implantação de um framework de gestão de riscos, auditoria e compliance que previna a perda de qualidade das decisões apoiadas por sistemas no Poder Judiciário, associada ao viés de automação? A proposição que orienta a revisão é que a eficácia do framework depende menos da existência formal de instâncias de controle do que da capacidade de antecipar a perda de qualidade, lendo por tendência as condições que a favorecem, como a pressão de prazo, a aceleração do volume e a concentração de decisões no fim do período de apuração, e de responder a elas com apoio da gestão, e não com cobrança. O objetivo geral é propor, a partir da literatura, um modelo de projeto de implantação desse framework, ou seja, uma estrutura de referência adaptável a cada tribunal, sem referir-se a projeto concreto de órgão algum. A revisão tem caráter propositivo, pois além de mapear a literatura examina, como síntese aplicada, o Modelo GSD</w:t>
      </w:r>
      <w:r>
        <w:rPr>
          <w:rFonts w:eastAsia="Arial" w:cs="Arial" w:ascii="Arial" w:hAnsi="Arial"/>
          <w:sz w:val="24"/>
          <w:szCs w:val="24"/>
        </w:rPr>
        <w:t xml:space="preserve"> ( Governança da Simbiose Decisória)</w:t>
      </w:r>
      <w:r>
        <w:rPr>
          <w:rFonts w:eastAsia="Arial" w:cs="Arial" w:ascii="Arial" w:hAnsi="Arial"/>
          <w:sz w:val="24"/>
          <w:szCs w:val="24"/>
        </w:rPr>
        <w:t xml:space="preserve"> de governança da simbiose decisória, formulado pelo próprio autor.</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 xml:space="preserve">São três os objetivos específicos. O primeiro é caracterizar o viés de automação e as condições de trabalho que o favorecem como risco de perda de qualidade da decisão, com uma definição operacional dessa qualidade (subseção 3.1). O segundo é examinar o Modelo </w:t>
      </w:r>
      <w:r>
        <w:rPr>
          <w:rFonts w:eastAsia="Arial" w:cs="Arial" w:ascii="Arial" w:hAnsi="Arial"/>
          <w:sz w:val="24"/>
          <w:szCs w:val="24"/>
          <w:shd w:fill="FFFFFF" w:val="clear"/>
        </w:rPr>
        <w:t xml:space="preserve">GSD </w:t>
      </w:r>
      <w:r>
        <w:rPr>
          <w:rFonts w:eastAsia="Arial" w:cs="Arial" w:ascii="Arial" w:hAnsi="Arial"/>
          <w:sz w:val="24"/>
          <w:szCs w:val="24"/>
        </w:rPr>
        <w:t>como framework de gestão de riscos, auditoria e compliance que torne a qualidade da decisão objeto de controle (subseção 3.2). O terceiro é estruturar um modelo de projeto de implantação, com papéis, etapas, indicadores e riscos do projeto, adaptável a cada tribunal (subseção 3.3).</w:t>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b/>
          <w:bCs/>
          <w:sz w:val="24"/>
          <w:szCs w:val="24"/>
        </w:rPr>
      </w:pPr>
      <w:r>
        <w:rPr>
          <w:rFonts w:eastAsia="Arial" w:cs="Arial" w:ascii="Arial" w:hAnsi="Arial"/>
          <w:b/>
          <w:bCs/>
          <w:sz w:val="24"/>
          <w:szCs w:val="24"/>
        </w:rPr>
        <w:t>2 METODOLOGIA</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 xml:space="preserve">Este trabalho é uma revisão bibliográfica narrativa, organizada em levantamento, triagem, análise crítica e síntese. O modelo de projeto da subseção 3.3 é construído por dedução a partir dessa síntese e não envolve coleta de dados, piloto ou aplicação em órgão algum. A seleção foi intencional e privilegiou trabalhos seminais e representativos de corpos de literatura que raramente se citam entre si. As buscas foram realizadas entre agosto e outubro de 2026 no Google Acadêmico, na SciELO e no Periódicos CAPES, pela cobertura interdisciplinar, pela produção nacional revisada por pares e pelo acesso a periódicos internacionais de ciência cognitiva, ergonomia e interação humano-computador. </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As fontes normativas e institucionais foram obtidas nos portais oficiais e tratadas como corpus de referência, não como literatura acadêmica. São elas a Constituição Federal, o Código de Processo Civil (Brasil, 2015), a Lei n. 9.784/1999 (Brasil, 1999), a Lei Geral de Proteção de Dados (Brasil, 2018), a Resolução CNJ n. 615/2025, a Resolução CNJ n. 309/2020, que trata da auditoria interna no Judiciário (Conselho Nacional de Justiça, 2020), o Regulamento (UE) 2024/1689 (União Europeia, 2024), os documentos do Conselho Nacional de Justiça sobre governança de TIC e o referencial de gestão de riscos do Tribunal de Contas da União (2018). O COBIT 2019 foi consultado na publicação Introduction and Methodology (ISACA, 2018). A ISO 31000, a ISO 37301 e o COSO ERM foram tratados como referenciais técnicos de gestão de riscos e compliance, e o Scrum Guide (Schwaber; Sutherland, 2020) como referência de gestão ágil.</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shd w:fill="FFFFFF" w:val="clear"/>
        </w:rPr>
        <w:t xml:space="preserve">Os descritores, mantidos no idioma de indexação, combinaram três eixos, o de fatores humanos (automation bias, automation complacency, vigilance decrement, time pressure), o de governança algorítmica (human oversight, algorithmic decision-making, human-AI interaction) e o de gestão de riscos, auditoria e compliance (risk management, continuous auditing, three lines model, compliance), cruzados com termos da decisão assistida (judicial decision, decision support, public administration) e, nas bases nacionais, com equivalentes em português. Os termos de cada eixo foram reunidos com OR, e os eixos entre si com AND. O rastreamento reverso das referências recuperou trabalhos anteriores à indexação eletrônica, como Mackworth (1948) e Bainbridge (1983), e a literatura econômica sobre efeitos de fim de período, como Oyer (1998). </w:t>
      </w:r>
      <w:r>
        <w:rPr>
          <w:rFonts w:eastAsia="Arial" w:cs="Arial" w:ascii="Arial" w:hAnsi="Arial"/>
          <w:sz w:val="24"/>
          <w:szCs w:val="24"/>
        </w:rPr>
        <w:t>Foram incluídos artigos revisados por pares e obras seminais publicados entre 1948 e 2025, além dos textos normativos em vigor, e excluídos conteúdos sem revisão por pares, materiais comerciais e materiais didáticos. Após a remoção de duplicatas, títulos e resumos foram triados quanto à pertinência aos eixos, e os remanescentes foram lidos na íntegra.</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O conjunto final reúne quarenta e seis referências, das quais trinta e três são literatura acadêmica e de referência técnica e treze são fontes normativas ou dados oficiais, organizadas em três blocos. O primeiro reúne a literatura fundacional sobre automação, vigilância, carga cognitiva, confiança e fatores extrajurídicos da decisão judicial. O segundo reúne os estudos sobre supervisão humana de sistemas algorítmicos e desenho de interação humano-inteligência artificial. O terceiro reúne o corpus normativo-institucional, os referenciais de governança de TI, gestão de riscos, auditoria e gestão ágil, a literatura de auditoria contínua e de efeitos de fim de período e a literatura sobre uso não sancionado de ferramentas e conhecimento tácito.</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 xml:space="preserve">A revisão tem um limite que condiciona toda a leitura. O modelo examinado na subseção 3.2 veda o registro da conduta individual do decisor diante da recomendação, de modo que o viés de automação não é medido diretamente. O que o modelo produz são aproximações agregadas por unidade, os indicadores de uso e a qualidade da fundamentação aferida por amostragem, que sinalizam o risco sem identificá-lo em cada decisão. O argumento é teoricamente fundamentado, mas não testável pelo instrumento que descreve. </w:t>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b/>
          <w:bCs/>
          <w:sz w:val="24"/>
          <w:szCs w:val="24"/>
        </w:rPr>
      </w:pPr>
      <w:r>
        <w:rPr>
          <w:rFonts w:eastAsia="Arial" w:cs="Arial" w:ascii="Arial" w:hAnsi="Arial"/>
          <w:b/>
          <w:bCs/>
          <w:sz w:val="24"/>
          <w:szCs w:val="24"/>
        </w:rPr>
        <w:t>3 DISCUSSÃO</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A literatura revisada converge em um ponto pouco explorado pelos textos normativos. A eficácia de um regime de supervisão depende das condições em que se decide e do modo como se desenha a interação entre operador e sistema, e a existência formal do regime não basta para produzi-la. Os instrumentos que exigem comitês, atas e relatórios de impacto tratam da responsabilização institucional, ao passo que a literatura de fatores humanos descreve os mecanismos que determinam se, no momento da decisão, o operador exerce o escrutínio que esses instrumentos pressupõem.</w:t>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t>3.1 O VIÉS DE AUTOMAÇÃO COMO RISCO DE PERDA DE QUALIDADE DA DECISÃO</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 xml:space="preserve">Parasuraman e Riley (1997) distinguem quatro categorias de relação com a automação, o uso adequado e três formas disfuncionais, o mau uso, que é o excesso de confiança, o desuso, que é a rejeição indevida, e o abuso, que é a implantação sem atenção ao desempenho humano. O viés de automação opera no interior do mau uso. No modelo de integração atencional de Parasuraman e Manzey (2010), complacência e viés, frequentemente tratados como sinônimos, são mecanismos distintos. A complacência decorre de atenção insuficiente ao monitoramento ao longo do tempo. O viés em sentido estrito decorre do peso atribuído à recomendação no instante da decisão, mesmo com o operador atento. </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O viés cognitivo não se confunde com o viés algorítmico. Este reside no artefato e resulta de dados não representativos, rótulos enviesados ou escolhas de modelagem. Aquele reside no operador e diz respeito ao modo como ele processa a recomendação. O primeiro se combate na engenharia de dados e na auditoria do modelo, e o segundo, objeto desta revisão, nas condições em que se decide e no desenho da interação.</w:t>
      </w:r>
      <w:r>
        <w:rPr>
          <w:rFonts w:eastAsia="Arial" w:cs="Arial" w:ascii="Arial" w:hAnsi="Arial"/>
          <w:sz w:val="24"/>
          <w:szCs w:val="24"/>
          <w:shd w:fill="FFFFFF" w:val="clear"/>
        </w:rPr>
        <w:t xml:space="preserve"> </w:t>
      </w:r>
      <w:r>
        <w:rPr>
          <w:rFonts w:eastAsia="Arial" w:cs="Arial" w:ascii="Arial" w:hAnsi="Arial"/>
          <w:sz w:val="24"/>
          <w:szCs w:val="24"/>
        </w:rPr>
        <w:t>Como a Resolução CNJ n. 615/2025 disciplina soluções de inteligência artificial, os painéis ficam, em princípio, fora de seu alcance, lacuna que esta revisão apenas assinala.</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Um segundo mecanismo agrava o quadro. Painéis de gestão do Judiciário</w:t>
      </w:r>
      <w:r>
        <w:rPr>
          <w:rFonts w:eastAsia="Arial" w:cs="Arial" w:ascii="Arial" w:hAnsi="Arial"/>
          <w:sz w:val="24"/>
          <w:szCs w:val="24"/>
        </w:rPr>
        <w:t xml:space="preserve"> </w:t>
      </w:r>
      <w:r>
        <w:rPr>
          <w:rFonts w:eastAsia="Arial" w:cs="Arial" w:ascii="Arial" w:hAnsi="Arial"/>
          <w:sz w:val="24"/>
          <w:szCs w:val="24"/>
        </w:rPr>
        <w:t xml:space="preserve">costumam exibir apenas produtividade, com processos solucionados, adiamentos e pendências por unidade, e as metas de volume que os acompanham podem sinalizar ao decisor o que a instituição mais valoriza. Sem contrapeso de qualidade, esse excesso de controle de produtividade pressiona por prazos cada vez menores, e sob pressão de tempo o julgamento recorre mais a heurísticas (Guthrie; Rachlinski; Wistrich, 2007). </w:t>
      </w:r>
      <w:r>
        <w:rPr>
          <w:rFonts w:eastAsia="Arial" w:cs="Arial" w:ascii="Arial" w:hAnsi="Arial"/>
          <w:sz w:val="24"/>
          <w:szCs w:val="24"/>
          <w:shd w:fill="FFFFFF" w:val="clear"/>
        </w:rPr>
        <w:t xml:space="preserve">Quando a apuração se fecha em datas fixas, a pressão tende a se concentrar perto do prazo. </w:t>
      </w:r>
      <w:r>
        <w:rPr>
          <w:rFonts w:eastAsia="Arial" w:cs="Arial" w:ascii="Arial" w:hAnsi="Arial"/>
          <w:sz w:val="24"/>
          <w:szCs w:val="24"/>
        </w:rPr>
        <w:t>Oyer (1998) mostrou que agentes cuja remuneração depende de metas anuais concentram vendas no fim do exercício fiscal. A transposição à decisão judicial é inferência a testar, e não achado, mas sugere que o risco de perda de qualidade não se distribui de modo uniforme ao longo do mês. O risco é de perda de qualidade da decisão, jurisdicional ou administrativa, e não de falta de produtividade.</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Para os fins desta revisão, qualidade da decisão é a adequação da fundamentação ao caso concreto, aferível por critérios formais e independente do acerto de mérito, cujo controle cabe às vias recursais. Na decisão judicial, os critérios vêm do art. 489, § 1º, do Código de Processo Civil, aplicável ao processo do trabalho de forma supletiva e subsidiária (Brasil, 2015, art. 15), que não considera fundamentada a decisão que reproduz ato normativo sem explicar sua relação com a causa, emprega conceitos jurídicos indeterminados sem explicar sua incidência, invoca motivos que se prestariam a qualquer outra decisão ou deixa de enfrentar os argumentos capazes de, em tese, infirmar a conclusão. Na decisão administrativa, o art. 50, § 1º, da Lei n. 9.784/1999 exige motivação explícita, clara e congruente (Brasil, 1999). A qualidade assim definida pode ser observada por duas vias complementares, a amostragem da fundamentação segundo esses critérios e indicadores de resultado agregados por unidade, como a taxa de reforma em instância superior, a recorribilidade e a proporção de embargos de declaração acolhidos, que refletem a qualidade com atraso e sob influência de outros fatores.</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Sob essa pressão, quem decide economiza esforço de verificação e passa a aceitar a indicação do sistema como já conferida, tendência conhecida como viés de automação ou complacência com a automação (Parasuraman; Manzey, 2010). Lee e See (2004) descrevem o problema como calibração de confiança. A confiança deveria acompanhar a confiabilidade real do sistema, mas costuma divergir dela e produzir excesso de confiança justamente quando o sistema erra em silêncio. Bainbridge (1983) explica por que o desequilíbrio se agrava com o uso prolongado. Ao automatizar a maior parte da tarefa, o sistema reserva ao humano os casos mais difíceis e o converte, no cotidiano, em monitor passivo, menos preparado para intervir do que estaria se executasse a tarefa com regularidade. Endsley (1995) descreve esse déficit como perda de consciência situacional.</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O decremento de vigilância identificado por Mackworth (1948) em operadores de radar não vem do tédio, e sim do custo da própria vigilância, que consome recursos atencionais de forma crescente (Warm; Parasuraman; Matthews, 2008). Pela teoria da carga cognitiva (Sweller, 1988), como a memória de trabalho é limitada, o esforço de verificar uma recomendação compete com o esforço da tarefa substantiva de julgar.</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A transposição ao Judiciário exige cautela com achados de base empírica controvertida, como a associação entre as pausas para refeição e a concessão de liberdade condicional (Danziger; Levav; Avnaim-Pesso, 2011), contestada por fatores de organização da pauta que o estudo não considerou (Weinshall-Margel; Shapard, 2011). Basta ao argumento que a supervisão sustentada de um sistema automatizado se degrada ao longo da sessão, fenômeno atencional bem documentado e independente dessa controvérsia, e que a pressão de tempo desloca o julgamento para o processamento heurístico.</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A literatura documenta também o desvio oposto. Juízes da Virgínia se desviaram sistematicamente das recomendações de um instrumento de avaliação de risco, cujo uso diminuiu com o tempo (Stevenson; Doleac, 2024), e experimentos no setor público holandês encontraram, em vez de viés de automação em sentido estrito, aderência seletiva ao conselho que coincidia com estereótipos (Alon-Barkat; Busuioc, 2023). Excesso e insuficiência de confiança são faces do mesmo problema de calibração, e a supervisão deve ajustar a desconfiança à confiabilidade do sistema, sem maximizá-la.</w:t>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t>3.2 O MODELO GSD COMO FRAMEWORK DE GESTÃO DE RISCOS DA DECISÃO</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 xml:space="preserve">O Modelo de Governança da Simbiose Decisória formulado pelo autor como proposta teórica, é examinado aqui de forma crítica como framework de gestão de riscos da decisão apoiada por sistema. Em vez de perseguir a explicabilidade técnica do sistema, cada vez menos praticável diante de modelos de grande porte, o modelo desloca o objeto da governança para a decisão, o que permite aplicar a mesma regra a uma planilha, a um painel descritivo ou a uma solução de inteligência artificial generativa. O sistema amplia a capacidade humana, na linha da inteligência aumentada (Floridi et al., 2018), e o encargo de fundamentar permanece com quem decide. A supervisão é desenhada e submetida a controle </w:t>
      </w:r>
      <w:r>
        <w:rPr>
          <w:rFonts w:eastAsia="Arial" w:cs="Arial" w:ascii="Arial" w:hAnsi="Arial"/>
          <w:sz w:val="24"/>
          <w:szCs w:val="24"/>
        </w:rPr>
        <w:t>independente</w:t>
      </w:r>
      <w:r>
        <w:rPr>
          <w:rFonts w:eastAsia="Arial" w:cs="Arial" w:ascii="Arial" w:hAnsi="Arial"/>
          <w:sz w:val="24"/>
          <w:szCs w:val="24"/>
        </w:rPr>
        <w:t>, e não presumida, em resposta à crítica de que políticas que apenas exigem supervisão humana pressupõem uma capacidade que a pesquisa não confirma (Green, 2022).</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O modelo organiza-se em quatro princípios. A proporcionalidade ajusta a supervisão ao impacto sobre direitos e à dificuldade de reversão. A auditabilidade é condição de legitimidade. A irreversibilidade é vetor central de risco. A intransferibilidade mantém a responsabilidade com quem assina a decisão. Proporcionalidade e auditabilidade atuam sobre a complacência, ao exigir monitoramento ativo proporcional ao risco, e irreversibilidade e intransferibilidade atuam sobre o viés em sentido estrito, ao manter com o humano o ônus final da decisão (Parasuraman; Manzey, 2010). Por isso toda decisão apoiada pelo sistema tem responsável nominal, com nome e cargo, para fins de responsabilização, enquanto os indicadores seguem agregados por unidade.</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Na linguagem da gestão de riscos (ABNT, 2018; Committee of Sponsoring Organizations of the Treadway Commission, 2017; Tribunal de Contas da União, 2018), o viés de automação é o evento de risco, o</w:t>
      </w:r>
      <w:r>
        <w:rPr>
          <w:rFonts w:eastAsia="Arial" w:cs="Arial" w:ascii="Arial" w:hAnsi="Arial"/>
          <w:sz w:val="24"/>
          <w:szCs w:val="24"/>
          <w:shd w:fill="FFFFFF" w:val="clear"/>
        </w:rPr>
        <w:t xml:space="preserve"> </w:t>
      </w:r>
      <w:r>
        <w:rPr>
          <w:rFonts w:eastAsia="Arial" w:cs="Arial" w:ascii="Arial" w:hAnsi="Arial"/>
          <w:sz w:val="24"/>
          <w:szCs w:val="24"/>
          <w:shd w:fill="FFFFFF" w:val="clear"/>
        </w:rPr>
        <w:t>GSD mede</w:t>
      </w:r>
      <w:r>
        <w:rPr>
          <w:rFonts w:eastAsia="Arial" w:cs="Arial" w:ascii="Arial" w:hAnsi="Arial"/>
          <w:sz w:val="24"/>
          <w:szCs w:val="24"/>
          <w:shd w:fill="FFFFFF" w:val="clear"/>
        </w:rPr>
        <w:t xml:space="preserve"> </w:t>
      </w:r>
      <w:r>
        <w:rPr>
          <w:rFonts w:eastAsia="Arial" w:cs="Arial" w:ascii="Arial" w:hAnsi="Arial"/>
          <w:sz w:val="24"/>
          <w:szCs w:val="24"/>
        </w:rPr>
        <w:t xml:space="preserve">o impacto e os indicadores de contexto estimam a probabilidade. O Índice classifica cada uso de sistema em três camadas de supervisão a partir de duas dimensões pontuadas de um a cinco, o impacto sobre direitos fundamentais e a irreversibilidade da decisão, esta com peso maior por refletir a impossibilidade de reparação. A pontuação é atribuída por avaliador humano, sendo vedada a classificação automática, de modo a preservar a autonomia decisória de quem avalia. O resultado é registrado em ficha que contém a solução avaliada, os escores com suas justificativas, a camada de risco atribuída, o responsável nominal e a data da próxima reavaliação. Quando a pontuação fica imediatamente abaixo do limite entre duas camadas, a solução é enquadrada na camada de maior risco, em aplicação do princípio da precaução. </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A probabilidade de perda de qualidade é estimada por seis indicadores de contexto, acompanhados por unidade e nunca por magistrado. São eles a pressão de prazo sustentada, a aceleração brusca do volume de decisões em relação à série da própria unidade, a concentração de decisões nas semanas finais de cada período de apuração, a carga por força de trabalho, a complexidade do acervo e a proporção de minutas sugeridas por automação. Um painel que exibe apenas produtividade agrava a pressão de prazo, pois aceitar a sugestão do sistema tende a ser o caminho mais barato para cumprir a meta. Cruzada com a camada do Índice, a probabilidade, em baixa, média ou alta, forma uma matriz de probabilidade e impacto (ABNT, 2018) que antecipa a reavaliação dos usos de maior risco em unidades de probabilidade alta. O painel exibe, ao lado da produtividade, os indicadores de qualidade definidos na subseção 3.1, lidos por tendência e sem ranking entre unidades. Os limiares dependem de calibração com a série histórica do tribunal, e o alerta aciona apoio da gestão, e não cobrança.</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 xml:space="preserve">O controle distribui-se por instâncias funcionalmente separadas, que reproduzem a distinção dos referenciais entre governança e gestão. No COBIT 2019, os objetivos de governança ficam no domínio Avaliar, Dirigir e Monitorar, e os de gestão nos domínios de planejamento, construção, entrega e monitoramento (ISACA, 2018), e a Estratégia Nacional de TIC do Judiciário adota a mesma separação (Conselho Nacional de Justiça, 2021a). No Modelo de Três Linhas (Institute of Internal Auditors, 2020), a operação é a primeira linha, as funções de gestão de riscos e de conformidade compõem a segunda, e a auditoria interna é a terceira, que avalia com independência as duas anteriores e reporta ao órgão de governança, papel aqui exercido pelo comitê. A Resolução CNJ n. 309/2020 situa a auditoria interna do Judiciário na terceira linha e veda a seus integrantes implantar controles internos ou assumir atividades de gestão (Conselho Nacional de Justiça, 2020, arts. 2º, 20 e 74). Por isso as conferências automatizadas que verificam, a cada </w:t>
      </w:r>
      <w:r>
        <w:rPr>
          <w:rFonts w:eastAsia="Arial" w:cs="Arial" w:ascii="Arial" w:hAnsi="Arial"/>
          <w:i/>
          <w:iCs/>
          <w:sz w:val="24"/>
          <w:szCs w:val="24"/>
        </w:rPr>
        <w:t>sprint</w:t>
      </w:r>
      <w:r>
        <w:rPr>
          <w:rFonts w:eastAsia="Arial" w:cs="Arial" w:ascii="Arial" w:hAnsi="Arial"/>
          <w:sz w:val="24"/>
          <w:szCs w:val="24"/>
        </w:rPr>
        <w:t xml:space="preserve">, a aderência da classificação, a completude da ficha e a integridade do registro são monitoramento contínuo de controles, atribuição da segunda linha, e não asseguração. </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 xml:space="preserve">A auditoria interna as utiliza como insumo de auditoria contínua (Vasarhelyi; Halper, 1991) e avalia, com independência, se são confiáveis. A separação importa porque quem fixa a intensidade da verificação </w:t>
      </w:r>
      <w:r>
        <w:rPr>
          <w:rFonts w:eastAsia="Arial" w:cs="Arial" w:ascii="Arial" w:hAnsi="Arial"/>
          <w:sz w:val="24"/>
          <w:szCs w:val="24"/>
        </w:rPr>
        <w:t xml:space="preserve">do risco </w:t>
      </w:r>
      <w:r>
        <w:rPr>
          <w:rFonts w:eastAsia="Arial" w:cs="Arial" w:ascii="Arial" w:hAnsi="Arial"/>
          <w:sz w:val="24"/>
          <w:szCs w:val="24"/>
        </w:rPr>
        <w:t>não é quem arca com seu custo no cotidiano, o que protege a verificação da erosão por conveniência operacional. Conferências e auditoria têm como objeto o artefato e o processo, nunca a conduta ou o mérito da decisão, o que preserva a garantia do art. 93, IX, da Constituição.</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O paralelo mostra também o que o modelo acrescenta. O iGovTIC-JUD, índice pelo qual o Conselho Nacional de Justiça acompanha a governança, a gestão e a infraestrutura de TIC do Judiciário, verificam a existência e a institucionalização de estruturas, políticas e processos (ISACA, 2018; Conselho Nacional de Justiça, 2021a, 2021b), mas nenhum deles mede se houve escrutínio crítico no momento em que o decisor confirma uma recomendação. Um fluxo pode ter trilha íntegra e conformidade documentada e ainda assim produzir supervisão apenas nominal. O modelo acrescenta a esse quadro a probabilidade de perda de qualidade, estimada por indicadores de contexto, e a qualidade da fundamentação, aferida por amostragem e lida por tendência, tornam a qualidade da decisão objeto de controle, ao lado da conformidade.</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Os controles do framework classificam-se em preventivos, detectivos e corretivos, conforme a Figura 1. Além dos indicados na figura, são preventivos a classificação por impacto e probabilidade, as pré-condições de representatividade dos dados e de explicabilidade, proporcionais à camada (Amershi et al., 2019), e a capacitação continuada voltada à preservação do saber tácito (Polanyi, 1966; Nonaka; Takeuchi, 1995), e são detectivos a ficha e a trilha imutável restrita a metadados. Os indicadores de risco são preventivos porque acompanham as condições antes de a perda se consolidar, e a amostragem é detectiva porque constata a perda depois que ela ocorre.</w:t>
      </w:r>
    </w:p>
    <w:p>
      <w:pPr>
        <w:pStyle w:val="Normal"/>
        <w:keepNext w:val="true"/>
        <w:spacing w:lineRule="auto" w:line="240" w:before="200" w:after="0"/>
        <w:ind w:hanging="0"/>
        <w:jc w:val="center"/>
        <w:rPr>
          <w:rFonts w:ascii="Arial" w:hAnsi="Arial" w:eastAsia="Arial" w:cs="Arial"/>
          <w:sz w:val="24"/>
          <w:szCs w:val="24"/>
        </w:rPr>
      </w:pPr>
      <w:r>
        <w:rPr>
          <w:rFonts w:eastAsia="Arial" w:cs="Arial" w:ascii="Arial" w:hAnsi="Arial"/>
          <w:sz w:val="20"/>
          <w:szCs w:val="24"/>
        </w:rPr>
        <w:t>Figura 1. Cadeia de risco da perda de qualidade e atuação dos controles</w:t>
      </w:r>
    </w:p>
    <w:p>
      <w:pPr>
        <w:pStyle w:val="Normal"/>
        <w:keepNext w:val="true"/>
        <w:spacing w:lineRule="auto" w:line="240" w:before="0" w:after="0"/>
        <w:ind w:hanging="0"/>
        <w:jc w:val="center"/>
        <w:rPr>
          <w:rFonts w:ascii="Arial" w:hAnsi="Arial" w:eastAsia="Arial" w:cs="Arial"/>
          <w:sz w:val="24"/>
          <w:szCs w:val="24"/>
        </w:rPr>
      </w:pPr>
      <w:r>
        <w:rPr/>
        <w:drawing>
          <wp:inline distT="0" distB="0" distL="0" distR="0">
            <wp:extent cx="5579745" cy="244030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579745" cy="2440305"/>
                    </a:xfrm>
                    <a:prstGeom prst="rect">
                      <a:avLst/>
                    </a:prstGeom>
                  </pic:spPr>
                </pic:pic>
              </a:graphicData>
            </a:graphic>
          </wp:inline>
        </w:drawing>
      </w:r>
    </w:p>
    <w:p>
      <w:pPr>
        <w:pStyle w:val="Normal"/>
        <w:keepNext w:val="true"/>
        <w:spacing w:lineRule="auto" w:line="240" w:before="40" w:after="240"/>
        <w:ind w:hanging="0"/>
        <w:jc w:val="left"/>
        <w:rPr>
          <w:rFonts w:ascii="Arial" w:hAnsi="Arial" w:eastAsia="Arial" w:cs="Arial"/>
          <w:sz w:val="24"/>
          <w:szCs w:val="24"/>
        </w:rPr>
      </w:pPr>
      <w:r>
        <w:rPr>
          <w:rFonts w:eastAsia="Arial" w:cs="Arial" w:ascii="Arial" w:hAnsi="Arial"/>
          <w:sz w:val="20"/>
          <w:szCs w:val="24"/>
        </w:rPr>
        <w:t>Fonte: elaborado pelo autor.</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A prevenção atua sobre as condições que favorecem a perda, e não sobre o decisor. A qualidade é aferida por amostragem, segundo os critérios da subseção 3.1, acrescidos da indicação da origem do material produzido com apoio do sistema, e o resultado é agregado por unidade e por semana do mês, sem reexame do mérito e sem avaliação individual. Completam a leitura três indicadores agregados de uso, a proporção de recomendações homologadas sem consulta à origem do dado, o tempo entre exibição e confirmação e a taxa de edição de minutas sugeridas. São aproximações do viés, calculadas por unidade a partir de metadados da recomendação, sem registro nem avaliação da conduta individual.</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No eixo de compliance, a matriz de conformidade normativa relaciona cada exigência a um controle e a um responsável (Quadro 1). A classificação binária da Resolução CNJ n. 615/2025 em alto e baixo risco (arts. 9º a 11) funciona como piso normativo, que as três camadas do Índice graduam internamente. Para soluções de alto risco, o art. 13, II, exige o registro das fontes automatizadas e do grau de supervisão humana, submetido a auditorias regulares e monitoramento contínuo, o que corresponde ao arranjo entre segunda e terceira linhas descrito acima. O modelo acomoda o registro da existência de intervenção humana, que a norma exige, e veda o registro individual de seu conteúdo. A Resolução prevê ainda que o uso em desacordo com suas regras seja monitorado sem caráter disciplinar (art. 40), lógica que o modelo estende ao monitoramento interno da qualidade, com resposta de apoio, e não de cobrança.</w:t>
      </w:r>
    </w:p>
    <w:p>
      <w:pPr>
        <w:pStyle w:val="Normal"/>
        <w:keepNext w:val="true"/>
        <w:spacing w:lineRule="auto" w:line="240" w:before="200" w:after="0"/>
        <w:ind w:hanging="0"/>
        <w:jc w:val="center"/>
        <w:rPr>
          <w:rFonts w:ascii="Arial" w:hAnsi="Arial" w:eastAsia="Arial" w:cs="Arial"/>
          <w:sz w:val="24"/>
          <w:szCs w:val="24"/>
        </w:rPr>
      </w:pPr>
      <w:r>
        <w:rPr>
          <w:rFonts w:eastAsia="Arial" w:cs="Arial" w:ascii="Arial" w:hAnsi="Arial"/>
          <w:sz w:val="20"/>
          <w:szCs w:val="24"/>
        </w:rPr>
        <w:t>Quadro 1. Matriz de conformidade normativa do framework</w:t>
      </w:r>
    </w:p>
    <w:tbl>
      <w:tblPr>
        <w:tblW w:w="907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927"/>
        <w:gridCol w:w="2495"/>
        <w:gridCol w:w="2834"/>
        <w:gridCol w:w="1814"/>
      </w:tblGrid>
      <w:tr>
        <w:trPr>
          <w:tblHeader w:val="true"/>
          <w:cantSplit w:val="true"/>
        </w:trPr>
        <w:tc>
          <w:tcPr>
            <w:tcW w:w="1927" w:type="dxa"/>
            <w:tcBorders>
              <w:top w:val="single" w:sz="4" w:space="0" w:color="000000"/>
              <w:left w:val="single" w:sz="4" w:space="0" w:color="000000"/>
              <w:bottom w:val="single" w:sz="4" w:space="0" w:color="000000"/>
              <w:right w:val="single" w:sz="4" w:space="0" w:color="000000"/>
            </w:tcBorders>
            <w:shd w:color="auto" w:fill="E7E7E7" w:val="clear"/>
          </w:tcPr>
          <w:p>
            <w:pPr>
              <w:pStyle w:val="Normal"/>
              <w:spacing w:lineRule="auto" w:line="240" w:before="0" w:after="0"/>
              <w:rPr/>
            </w:pPr>
            <w:r>
              <w:rPr>
                <w:rFonts w:eastAsia="Arial" w:ascii="Arial" w:hAnsi="Arial"/>
                <w:b/>
                <w:sz w:val="18"/>
              </w:rPr>
              <w:t>Exigência</w:t>
            </w:r>
          </w:p>
        </w:tc>
        <w:tc>
          <w:tcPr>
            <w:tcW w:w="2495" w:type="dxa"/>
            <w:tcBorders>
              <w:top w:val="single" w:sz="4" w:space="0" w:color="000000"/>
              <w:left w:val="single" w:sz="4" w:space="0" w:color="000000"/>
              <w:bottom w:val="single" w:sz="4" w:space="0" w:color="000000"/>
              <w:right w:val="single" w:sz="4" w:space="0" w:color="000000"/>
            </w:tcBorders>
            <w:shd w:color="auto" w:fill="E7E7E7" w:val="clear"/>
          </w:tcPr>
          <w:p>
            <w:pPr>
              <w:pStyle w:val="Normal"/>
              <w:spacing w:lineRule="auto" w:line="240" w:before="0" w:after="0"/>
              <w:rPr/>
            </w:pPr>
            <w:r>
              <w:rPr>
                <w:rFonts w:eastAsia="Arial" w:ascii="Arial" w:hAnsi="Arial"/>
                <w:b/>
                <w:sz w:val="18"/>
              </w:rPr>
              <w:t>Conteúdo</w:t>
            </w:r>
          </w:p>
        </w:tc>
        <w:tc>
          <w:tcPr>
            <w:tcW w:w="2834" w:type="dxa"/>
            <w:tcBorders>
              <w:top w:val="single" w:sz="4" w:space="0" w:color="000000"/>
              <w:left w:val="single" w:sz="4" w:space="0" w:color="000000"/>
              <w:bottom w:val="single" w:sz="4" w:space="0" w:color="000000"/>
              <w:right w:val="single" w:sz="4" w:space="0" w:color="000000"/>
            </w:tcBorders>
            <w:shd w:color="auto" w:fill="E7E7E7" w:val="clear"/>
          </w:tcPr>
          <w:p>
            <w:pPr>
              <w:pStyle w:val="Normal"/>
              <w:spacing w:lineRule="auto" w:line="240" w:before="0" w:after="0"/>
              <w:rPr/>
            </w:pPr>
            <w:r>
              <w:rPr>
                <w:rFonts w:eastAsia="Arial" w:ascii="Arial" w:hAnsi="Arial"/>
                <w:b/>
                <w:sz w:val="18"/>
              </w:rPr>
              <w:t>Controle no framework</w:t>
            </w:r>
          </w:p>
        </w:tc>
        <w:tc>
          <w:tcPr>
            <w:tcW w:w="1814" w:type="dxa"/>
            <w:tcBorders>
              <w:top w:val="single" w:sz="4" w:space="0" w:color="000000"/>
              <w:left w:val="single" w:sz="4" w:space="0" w:color="000000"/>
              <w:bottom w:val="single" w:sz="4" w:space="0" w:color="000000"/>
              <w:right w:val="single" w:sz="4" w:space="0" w:color="000000"/>
            </w:tcBorders>
            <w:shd w:color="auto" w:fill="E7E7E7" w:val="clear"/>
          </w:tcPr>
          <w:p>
            <w:pPr>
              <w:pStyle w:val="Normal"/>
              <w:spacing w:lineRule="auto" w:line="240" w:before="0" w:after="0"/>
              <w:rPr/>
            </w:pPr>
            <w:r>
              <w:rPr>
                <w:rFonts w:eastAsia="Arial" w:ascii="Arial" w:hAnsi="Arial"/>
                <w:b/>
                <w:sz w:val="18"/>
              </w:rPr>
              <w:t>Responsável</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Res. CNJ 615/2025, arts. 9º a 11 e Anexo</w:t>
            </w:r>
          </w:p>
        </w:tc>
        <w:tc>
          <w:tcPr>
            <w:tcW w:w="24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Classificação da solução em alto ou baixo risco</w:t>
            </w:r>
          </w:p>
        </w:tc>
        <w:tc>
          <w:tcPr>
            <w:tcW w:w="28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Ficha com camada do Índice e probabilidade, reavaliada periodicamente</w:t>
            </w:r>
          </w:p>
        </w:tc>
        <w:tc>
          <w:tcPr>
            <w:tcW w:w="181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Comitê</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Res. CNJ 615/2025, art. 13, II e V</w:t>
            </w:r>
          </w:p>
        </w:tc>
        <w:tc>
          <w:tcPr>
            <w:tcW w:w="24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Registro de fontes automatizadas e do grau de supervisão humana, log de operação, auditorias regulares e monitoramento contínuo</w:t>
            </w:r>
          </w:p>
        </w:tc>
        <w:tc>
          <w:tcPr>
            <w:tcW w:w="28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Trilha imutável restrita a metadados, conferência automatizada a cada sprint e avaliação pela auditoria interna</w:t>
            </w:r>
          </w:p>
        </w:tc>
        <w:tc>
          <w:tcPr>
            <w:tcW w:w="181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Segunda linha e auditoria interna</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Res. CNJ 615/2025, art. 14</w:t>
            </w:r>
          </w:p>
        </w:tc>
        <w:tc>
          <w:tcPr>
            <w:tcW w:w="24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Avaliação de impacto algorítmico das soluções de alto risco</w:t>
            </w:r>
          </w:p>
        </w:tc>
        <w:tc>
          <w:tcPr>
            <w:tcW w:w="28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Reavaliação antecipada dos usos de maior impacto nas unidades de probabilidade alta</w:t>
            </w:r>
          </w:p>
        </w:tc>
        <w:tc>
          <w:tcPr>
            <w:tcW w:w="181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Comitê</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Res. CNJ 615/2025, art. 19, §§ 3º e 7º</w:t>
            </w:r>
          </w:p>
        </w:tc>
        <w:tc>
          <w:tcPr>
            <w:tcW w:w="24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Capacitação prévia e dever de informar o uso individual de IA generativa</w:t>
            </w:r>
          </w:p>
        </w:tc>
        <w:tc>
          <w:tcPr>
            <w:tcW w:w="28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Capacitação continuada e autodeclaração do uso</w:t>
            </w:r>
          </w:p>
        </w:tc>
        <w:tc>
          <w:tcPr>
            <w:tcW w:w="181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Gestão do projeto e escola judicial</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Res. CNJ 615/2025, art. 40</w:t>
            </w:r>
          </w:p>
        </w:tc>
        <w:tc>
          <w:tcPr>
            <w:tcW w:w="24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Monitoramento do uso em desacordo sem caráter disciplinar</w:t>
            </w:r>
          </w:p>
        </w:tc>
        <w:tc>
          <w:tcPr>
            <w:tcW w:w="28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Indicadores por unidade e resposta de apoio da gestão</w:t>
            </w:r>
          </w:p>
        </w:tc>
        <w:tc>
          <w:tcPr>
            <w:tcW w:w="181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Comitê e gestão do projeto</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CPC, art. 489, § 1º, e Lei n. 9.784/1999, art. 50</w:t>
            </w:r>
          </w:p>
        </w:tc>
        <w:tc>
          <w:tcPr>
            <w:tcW w:w="24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Fundamentação da decisão judicial e motivação do ato administrativo</w:t>
            </w:r>
          </w:p>
        </w:tc>
        <w:tc>
          <w:tcPr>
            <w:tcW w:w="28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Amostragem da fundamentação agregada por unidade e por semana do mês</w:t>
            </w:r>
          </w:p>
        </w:tc>
        <w:tc>
          <w:tcPr>
            <w:tcW w:w="181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Segunda linha</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LGPD</w:t>
            </w:r>
          </w:p>
        </w:tc>
        <w:tc>
          <w:tcPr>
            <w:tcW w:w="24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Tratamento de dados pessoais</w:t>
            </w:r>
          </w:p>
        </w:tc>
        <w:tc>
          <w:tcPr>
            <w:tcW w:w="28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Registro restrito a metadados e minimização dos dados</w:t>
            </w:r>
          </w:p>
        </w:tc>
        <w:tc>
          <w:tcPr>
            <w:tcW w:w="181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Encarregado pelo tratamento de dados</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ISO 37301</w:t>
            </w:r>
          </w:p>
        </w:tc>
        <w:tc>
          <w:tcPr>
            <w:tcW w:w="24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Sistema de gestão de compliance</w:t>
            </w:r>
          </w:p>
        </w:tc>
        <w:tc>
          <w:tcPr>
            <w:tcW w:w="28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Revisão da matriz a cada ciclo</w:t>
            </w:r>
          </w:p>
        </w:tc>
        <w:tc>
          <w:tcPr>
            <w:tcW w:w="181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Segunda linha</w:t>
            </w:r>
          </w:p>
        </w:tc>
      </w:tr>
    </w:tbl>
    <w:p>
      <w:pPr>
        <w:pStyle w:val="Normal"/>
        <w:spacing w:lineRule="auto" w:line="240" w:before="40" w:after="240"/>
        <w:ind w:hanging="0"/>
        <w:jc w:val="left"/>
        <w:rPr>
          <w:rFonts w:ascii="Arial" w:hAnsi="Arial" w:eastAsia="Arial" w:cs="Arial"/>
          <w:sz w:val="24"/>
          <w:szCs w:val="24"/>
        </w:rPr>
      </w:pPr>
      <w:r>
        <w:rPr>
          <w:rFonts w:eastAsia="Arial" w:cs="Arial" w:ascii="Arial" w:hAnsi="Arial"/>
          <w:sz w:val="20"/>
          <w:szCs w:val="24"/>
        </w:rPr>
        <w:t>Fonte: elaborado pelo autor com base nas normas indicadas.</w:t>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t>3.3 MODELO DE PROJETO DE IMPLANTAÇÃO DO FRAMEWORK</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O modelo de projeto descrito a seguir deriva da literatura e do Modelo GS</w:t>
      </w:r>
      <w:r>
        <w:rPr>
          <w:rFonts w:eastAsia="Arial" w:cs="Arial" w:ascii="Arial" w:hAnsi="Arial"/>
          <w:sz w:val="24"/>
          <w:szCs w:val="24"/>
        </w:rPr>
        <w:t>D</w:t>
      </w:r>
      <w:r>
        <w:rPr>
          <w:rFonts w:eastAsia="Arial" w:cs="Arial" w:ascii="Arial" w:hAnsi="Arial"/>
          <w:sz w:val="24"/>
          <w:szCs w:val="24"/>
        </w:rPr>
        <w:t xml:space="preserve"> </w:t>
      </w:r>
      <w:r>
        <w:rPr>
          <w:rFonts w:eastAsia="Arial" w:cs="Arial" w:ascii="Arial" w:hAnsi="Arial"/>
          <w:sz w:val="24"/>
          <w:szCs w:val="24"/>
        </w:rPr>
        <w:t>é de referência. Não corresponde a projeto de órgão algum, não foi executado e deve ser adaptado a cada tribunal. Etapas e prazos aparecem como parâmetros ilustrativos, sujeitos a calibração, para que o framework possa ser implantado e avaliado em estudo posterior.</w:t>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b/>
          <w:bCs/>
          <w:sz w:val="24"/>
          <w:szCs w:val="24"/>
        </w:rPr>
      </w:pPr>
      <w:r>
        <w:rPr>
          <w:rFonts w:eastAsia="Arial" w:cs="Arial" w:ascii="Arial" w:hAnsi="Arial"/>
          <w:b/>
          <w:bCs/>
          <w:sz w:val="24"/>
          <w:szCs w:val="24"/>
        </w:rPr>
        <w:t>3.3.1 Estrutura e papéis</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 xml:space="preserve">O modelo pressupõe patrocínio da alta administração do tribunal, a quem cabe criar o comitê e atribuir-lhe a função </w:t>
      </w:r>
      <w:r>
        <w:rPr>
          <w:rFonts w:eastAsia="Arial" w:cs="Arial" w:ascii="Arial" w:hAnsi="Arial"/>
          <w:sz w:val="24"/>
          <w:szCs w:val="24"/>
        </w:rPr>
        <w:t>estratégica</w:t>
      </w:r>
      <w:r>
        <w:rPr>
          <w:rFonts w:eastAsia="Arial" w:cs="Arial" w:ascii="Arial" w:hAnsi="Arial"/>
          <w:sz w:val="24"/>
          <w:szCs w:val="24"/>
        </w:rPr>
        <w:t>. Os papéis distribuem-se pelas três linhas conforme o Quadro 2. Como o regime impõe custo de atenção também ao comitê, a apuração de integridade, de reavaliações vencidas e de padrões atípicos pode ser automatizada, mas a sinalização não deve ter aparência de conclusão, deve reduzir o custo de verificar (Vasconcelos et al., 2023) e seu descarte precisa ser registrado com o motivo, pois o comitê diante dela ocupa a posição do decisor diante da recomendação (Bainbridge, 1983). Automatiza-se a verificação de integridade e prazos, jamais a atribuição de sensibilidade, pois nível de automação e controle humano são eixos independentes (Shneiderman, 2022).</w:t>
      </w:r>
    </w:p>
    <w:p>
      <w:pPr>
        <w:pStyle w:val="Normal"/>
        <w:keepNext w:val="true"/>
        <w:spacing w:lineRule="auto" w:line="240" w:before="200" w:after="0"/>
        <w:ind w:hanging="0"/>
        <w:jc w:val="center"/>
        <w:rPr>
          <w:rFonts w:ascii="Arial" w:hAnsi="Arial" w:eastAsia="Arial" w:cs="Arial"/>
          <w:sz w:val="24"/>
          <w:szCs w:val="24"/>
        </w:rPr>
      </w:pPr>
      <w:r>
        <w:rPr>
          <w:rFonts w:eastAsia="Arial" w:cs="Arial" w:ascii="Arial" w:hAnsi="Arial"/>
          <w:sz w:val="20"/>
          <w:szCs w:val="24"/>
        </w:rPr>
        <w:t>Quadro 2. Papéis no modelo segundo as três linhas</w:t>
      </w:r>
    </w:p>
    <w:tbl>
      <w:tblPr>
        <w:tblW w:w="90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927"/>
        <w:gridCol w:w="1644"/>
        <w:gridCol w:w="3573"/>
        <w:gridCol w:w="1927"/>
      </w:tblGrid>
      <w:tr>
        <w:trPr>
          <w:tblHeader w:val="true"/>
          <w:cantSplit w:val="true"/>
        </w:trPr>
        <w:tc>
          <w:tcPr>
            <w:tcW w:w="1927" w:type="dxa"/>
            <w:tcBorders>
              <w:top w:val="single" w:sz="4" w:space="0" w:color="000000"/>
              <w:left w:val="single" w:sz="4" w:space="0" w:color="000000"/>
              <w:bottom w:val="single" w:sz="4" w:space="0" w:color="000000"/>
              <w:right w:val="single" w:sz="4" w:space="0" w:color="000000"/>
            </w:tcBorders>
            <w:shd w:color="auto" w:fill="E7E7E7" w:val="clear"/>
          </w:tcPr>
          <w:p>
            <w:pPr>
              <w:pStyle w:val="Normal"/>
              <w:spacing w:lineRule="auto" w:line="240" w:before="0" w:after="0"/>
              <w:rPr/>
            </w:pPr>
            <w:r>
              <w:rPr>
                <w:rFonts w:eastAsia="Arial" w:ascii="Arial" w:hAnsi="Arial"/>
                <w:b/>
                <w:sz w:val="18"/>
              </w:rPr>
              <w:t>Instância</w:t>
            </w:r>
          </w:p>
        </w:tc>
        <w:tc>
          <w:tcPr>
            <w:tcW w:w="1644" w:type="dxa"/>
            <w:tcBorders>
              <w:top w:val="single" w:sz="4" w:space="0" w:color="000000"/>
              <w:left w:val="single" w:sz="4" w:space="0" w:color="000000"/>
              <w:bottom w:val="single" w:sz="4" w:space="0" w:color="000000"/>
              <w:right w:val="single" w:sz="4" w:space="0" w:color="000000"/>
            </w:tcBorders>
            <w:shd w:color="auto" w:fill="E7E7E7" w:val="clear"/>
          </w:tcPr>
          <w:p>
            <w:pPr>
              <w:pStyle w:val="Normal"/>
              <w:spacing w:lineRule="auto" w:line="240" w:before="0" w:after="0"/>
              <w:rPr/>
            </w:pPr>
            <w:r>
              <w:rPr>
                <w:rFonts w:eastAsia="Arial" w:ascii="Arial" w:hAnsi="Arial"/>
                <w:b/>
                <w:sz w:val="18"/>
              </w:rPr>
              <w:t>Linha</w:t>
            </w:r>
          </w:p>
        </w:tc>
        <w:tc>
          <w:tcPr>
            <w:tcW w:w="3573" w:type="dxa"/>
            <w:tcBorders>
              <w:top w:val="single" w:sz="4" w:space="0" w:color="000000"/>
              <w:left w:val="single" w:sz="4" w:space="0" w:color="000000"/>
              <w:bottom w:val="single" w:sz="4" w:space="0" w:color="000000"/>
              <w:right w:val="single" w:sz="4" w:space="0" w:color="000000"/>
            </w:tcBorders>
            <w:shd w:color="auto" w:fill="E7E7E7" w:val="clear"/>
          </w:tcPr>
          <w:p>
            <w:pPr>
              <w:pStyle w:val="Normal"/>
              <w:spacing w:lineRule="auto" w:line="240" w:before="0" w:after="0"/>
              <w:rPr/>
            </w:pPr>
            <w:r>
              <w:rPr>
                <w:rFonts w:eastAsia="Arial" w:ascii="Arial" w:hAnsi="Arial"/>
                <w:b/>
                <w:sz w:val="18"/>
              </w:rPr>
              <w:t>Atribuições no modelo</w:t>
            </w:r>
          </w:p>
        </w:tc>
        <w:tc>
          <w:tcPr>
            <w:tcW w:w="1927" w:type="dxa"/>
            <w:tcBorders>
              <w:top w:val="single" w:sz="4" w:space="0" w:color="000000"/>
              <w:left w:val="single" w:sz="4" w:space="0" w:color="000000"/>
              <w:bottom w:val="single" w:sz="4" w:space="0" w:color="000000"/>
              <w:right w:val="single" w:sz="4" w:space="0" w:color="000000"/>
            </w:tcBorders>
            <w:shd w:color="auto" w:fill="E7E7E7" w:val="clear"/>
          </w:tcPr>
          <w:p>
            <w:pPr>
              <w:pStyle w:val="Normal"/>
              <w:spacing w:lineRule="auto" w:line="240" w:before="0" w:after="0"/>
              <w:rPr/>
            </w:pPr>
            <w:r>
              <w:rPr>
                <w:rFonts w:eastAsia="Arial" w:ascii="Arial" w:hAnsi="Arial"/>
                <w:b/>
                <w:sz w:val="18"/>
              </w:rPr>
              <w:t>Vedação</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Alta administração e comitê</w:t>
            </w:r>
          </w:p>
        </w:tc>
        <w:tc>
          <w:tcPr>
            <w:tcW w:w="16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Órgão de governança</w:t>
            </w:r>
          </w:p>
        </w:tc>
        <w:tc>
          <w:tcPr>
            <w:tcW w:w="35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Patrocinar o projeto, classificar o risco na matriz, aprovar limiares e decidir, ao fim de cada sprint, entre expandir, ajustar ou suspender o uso</w:t>
            </w:r>
          </w:p>
        </w:tc>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Operar controles ou avaliar decisores individualmente</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Decisores e unidades</w:t>
            </w:r>
          </w:p>
        </w:tc>
        <w:tc>
          <w:tcPr>
            <w:tcW w:w="16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Primeira linha</w:t>
            </w:r>
          </w:p>
        </w:tc>
        <w:tc>
          <w:tcPr>
            <w:tcW w:w="35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Decidir e assinar com responsável nominal e receber o apoio da gestão acionado pelo alerta</w:t>
            </w:r>
          </w:p>
        </w:tc>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Ser comparados por ranking</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Área de negócio e TI</w:t>
            </w:r>
          </w:p>
        </w:tc>
        <w:tc>
          <w:tcPr>
            <w:tcW w:w="16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Primeira linha, gestão do projeto</w:t>
            </w:r>
          </w:p>
        </w:tc>
        <w:tc>
          <w:tcPr>
            <w:tcW w:w="35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 xml:space="preserve">Operar o painel, as </w:t>
            </w:r>
            <w:r>
              <w:rPr>
                <w:rFonts w:eastAsia="Arial" w:ascii="Arial" w:hAnsi="Arial"/>
                <w:sz w:val="18"/>
              </w:rPr>
              <w:t>automações</w:t>
            </w:r>
            <w:r>
              <w:rPr>
                <w:rFonts w:eastAsia="Arial" w:ascii="Arial" w:hAnsi="Arial"/>
                <w:sz w:val="18"/>
              </w:rPr>
              <w:t xml:space="preserve"> e os indicadores e executar as respostas de apoio</w:t>
            </w:r>
          </w:p>
        </w:tc>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Atribuir escores de sensibilidade por automação</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Gestão de riscos e conformidade</w:t>
            </w:r>
          </w:p>
        </w:tc>
        <w:tc>
          <w:tcPr>
            <w:tcW w:w="16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Segunda linha</w:t>
            </w:r>
          </w:p>
        </w:tc>
        <w:tc>
          <w:tcPr>
            <w:tcW w:w="35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Operar as conferências e a amostragem da fundamentação e manter a matriz de conformidade</w:t>
            </w:r>
            <w:r>
              <w:rPr>
                <w:rFonts w:eastAsia="Arial" w:ascii="Arial" w:hAnsi="Arial"/>
                <w:sz w:val="18"/>
              </w:rPr>
              <w:t xml:space="preserve"> e integridade. Traduzir a regra em definição operacional com a área de negócio e operar as conferências de qualidade dos dados </w:t>
            </w:r>
          </w:p>
        </w:tc>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Reexaminar o mérito das decisões</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Auditoria interna</w:t>
            </w:r>
          </w:p>
        </w:tc>
        <w:tc>
          <w:tcPr>
            <w:tcW w:w="16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Terceira linha</w:t>
            </w:r>
          </w:p>
        </w:tc>
        <w:tc>
          <w:tcPr>
            <w:tcW w:w="357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Avaliar com independência os controles e as conferências e reportar ao comitê</w:t>
            </w:r>
          </w:p>
        </w:tc>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Implantar controles ou assumir gestão (Res. CNJ 309/2020, art. 20)</w:t>
            </w:r>
          </w:p>
        </w:tc>
      </w:tr>
    </w:tbl>
    <w:p>
      <w:pPr>
        <w:pStyle w:val="Normal"/>
        <w:spacing w:lineRule="auto" w:line="240" w:before="40" w:after="240"/>
        <w:ind w:hanging="0"/>
        <w:jc w:val="left"/>
        <w:rPr>
          <w:rFonts w:ascii="Arial" w:hAnsi="Arial" w:eastAsia="Arial" w:cs="Arial"/>
          <w:sz w:val="24"/>
          <w:szCs w:val="24"/>
        </w:rPr>
      </w:pPr>
      <w:r>
        <w:rPr>
          <w:rFonts w:eastAsia="Arial" w:cs="Arial" w:ascii="Arial" w:hAnsi="Arial"/>
          <w:sz w:val="20"/>
          <w:szCs w:val="24"/>
        </w:rPr>
        <w:t>Fonte: elaborado pelo autor com base em Institute of Internal Auditors (2020) e Conselho Nacional de Justiça (2020).</w:t>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b/>
          <w:bCs/>
          <w:sz w:val="24"/>
          <w:szCs w:val="24"/>
        </w:rPr>
      </w:pPr>
      <w:r>
        <w:rPr>
          <w:rFonts w:eastAsia="Arial" w:cs="Arial" w:ascii="Arial" w:hAnsi="Arial"/>
          <w:b/>
          <w:bCs/>
          <w:sz w:val="24"/>
          <w:szCs w:val="24"/>
        </w:rPr>
        <w:t>3.3.2 Etapas</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O modelo organiza a implantação em três etapas genéricas, resumidas no Quadro 3. O diagnóstico inicial, da ordem de duas semanas, observa sem intervenção uma amostra de decisões e ouve decisores, para obter a linha de base da qualidade, inclusive por semana do mês, já que a manifestação do viés varia por contexto (Parasuraman; Riley, 1997; Romeo; Conti, 2025) e controles aplicados sem linha de base podem ser excessivos ou insuficientes. A medição é pesquisa à parte</w:t>
      </w:r>
      <w:r>
        <w:rPr>
          <w:rFonts w:eastAsia="Arial" w:cs="Arial" w:ascii="Arial" w:hAnsi="Arial"/>
          <w:sz w:val="24"/>
          <w:szCs w:val="24"/>
        </w:rPr>
        <w:t xml:space="preserve">. </w:t>
      </w:r>
      <w:r>
        <w:rPr>
          <w:rFonts w:eastAsia="Arial" w:cs="Arial" w:ascii="Arial" w:hAnsi="Arial"/>
          <w:sz w:val="24"/>
          <w:szCs w:val="24"/>
        </w:rPr>
        <w:t xml:space="preserve">A implantação ocorre em ciclos curtos de duração fixa, os </w:t>
      </w:r>
      <w:r>
        <w:rPr>
          <w:rFonts w:eastAsia="Arial" w:cs="Arial" w:ascii="Arial" w:hAnsi="Arial"/>
          <w:i/>
          <w:iCs/>
          <w:sz w:val="24"/>
          <w:szCs w:val="24"/>
        </w:rPr>
        <w:t>sprints</w:t>
      </w:r>
      <w:r>
        <w:rPr>
          <w:rFonts w:eastAsia="Arial" w:cs="Arial" w:ascii="Arial" w:hAnsi="Arial"/>
          <w:sz w:val="24"/>
          <w:szCs w:val="24"/>
        </w:rPr>
        <w:t xml:space="preserve"> (Schwaber; Sutherland, 2020), em unidades selecionadas, e os indicadores do diagnóstico são medidos de novo a cada ciclo, o que permite comparar antes e depois, mas, sem grupo de controle, indica associação e não causalidade.</w:t>
      </w:r>
    </w:p>
    <w:p>
      <w:pPr>
        <w:pStyle w:val="Normal"/>
        <w:keepNext w:val="true"/>
        <w:spacing w:lineRule="auto" w:line="240" w:before="200" w:after="0"/>
        <w:ind w:hanging="0"/>
        <w:jc w:val="center"/>
        <w:rPr>
          <w:rFonts w:ascii="Arial" w:hAnsi="Arial" w:eastAsia="Arial" w:cs="Arial"/>
          <w:sz w:val="24"/>
          <w:szCs w:val="24"/>
        </w:rPr>
      </w:pPr>
      <w:r>
        <w:rPr>
          <w:rFonts w:eastAsia="Arial" w:cs="Arial" w:ascii="Arial" w:hAnsi="Arial"/>
          <w:sz w:val="20"/>
          <w:szCs w:val="24"/>
        </w:rPr>
        <w:t>Quadro 3. Etapas do modelo de projeto de implantação</w:t>
      </w:r>
    </w:p>
    <w:tbl>
      <w:tblPr>
        <w:tblW w:w="907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927"/>
        <w:gridCol w:w="3628"/>
        <w:gridCol w:w="1815"/>
        <w:gridCol w:w="1700"/>
      </w:tblGrid>
      <w:tr>
        <w:trPr>
          <w:tblHeader w:val="true"/>
          <w:cantSplit w:val="true"/>
        </w:trPr>
        <w:tc>
          <w:tcPr>
            <w:tcW w:w="1927" w:type="dxa"/>
            <w:tcBorders>
              <w:top w:val="single" w:sz="4" w:space="0" w:color="000000"/>
              <w:left w:val="single" w:sz="4" w:space="0" w:color="000000"/>
              <w:bottom w:val="single" w:sz="4" w:space="0" w:color="000000"/>
              <w:right w:val="single" w:sz="4" w:space="0" w:color="000000"/>
            </w:tcBorders>
            <w:shd w:color="auto" w:fill="E7E7E7" w:val="clear"/>
          </w:tcPr>
          <w:p>
            <w:pPr>
              <w:pStyle w:val="Normal"/>
              <w:spacing w:lineRule="auto" w:line="240" w:before="0" w:after="0"/>
              <w:rPr/>
            </w:pPr>
            <w:r>
              <w:rPr>
                <w:rFonts w:eastAsia="Arial" w:ascii="Arial" w:hAnsi="Arial"/>
                <w:b/>
                <w:sz w:val="18"/>
              </w:rPr>
              <w:t>Etapa</w:t>
            </w:r>
          </w:p>
        </w:tc>
        <w:tc>
          <w:tcPr>
            <w:tcW w:w="3628" w:type="dxa"/>
            <w:tcBorders>
              <w:top w:val="single" w:sz="4" w:space="0" w:color="000000"/>
              <w:left w:val="single" w:sz="4" w:space="0" w:color="000000"/>
              <w:bottom w:val="single" w:sz="4" w:space="0" w:color="000000"/>
              <w:right w:val="single" w:sz="4" w:space="0" w:color="000000"/>
            </w:tcBorders>
            <w:shd w:color="auto" w:fill="E7E7E7" w:val="clear"/>
          </w:tcPr>
          <w:p>
            <w:pPr>
              <w:pStyle w:val="Normal"/>
              <w:spacing w:lineRule="auto" w:line="240" w:before="0" w:after="0"/>
              <w:rPr/>
            </w:pPr>
            <w:r>
              <w:rPr>
                <w:rFonts w:eastAsia="Arial" w:ascii="Arial" w:hAnsi="Arial"/>
                <w:b/>
                <w:sz w:val="18"/>
              </w:rPr>
              <w:t>Entregas</w:t>
            </w:r>
          </w:p>
        </w:tc>
        <w:tc>
          <w:tcPr>
            <w:tcW w:w="1815" w:type="dxa"/>
            <w:tcBorders>
              <w:top w:val="single" w:sz="4" w:space="0" w:color="000000"/>
              <w:left w:val="single" w:sz="4" w:space="0" w:color="000000"/>
              <w:bottom w:val="single" w:sz="4" w:space="0" w:color="000000"/>
              <w:right w:val="single" w:sz="4" w:space="0" w:color="000000"/>
            </w:tcBorders>
            <w:shd w:color="auto" w:fill="E7E7E7" w:val="clear"/>
          </w:tcPr>
          <w:p>
            <w:pPr>
              <w:pStyle w:val="Normal"/>
              <w:spacing w:lineRule="auto" w:line="240" w:before="0" w:after="0"/>
              <w:rPr/>
            </w:pPr>
            <w:r>
              <w:rPr>
                <w:rFonts w:eastAsia="Arial" w:ascii="Arial" w:hAnsi="Arial"/>
                <w:b/>
                <w:sz w:val="18"/>
              </w:rPr>
              <w:t>Responsável</w:t>
            </w:r>
          </w:p>
        </w:tc>
        <w:tc>
          <w:tcPr>
            <w:tcW w:w="1700" w:type="dxa"/>
            <w:tcBorders>
              <w:top w:val="single" w:sz="4" w:space="0" w:color="000000"/>
              <w:left w:val="single" w:sz="4" w:space="0" w:color="000000"/>
              <w:bottom w:val="single" w:sz="4" w:space="0" w:color="000000"/>
              <w:right w:val="single" w:sz="4" w:space="0" w:color="000000"/>
            </w:tcBorders>
            <w:shd w:color="auto" w:fill="E7E7E7" w:val="clear"/>
          </w:tcPr>
          <w:p>
            <w:pPr>
              <w:pStyle w:val="Normal"/>
              <w:spacing w:lineRule="auto" w:line="240" w:before="0" w:after="0"/>
              <w:rPr/>
            </w:pPr>
            <w:r>
              <w:rPr>
                <w:rFonts w:eastAsia="Arial" w:ascii="Arial" w:hAnsi="Arial"/>
                <w:b/>
                <w:sz w:val="18"/>
              </w:rPr>
              <w:t>Critério de passagem</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1. Diagnóstico, da ordem de duas semanas</w:t>
            </w:r>
          </w:p>
        </w:tc>
        <w:tc>
          <w:tcPr>
            <w:tcW w:w="36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Linha de base da qualidade por unidade e por semana do mês; inventário preliminar de sistemas e painéis; relato dos decisores sobre confiança e praticabilidade</w:t>
            </w:r>
          </w:p>
        </w:tc>
        <w:tc>
          <w:tcPr>
            <w:tcW w:w="181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Gestão do projeto</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Linha de base aprovada pelo comitê</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2. Desenho e classificação</w:t>
            </w:r>
          </w:p>
        </w:tc>
        <w:tc>
          <w:tcPr>
            <w:tcW w:w="36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Ficha de cada uso, com camada e probabilidade; matriz de conformidade; limiares provisórios; versão inicial dos controles</w:t>
            </w:r>
          </w:p>
        </w:tc>
        <w:tc>
          <w:tcPr>
            <w:tcW w:w="181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Comitê, com gestão do projeto e segunda linha</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Matriz e controles aprovados pelo comitê</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3. Implantação por sprints</w:t>
            </w:r>
          </w:p>
        </w:tc>
        <w:tc>
          <w:tcPr>
            <w:tcW w:w="36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Painel com produtividade e qualidade; leitura semanal dos indicadores; relatório de cada sprint; avaliação da auditoria interna</w:t>
            </w:r>
          </w:p>
        </w:tc>
        <w:tc>
          <w:tcPr>
            <w:tcW w:w="181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Gestão do projeto, segunda linha e auditoria interna</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Fonts w:eastAsia="Arial" w:ascii="Arial" w:hAnsi="Arial"/>
                <w:sz w:val="18"/>
              </w:rPr>
              <w:t>Decisão do comitê de expandir, ajustar ou suspender o uso</w:t>
            </w:r>
          </w:p>
        </w:tc>
      </w:tr>
    </w:tbl>
    <w:p>
      <w:pPr>
        <w:pStyle w:val="Normal"/>
        <w:spacing w:lineRule="auto" w:line="240" w:before="40" w:after="240"/>
        <w:ind w:hanging="0"/>
        <w:jc w:val="left"/>
        <w:rPr>
          <w:rFonts w:ascii="Arial" w:hAnsi="Arial" w:eastAsia="Arial" w:cs="Arial"/>
          <w:sz w:val="24"/>
          <w:szCs w:val="24"/>
        </w:rPr>
      </w:pPr>
      <w:r>
        <w:rPr>
          <w:rFonts w:eastAsia="Arial" w:cs="Arial" w:ascii="Arial" w:hAnsi="Arial"/>
          <w:sz w:val="20"/>
          <w:szCs w:val="24"/>
        </w:rPr>
        <w:t>Fonte: elaborado pelo autor.</w:t>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b/>
          <w:bCs/>
          <w:sz w:val="24"/>
          <w:szCs w:val="24"/>
        </w:rPr>
      </w:pPr>
      <w:r>
        <w:rPr>
          <w:rFonts w:eastAsia="Arial" w:cs="Arial" w:ascii="Arial" w:hAnsi="Arial"/>
          <w:b/>
          <w:bCs/>
          <w:sz w:val="24"/>
          <w:szCs w:val="24"/>
        </w:rPr>
        <w:t>3.3.3 Indicadores e frequência</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 xml:space="preserve">O monitoramento usa indicadores agregados de uso, lidos toda semana, indicadores de qualidade e de risco de perda de qualidade, lidos por tendência mensal, e a projeção de risco por vara e setor, atualizada a cada </w:t>
      </w:r>
      <w:r>
        <w:rPr>
          <w:rFonts w:eastAsia="Arial" w:cs="Arial" w:ascii="Arial" w:hAnsi="Arial"/>
          <w:i/>
          <w:iCs/>
          <w:sz w:val="24"/>
          <w:szCs w:val="24"/>
        </w:rPr>
        <w:t>sprint</w:t>
      </w:r>
      <w:r>
        <w:rPr>
          <w:rFonts w:eastAsia="Arial" w:cs="Arial" w:ascii="Arial" w:hAnsi="Arial"/>
          <w:sz w:val="24"/>
          <w:szCs w:val="24"/>
        </w:rPr>
        <w:t>. As metas são qualitativas, expressas como direção de tendência da própria unidade e sem ranking. O projeto é bem-sucedido quando a qualidade da fundamentação na amostra se mantém estável ao longo das semanas do mês e a divergência entre produção e qualidade, quando surge, é detectada e respondida no mesmo ciclo. Num exemplo hipotético, uma unidade concentra nas semanas finais de cada mês um aumento expressivo de decisões e, no mesmo período, cai a proporção de fundamentação adequada na amostra. A média mensal esconde o padrão, mas a série semanal da própria unidade mostra a divergência antes de a perda se consolidar, e a resposta é de apoio da gestão, como redistribuição de carga e reforço de assessoria no fim do período, e não de cobrança.</w:t>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b/>
          <w:bCs/>
          <w:sz w:val="24"/>
          <w:szCs w:val="24"/>
        </w:rPr>
      </w:pPr>
      <w:r>
        <w:rPr>
          <w:rFonts w:eastAsia="Arial" w:cs="Arial" w:ascii="Arial" w:hAnsi="Arial"/>
          <w:b/>
          <w:bCs/>
          <w:sz w:val="24"/>
          <w:szCs w:val="24"/>
        </w:rPr>
        <w:t>3.3.4 Riscos do projeto</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 xml:space="preserve">O modelo prevê a gestão dos riscos do próprio projeto e identifica ao menos quatro. O primeiro é a baixa adesão. Quando o canal oficial parece lento ou restritivo, usuários recorrem a alternativas não aprovadas, o chamado </w:t>
      </w:r>
      <w:r>
        <w:rPr>
          <w:rFonts w:eastAsia="Arial" w:cs="Arial" w:ascii="Arial" w:hAnsi="Arial"/>
          <w:i/>
          <w:iCs/>
          <w:sz w:val="24"/>
          <w:szCs w:val="24"/>
        </w:rPr>
        <w:t>shadow IT</w:t>
      </w:r>
      <w:r>
        <w:rPr>
          <w:rFonts w:eastAsia="Arial" w:cs="Arial" w:ascii="Arial" w:hAnsi="Arial"/>
          <w:sz w:val="24"/>
          <w:szCs w:val="24"/>
        </w:rPr>
        <w:t xml:space="preserve"> (Haag; Eckhardt, 2017), o que se estende a ferramentas públicas de inteligência artificial generativa, cujo uso individual a Resolução CNJ n. 615/2025 admite com dever de informar (art. 19), capturado apenas por autodeclaração. Por isso as exigências se concentram nos usos de maior risco, e a praticabilidade é tratada como condição de adesão, o que sugere um quinto princípio ao modelo. O segundo risco é a percepção de vigilância, mitigada pelo registro restrito a metadados, pelos indicadores por unidade e pela comunicação prévia aos decisores de que os resultados servem ao apoio da gestão. O terceiro é a interferência na independência funcional, mitigada porque os controles incidem sobre as condições de trabalho, sobre o artefato e sobre resultados agregados, nunca sobre o mérito da decisão. O quarto é a classificação por uso isolado, que deixa de fora o efeito cumulativo da cadeia decisória, em que triagem, extração, sumarização e sugestão de minuta automatizam a percepção e a compreensão e deixam ao humano apenas a projeção (Endsley, 1995). Basta que a trilha permita reconstruir a cadeia e que o uso terminal exiba a origem do material, o que encontra respaldo no art. 13, II, da Resolução.</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A leitura proposta tem os limites da revisão narrativa, e o modelo de projeto não foi testado. A literatura documenta de forma robusta o viés de automação e sua relação com carga cognitiva, vigilância e pressão de prazo, mas não isola o efeito de controles análogos sobre a qualidade das decisões de magistrados e gestores brasileiros.</w:t>
      </w:r>
    </w:p>
    <w:p>
      <w:pPr>
        <w:pStyle w:val="Normal"/>
        <w:spacing w:lineRule="auto" w:line="36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360" w:before="0" w:after="0"/>
        <w:jc w:val="both"/>
        <w:rPr>
          <w:rFonts w:ascii="Arial" w:hAnsi="Arial" w:eastAsia="Arial" w:cs="Arial"/>
          <w:b/>
          <w:bCs/>
          <w:sz w:val="24"/>
          <w:szCs w:val="24"/>
        </w:rPr>
      </w:pPr>
      <w:r>
        <w:rPr>
          <w:rFonts w:eastAsia="Arial" w:cs="Arial" w:ascii="Arial" w:hAnsi="Arial"/>
          <w:b/>
          <w:bCs/>
          <w:sz w:val="24"/>
          <w:szCs w:val="24"/>
        </w:rPr>
        <w:t>4 CONSIDERAÇÕES FINAIS</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 xml:space="preserve">A revisão conclui que um framework de gestão de riscos, auditoria e compliance para a decisão assistida deve ser implantado em etapas, com governança separada da gestão, monitoramento automatizado por </w:t>
      </w:r>
      <w:r>
        <w:rPr>
          <w:rFonts w:eastAsia="Arial" w:cs="Arial" w:ascii="Arial" w:hAnsi="Arial"/>
          <w:sz w:val="24"/>
          <w:szCs w:val="24"/>
          <w:u w:val="single"/>
        </w:rPr>
        <w:t>sprints</w:t>
      </w:r>
      <w:r>
        <w:rPr>
          <w:rFonts w:eastAsia="Arial" w:cs="Arial" w:ascii="Arial" w:hAnsi="Arial"/>
          <w:sz w:val="24"/>
          <w:szCs w:val="24"/>
        </w:rPr>
        <w:t xml:space="preserve"> na segunda linha, avaliação independente pela auditoria interna e controles que antecipem a perda de qualidade das decisões. A eficácia do regime depende menos da existência formal das instâncias de controle do que da capacidade de ler, por tendência e na série da própria unidade, as condições que favorecem a perda de qualidade, como a pressão de prazo, a aceleração do volume e a concentração de decisões no fim do período, e de responder a elas com apoio da gestão antes que a perda se consolide. A atribuição nominal de responsabilidade completa o arranjo. A literatura reunida dá à proposição apoio teórico, não experimental.</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Comitês, atas e relatórios de impacto não neutralizam por si sós o viés de automação (Parasuraman; Riley, 1997; Parasuraman; Manzey, 2010), cuja mitigação depende das condições em que se decide e do desenho da interação. O mesmo vale para o GovTIC-JUD, que afere estruturas e processos, e não a qualidade do que se decide. O modelo examinado contribui em três pontos. Separa governança e gestão, de modo que quem fixa a intensidade da verificação não seja quem arca com seu custo. Acrescenta a probabilidade de perda de qualidade, que completa o impacto medido pelo Índice. Por fim, trata a prevenção como resposta de apoio da gestão sobre as condições de trabalho, acionada pela tendência, com trilha apta ao monitoramento automatizado e à auditoria independente.</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 xml:space="preserve">O exame revelou limitações do artefato. A primeira é que, sem intervenção no ponto de decisão, escolha deliberada para preservar a independência funcional, o modelo depende de aproximações agregadas e não mede o viés em cada decisão, apenas o risco por unidade. A segunda é a estipulação não calibrada dos parâmetros do Índice, cuja arbitrariedade espelha a que o modelo atribui ao corte binário da norma vigente. A </w:t>
      </w:r>
      <w:r>
        <w:rPr>
          <w:rFonts w:eastAsia="Arial" w:cs="Arial" w:ascii="Arial" w:hAnsi="Arial"/>
          <w:sz w:val="24"/>
          <w:szCs w:val="24"/>
        </w:rPr>
        <w:t>terceira</w:t>
      </w:r>
      <w:r>
        <w:rPr>
          <w:rFonts w:eastAsia="Arial" w:cs="Arial" w:ascii="Arial" w:hAnsi="Arial"/>
          <w:sz w:val="24"/>
          <w:szCs w:val="24"/>
        </w:rPr>
        <w:t xml:space="preserve"> é a ausência de um princípio que condicione a supervisão à exequibilidade dos controles, o que, sendo a autodeclaração a única via de captura do uso externo, favorece o uso não declarado de ferramentas. A </w:t>
      </w:r>
      <w:r>
        <w:rPr>
          <w:rFonts w:eastAsia="Arial" w:cs="Arial" w:ascii="Arial" w:hAnsi="Arial"/>
          <w:sz w:val="24"/>
          <w:szCs w:val="24"/>
        </w:rPr>
        <w:t>quarta</w:t>
      </w:r>
      <w:r>
        <w:rPr>
          <w:rFonts w:eastAsia="Arial" w:cs="Arial" w:ascii="Arial" w:hAnsi="Arial"/>
          <w:sz w:val="24"/>
          <w:szCs w:val="24"/>
        </w:rPr>
        <w:t xml:space="preserve"> é a classificação por uso isolado, que deixa fora do Índice o efeito cumulativo das cadeias decisórias. </w:t>
      </w:r>
    </w:p>
    <w:p>
      <w:pPr>
        <w:pStyle w:val="Normal"/>
        <w:spacing w:lineRule="auto" w:line="360" w:before="0" w:after="0"/>
        <w:ind w:firstLine="709"/>
        <w:jc w:val="both"/>
        <w:rPr>
          <w:rFonts w:ascii="Arial" w:hAnsi="Arial" w:eastAsia="Arial" w:cs="Arial"/>
          <w:sz w:val="24"/>
          <w:szCs w:val="24"/>
        </w:rPr>
      </w:pPr>
      <w:r>
        <w:rPr>
          <w:rFonts w:eastAsia="Arial" w:cs="Arial" w:ascii="Arial" w:hAnsi="Arial"/>
          <w:sz w:val="24"/>
          <w:szCs w:val="24"/>
        </w:rPr>
        <w:t>Como agenda de pesquisa, sugerem-se a aplicação do modelo de projeto, adaptado, em unidades piloto e estudos quase-experimentais que comparem a qualidade da fundamentação entre unidades com e sem o monitoramento do risco de perda de qualidade, com participação voluntária e consentimento informado. Sugerem-se também a avaliação do modelo por painel independente e o levantamento anônimo do uso não declarado de inteligência artificial generativa.</w:t>
      </w:r>
      <w:r>
        <w:br w:type="page"/>
      </w:r>
    </w:p>
    <w:p>
      <w:pPr>
        <w:pStyle w:val="Normal"/>
        <w:spacing w:lineRule="auto" w:line="360" w:before="0" w:after="0"/>
        <w:jc w:val="center"/>
        <w:rPr>
          <w:rFonts w:ascii="Arial" w:hAnsi="Arial" w:eastAsia="Arial" w:cs="Arial"/>
          <w:b/>
          <w:bCs/>
          <w:sz w:val="24"/>
          <w:szCs w:val="24"/>
        </w:rPr>
      </w:pPr>
      <w:r>
        <w:rPr>
          <w:rFonts w:eastAsia="Arial" w:cs="Arial" w:ascii="Arial" w:hAnsi="Arial"/>
          <w:b/>
          <w:bCs/>
          <w:sz w:val="24"/>
          <w:szCs w:val="24"/>
        </w:rPr>
        <w:t>REFERÊNCIAS</w:t>
      </w:r>
    </w:p>
    <w:p>
      <w:pPr>
        <w:pStyle w:val="Normal"/>
        <w:spacing w:lineRule="auto" w:line="360" w:before="0" w:after="0"/>
        <w:jc w:val="center"/>
        <w:rPr>
          <w:rFonts w:ascii="Arial" w:hAnsi="Arial" w:eastAsia="Arial" w:cs="Arial"/>
          <w:b/>
          <w:bCs/>
          <w:sz w:val="24"/>
          <w:szCs w:val="24"/>
        </w:rPr>
      </w:pPr>
      <w:r>
        <w:rPr>
          <w:rFonts w:eastAsia="Arial" w:cs="Arial" w:ascii="Arial" w:hAnsi="Arial"/>
          <w:b/>
          <w:bCs/>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ABNT. </w:t>
      </w:r>
      <w:r>
        <w:rPr>
          <w:rFonts w:eastAsia="Arial" w:cs="Arial" w:ascii="Arial" w:hAnsi="Arial"/>
          <w:b/>
          <w:bCs/>
          <w:sz w:val="24"/>
          <w:szCs w:val="24"/>
        </w:rPr>
        <w:t>NBR ISO 31000:2018</w:t>
      </w:r>
      <w:r>
        <w:rPr>
          <w:rFonts w:eastAsia="Arial" w:cs="Arial" w:ascii="Arial" w:hAnsi="Arial"/>
          <w:sz w:val="24"/>
          <w:szCs w:val="24"/>
        </w:rPr>
        <w:t>: gestão de riscos, diretrizes. Rio de Janeiro: ABNT, 2018.</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ALON-BARKAT, Saar; BUSUIOC, Madalina. Human–AI interactions in public sector decision making: “automation bias” and “selective adherence” to algorithmic advice. </w:t>
      </w:r>
      <w:r>
        <w:rPr>
          <w:rFonts w:eastAsia="Arial" w:cs="Arial" w:ascii="Arial" w:hAnsi="Arial"/>
          <w:b/>
          <w:bCs/>
          <w:sz w:val="24"/>
          <w:szCs w:val="24"/>
        </w:rPr>
        <w:t>Journal of Public Administration Research and Theory</w:t>
      </w:r>
      <w:r>
        <w:rPr>
          <w:rFonts w:eastAsia="Arial" w:cs="Arial" w:ascii="Arial" w:hAnsi="Arial"/>
          <w:sz w:val="24"/>
          <w:szCs w:val="24"/>
        </w:rPr>
        <w:t>, Oxford, v. 33, n. 1, p. 153-169, 2023. DOI: 10.1093/jopart/muac007.</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AMERSHI, Saleema et al. Guidelines for human-AI interaction. In: CHI CONFERENCE ON HUMAN FACTORS IN COMPUTING SYSTEMS, 2019, Glasgow. Proceedings [...]. New York: ACM, 2019. p. 1-13. DOI: 10.1145/3290605.3300233.</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BAINBRIDGE, Lisanne. Ironies of automation. </w:t>
      </w:r>
      <w:r>
        <w:rPr>
          <w:rFonts w:eastAsia="Arial" w:cs="Arial" w:ascii="Arial" w:hAnsi="Arial"/>
          <w:b/>
          <w:bCs/>
          <w:sz w:val="24"/>
          <w:szCs w:val="24"/>
        </w:rPr>
        <w:t>Automatica</w:t>
      </w:r>
      <w:r>
        <w:rPr>
          <w:rFonts w:eastAsia="Arial" w:cs="Arial" w:ascii="Arial" w:hAnsi="Arial"/>
          <w:sz w:val="24"/>
          <w:szCs w:val="24"/>
        </w:rPr>
        <w:t>, Oxford, v. 19, n. 6, p. 775-779, nov. 1983. DOI: 10.1016/0005-1098(83)90046-8.</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BRASIL. [Constituição (1988)]. </w:t>
      </w:r>
      <w:r>
        <w:rPr>
          <w:rFonts w:eastAsia="Arial" w:cs="Arial" w:ascii="Arial" w:hAnsi="Arial"/>
          <w:b/>
          <w:bCs/>
          <w:sz w:val="24"/>
          <w:szCs w:val="24"/>
        </w:rPr>
        <w:t>Constituição da República Federativa do Brasil de 1988</w:t>
      </w:r>
      <w:r>
        <w:rPr>
          <w:rFonts w:eastAsia="Arial" w:cs="Arial" w:ascii="Arial" w:hAnsi="Arial"/>
          <w:sz w:val="24"/>
          <w:szCs w:val="24"/>
        </w:rPr>
        <w:t>. Brasília, DF: Senado Federal, 1988. Disponível em: https://www.planalto.gov.br/ccivil_03/constituicao/constituicao.htm. Acesso em: 20 ago. 2026.</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BRASIL. Lei n. 9.784, de 29 de janeiro de 1999. </w:t>
      </w:r>
      <w:r>
        <w:rPr>
          <w:rFonts w:eastAsia="Arial" w:cs="Arial" w:ascii="Arial" w:hAnsi="Arial"/>
          <w:b/>
          <w:bCs/>
          <w:sz w:val="24"/>
          <w:szCs w:val="24"/>
        </w:rPr>
        <w:t>Regula o processo administrativo no âmbito da Administração Pública Federal</w:t>
      </w:r>
      <w:r>
        <w:rPr>
          <w:rFonts w:eastAsia="Arial" w:cs="Arial" w:ascii="Arial" w:hAnsi="Arial"/>
          <w:sz w:val="24"/>
          <w:szCs w:val="24"/>
        </w:rPr>
        <w:t>. Brasília, DF: Presidência da República, 1999. Disponível em: https://www.planalto.gov.br/ccivil_03/leis/l9784.htm. Acesso em: 12 out. 2026.</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BRASIL. Lei n. 13.105, de 16 de março de 2015. </w:t>
      </w:r>
      <w:r>
        <w:rPr>
          <w:rFonts w:eastAsia="Arial" w:cs="Arial" w:ascii="Arial" w:hAnsi="Arial"/>
          <w:b/>
          <w:bCs/>
          <w:sz w:val="24"/>
          <w:szCs w:val="24"/>
        </w:rPr>
        <w:t>Código de Processo Civil</w:t>
      </w:r>
      <w:r>
        <w:rPr>
          <w:rFonts w:eastAsia="Arial" w:cs="Arial" w:ascii="Arial" w:hAnsi="Arial"/>
          <w:sz w:val="24"/>
          <w:szCs w:val="24"/>
        </w:rPr>
        <w:t>. Brasília, DF: Presidência da República, 2015. Disponível em: https://www.planalto.gov.br/ccivil_03/_ato2015-2018/2015/lei/l13105.htm. Acesso em: 9 out. 2026.</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BRASIL. Lei n. 13.709, de 14 de agosto de 2018. </w:t>
      </w:r>
      <w:r>
        <w:rPr>
          <w:rFonts w:eastAsia="Arial" w:cs="Arial" w:ascii="Arial" w:hAnsi="Arial"/>
          <w:b/>
          <w:bCs/>
          <w:sz w:val="24"/>
          <w:szCs w:val="24"/>
        </w:rPr>
        <w:t>Lei Geral de Proteção de Dados Pessoais (LGPD)</w:t>
      </w:r>
      <w:r>
        <w:rPr>
          <w:rFonts w:eastAsia="Arial" w:cs="Arial" w:ascii="Arial" w:hAnsi="Arial"/>
          <w:sz w:val="24"/>
          <w:szCs w:val="24"/>
        </w:rPr>
        <w:t>. Brasília, DF: Presidência da República, 2018. Disponível em: https://www.planalto.gov.br/ccivil_03/_ato2015-2018/2018/lei/l13709.htm. Acesso em: 20 ago. 2026.</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COMMITTEE OF SPONSORING ORGANIZATIONS OF THE TREADWAY COMMISSION. </w:t>
      </w:r>
      <w:r>
        <w:rPr>
          <w:rFonts w:eastAsia="Arial" w:cs="Arial" w:ascii="Arial" w:hAnsi="Arial"/>
          <w:b/>
          <w:bCs/>
          <w:sz w:val="24"/>
          <w:szCs w:val="24"/>
        </w:rPr>
        <w:t>Enterprise risk management</w:t>
      </w:r>
      <w:r>
        <w:rPr>
          <w:rFonts w:eastAsia="Arial" w:cs="Arial" w:ascii="Arial" w:hAnsi="Arial"/>
          <w:sz w:val="24"/>
          <w:szCs w:val="24"/>
        </w:rPr>
        <w:t>: integrating with strategy and performance. [S. l.]: COSO, 2017.</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CONSELHO NACIONAL DE JUSTIÇA. </w:t>
      </w:r>
      <w:r>
        <w:rPr>
          <w:rFonts w:eastAsia="Arial" w:cs="Arial" w:ascii="Arial" w:hAnsi="Arial"/>
          <w:b/>
          <w:bCs/>
          <w:sz w:val="24"/>
          <w:szCs w:val="24"/>
        </w:rPr>
        <w:t>Resolução n. 309, de 11 de março de 2020</w:t>
      </w:r>
      <w:r>
        <w:rPr>
          <w:rFonts w:eastAsia="Arial" w:cs="Arial" w:ascii="Arial" w:hAnsi="Arial"/>
          <w:sz w:val="24"/>
          <w:szCs w:val="24"/>
        </w:rPr>
        <w:t>. Aprova as Diretrizes Técnicas das Atividades de Auditoria Interna Governamental do Poder Judiciário (DIRAUD-Jud). Brasília, DF: CNJ, 2020. Disponível em: https://www.cnj.jus.br/wp-content/uploads/2020/04/Resolu%C3%A7%C3%A3o-CNJ-n%C2%BA-309.pdf. Acesso em: 12 out. 2026.</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CONSELHO NACIONAL DE JUSTIÇA. </w:t>
      </w:r>
      <w:r>
        <w:rPr>
          <w:rFonts w:eastAsia="Arial" w:cs="Arial" w:ascii="Arial" w:hAnsi="Arial"/>
          <w:b/>
          <w:bCs/>
          <w:sz w:val="24"/>
          <w:szCs w:val="24"/>
        </w:rPr>
        <w:t>Guia da Estratégia Nacional de Tecnologia da Informação e Comunicação do Poder Judiciário</w:t>
      </w:r>
      <w:r>
        <w:rPr>
          <w:rFonts w:eastAsia="Arial" w:cs="Arial" w:ascii="Arial" w:hAnsi="Arial"/>
          <w:sz w:val="24"/>
          <w:szCs w:val="24"/>
        </w:rPr>
        <w:t>: ENTIC-JUD 2021-2026. Versão 1.1. Brasília, DF: CNJ, 2021a. Disponível em: https://www.cnj.jus.br/wp-content/uploads/2021/11/guia-da-entic-jud-res370-2021-10-07-rev2.pdf. Acesso em: 29 set. 2026.</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CONSELHO NACIONAL DE JUSTIÇA. </w:t>
      </w:r>
      <w:r>
        <w:rPr>
          <w:rFonts w:eastAsia="Arial" w:cs="Arial" w:ascii="Arial" w:hAnsi="Arial"/>
          <w:b/>
          <w:bCs/>
          <w:sz w:val="24"/>
          <w:szCs w:val="24"/>
        </w:rPr>
        <w:t>Justiça em Números 2026</w:t>
      </w:r>
      <w:r>
        <w:rPr>
          <w:rFonts w:eastAsia="Arial" w:cs="Arial" w:ascii="Arial" w:hAnsi="Arial"/>
          <w:sz w:val="24"/>
          <w:szCs w:val="24"/>
        </w:rPr>
        <w:t>: ano-base 2025. Brasília, DF: CNJ, 2026. Disponível em: https://www.cnj.jus.br/pesquisas-judiciarias/justica-em-numeros/. Acesso em: 1 set. 2026.</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CONSELHO NACIONAL DE JUSTIÇA. </w:t>
      </w:r>
      <w:r>
        <w:rPr>
          <w:rFonts w:eastAsia="Arial" w:cs="Arial" w:ascii="Arial" w:hAnsi="Arial"/>
          <w:b/>
          <w:bCs/>
          <w:sz w:val="24"/>
          <w:szCs w:val="24"/>
        </w:rPr>
        <w:t>Manual do Índice em Governança, Gestão e Infraestrutura de TIC do Poder Judiciário</w:t>
      </w:r>
      <w:r>
        <w:rPr>
          <w:rFonts w:eastAsia="Arial" w:cs="Arial" w:ascii="Arial" w:hAnsi="Arial"/>
          <w:sz w:val="24"/>
          <w:szCs w:val="24"/>
        </w:rPr>
        <w:t>: iGovTIC-JUD 2021. Brasília, DF: CNJ, 2021b. Disponível em: https://atos.cnj.jus.br/files/compilado17293720220923632ded015a14a.pdf. Acesso em: 29 set. 2026.</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CONSELHO NACIONAL DE JUSTIÇA. </w:t>
      </w:r>
      <w:r>
        <w:rPr>
          <w:rFonts w:eastAsia="Arial" w:cs="Arial" w:ascii="Arial" w:hAnsi="Arial"/>
          <w:b/>
          <w:bCs/>
          <w:sz w:val="24"/>
          <w:szCs w:val="24"/>
        </w:rPr>
        <w:t>Pesquisa IA no Poder Judiciário 2024</w:t>
      </w:r>
      <w:r>
        <w:rPr>
          <w:rFonts w:eastAsia="Arial" w:cs="Arial" w:ascii="Arial" w:hAnsi="Arial"/>
          <w:sz w:val="24"/>
          <w:szCs w:val="24"/>
        </w:rPr>
        <w:t>. Brasília, DF: CNJ, 2025a. Disponível em: https://www.cnj.jus.br/sistemas/plataforma-sinapses/paineis-e-publicacoes/. Acesso em: 20 ago. 2026.</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CONSELHO NACIONAL DE JUSTIÇA. </w:t>
      </w:r>
      <w:r>
        <w:rPr>
          <w:rFonts w:eastAsia="Arial" w:cs="Arial" w:ascii="Arial" w:hAnsi="Arial"/>
          <w:b/>
          <w:bCs/>
          <w:sz w:val="24"/>
          <w:szCs w:val="24"/>
        </w:rPr>
        <w:t>Resolução n. 615, de 11 de março de 2025</w:t>
      </w:r>
      <w:r>
        <w:rPr>
          <w:rFonts w:eastAsia="Arial" w:cs="Arial" w:ascii="Arial" w:hAnsi="Arial"/>
          <w:sz w:val="24"/>
          <w:szCs w:val="24"/>
        </w:rPr>
        <w:t>. Estabelece diretrizes para o desenvolvimento, utilização e governança de soluções desenvolvidas com recursos de inteligência artificial no Poder Judiciário. Brasília, DF: CNJ, 2025b. Disponível em: https://atos.cnj.jus.br/atos/detalhar/6001. Acesso em: 20 ago. 2026.</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CUMMINGS, Mary L. Automation bias in intelligent time critical decision support systems. In: AIAA 1ST INTELLIGENT SYSTEMS TECHNICAL CONFERENCE, 2004, Chicago. Proceedings [...]. Reston: AIAA, 2004. DOI: 10.2514/6.2004-6313.</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DANZIGER, Shai; LEVAV, Jonathan; AVNAIM-PESSO, Liora. Extraneous factors in judicial decisions. </w:t>
      </w:r>
      <w:r>
        <w:rPr>
          <w:rFonts w:eastAsia="Arial" w:cs="Arial" w:ascii="Arial" w:hAnsi="Arial"/>
          <w:b/>
          <w:bCs/>
          <w:sz w:val="24"/>
          <w:szCs w:val="24"/>
        </w:rPr>
        <w:t>Proceedings of the National Academy of Sciences</w:t>
      </w:r>
      <w:r>
        <w:rPr>
          <w:rFonts w:eastAsia="Arial" w:cs="Arial" w:ascii="Arial" w:hAnsi="Arial"/>
          <w:sz w:val="24"/>
          <w:szCs w:val="24"/>
        </w:rPr>
        <w:t>, Washington, v. 108, n. 17, p. 6889-6892, 2011. DOI: 10.1073/pnas.1018033108.</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ENDSLEY, Mica R. Toward a theory of situation awareness in dynamic systems. </w:t>
      </w:r>
      <w:r>
        <w:rPr>
          <w:rFonts w:eastAsia="Arial" w:cs="Arial" w:ascii="Arial" w:hAnsi="Arial"/>
          <w:b/>
          <w:bCs/>
          <w:sz w:val="24"/>
          <w:szCs w:val="24"/>
        </w:rPr>
        <w:t>Human Factors</w:t>
      </w:r>
      <w:r>
        <w:rPr>
          <w:rFonts w:eastAsia="Arial" w:cs="Arial" w:ascii="Arial" w:hAnsi="Arial"/>
          <w:sz w:val="24"/>
          <w:szCs w:val="24"/>
        </w:rPr>
        <w:t>, Thousand Oaks, v. 37, n. 1, p. 32-64, mar. 1995. DOI: 10.1518/001872095779049543.</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FLORIDI, Luciano et al. AI4People: an ethical framework for a good AI society: opportunities, risks, principles, and recommendations. Minds and Machines, Dordrecht, v. 28, n. 4, p. 689-707, dez. 2018.</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GODDARD, Kate; ROUDSARI, Abdul; WYATT, Jeremy C. Automation bias: a systematic review of frequency, effect mediators, and mitigators. </w:t>
      </w:r>
      <w:r>
        <w:rPr>
          <w:rFonts w:eastAsia="Arial" w:cs="Arial" w:ascii="Arial" w:hAnsi="Arial"/>
          <w:b/>
          <w:bCs/>
          <w:sz w:val="24"/>
          <w:szCs w:val="24"/>
        </w:rPr>
        <w:t>Journal of the American Medical Informatics Association</w:t>
      </w:r>
      <w:r>
        <w:rPr>
          <w:rFonts w:eastAsia="Arial" w:cs="Arial" w:ascii="Arial" w:hAnsi="Arial"/>
          <w:sz w:val="24"/>
          <w:szCs w:val="24"/>
        </w:rPr>
        <w:t>, Oxford, v. 19, n. 1, p. 121-127, jan. 2012. DOI: 10.1136/amiajnl-2011-000089.</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GREEN, Ben. The flaws of policies requiring human oversight of government algorithms. </w:t>
      </w:r>
      <w:r>
        <w:rPr>
          <w:rFonts w:eastAsia="Arial" w:cs="Arial" w:ascii="Arial" w:hAnsi="Arial"/>
          <w:b/>
          <w:bCs/>
          <w:sz w:val="24"/>
          <w:szCs w:val="24"/>
        </w:rPr>
        <w:t>Computer Law &amp; Security Review</w:t>
      </w:r>
      <w:r>
        <w:rPr>
          <w:rFonts w:eastAsia="Arial" w:cs="Arial" w:ascii="Arial" w:hAnsi="Arial"/>
          <w:sz w:val="24"/>
          <w:szCs w:val="24"/>
        </w:rPr>
        <w:t>, Amsterdam, v. 45, art. 105681, 2022. DOI: 10.1016/j.clsr.2022.105681.</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GUTHRIE, Chris; RACHLINSKI, Jeffrey J.; WISTRICH, Andrew J. Blinking on the bench: how judges decide cases. </w:t>
      </w:r>
      <w:r>
        <w:rPr>
          <w:rFonts w:eastAsia="Arial" w:cs="Arial" w:ascii="Arial" w:hAnsi="Arial"/>
          <w:b/>
          <w:bCs/>
          <w:sz w:val="24"/>
          <w:szCs w:val="24"/>
        </w:rPr>
        <w:t>Cornell Law Review</w:t>
      </w:r>
      <w:r>
        <w:rPr>
          <w:rFonts w:eastAsia="Arial" w:cs="Arial" w:ascii="Arial" w:hAnsi="Arial"/>
          <w:sz w:val="24"/>
          <w:szCs w:val="24"/>
        </w:rPr>
        <w:t>, Ithaca, v. 93, n. 1, p. 1-43, nov. 2007.</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HAAG, Steffi; ECKHARDT, Andreas. Shadow IT. </w:t>
      </w:r>
      <w:r>
        <w:rPr>
          <w:rFonts w:eastAsia="Arial" w:cs="Arial" w:ascii="Arial" w:hAnsi="Arial"/>
          <w:b/>
          <w:bCs/>
          <w:sz w:val="24"/>
          <w:szCs w:val="24"/>
        </w:rPr>
        <w:t>Business &amp; Information Systems Engineering</w:t>
      </w:r>
      <w:r>
        <w:rPr>
          <w:rFonts w:eastAsia="Arial" w:cs="Arial" w:ascii="Arial" w:hAnsi="Arial"/>
          <w:sz w:val="24"/>
          <w:szCs w:val="24"/>
        </w:rPr>
        <w:t>, Wiesbaden, v. 59, n. 6, p. 469-473, dez. 2017. DOI: 10.1007/s12599-017-0497-x.</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INSTITUTE OF INTERNAL AUDITORS. </w:t>
      </w:r>
      <w:r>
        <w:rPr>
          <w:rFonts w:eastAsia="Arial" w:cs="Arial" w:ascii="Arial" w:hAnsi="Arial"/>
          <w:b/>
          <w:bCs/>
          <w:sz w:val="24"/>
          <w:szCs w:val="24"/>
        </w:rPr>
        <w:t>The IIA's three lines model</w:t>
      </w:r>
      <w:r>
        <w:rPr>
          <w:rFonts w:eastAsia="Arial" w:cs="Arial" w:ascii="Arial" w:hAnsi="Arial"/>
          <w:sz w:val="24"/>
          <w:szCs w:val="24"/>
        </w:rPr>
        <w:t>: an update of the three lines of defense. Lake Mary: IIA, 2020.</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INTERNATIONAL ORGANIZATION FOR STANDARDIZATION. </w:t>
      </w:r>
      <w:r>
        <w:rPr>
          <w:rFonts w:eastAsia="Arial" w:cs="Arial" w:ascii="Arial" w:hAnsi="Arial"/>
          <w:b/>
          <w:bCs/>
          <w:sz w:val="24"/>
          <w:szCs w:val="24"/>
        </w:rPr>
        <w:t>ISO 37301:2021</w:t>
      </w:r>
      <w:r>
        <w:rPr>
          <w:rFonts w:eastAsia="Arial" w:cs="Arial" w:ascii="Arial" w:hAnsi="Arial"/>
          <w:sz w:val="24"/>
          <w:szCs w:val="24"/>
        </w:rPr>
        <w:t>: compliance management systems, requirements with guidance for use. Genebra: ISO, 2021.</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ISACA. </w:t>
      </w:r>
      <w:r>
        <w:rPr>
          <w:rFonts w:eastAsia="Arial" w:cs="Arial" w:ascii="Arial" w:hAnsi="Arial"/>
          <w:b/>
          <w:bCs/>
          <w:sz w:val="24"/>
          <w:szCs w:val="24"/>
        </w:rPr>
        <w:t>COBIT 2019 framework</w:t>
      </w:r>
      <w:r>
        <w:rPr>
          <w:rFonts w:eastAsia="Arial" w:cs="Arial" w:ascii="Arial" w:hAnsi="Arial"/>
          <w:sz w:val="24"/>
          <w:szCs w:val="24"/>
        </w:rPr>
        <w:t>: introduction and methodology. Schaumburg: ISACA, 2018.</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LEE, John D.; SEE, Kathleen A. Trust in automation: designing for appropriate reliance. </w:t>
      </w:r>
      <w:r>
        <w:rPr>
          <w:rFonts w:eastAsia="Arial" w:cs="Arial" w:ascii="Arial" w:hAnsi="Arial"/>
          <w:b/>
          <w:bCs/>
          <w:sz w:val="24"/>
          <w:szCs w:val="24"/>
        </w:rPr>
        <w:t>Human Factors</w:t>
      </w:r>
      <w:r>
        <w:rPr>
          <w:rFonts w:eastAsia="Arial" w:cs="Arial" w:ascii="Arial" w:hAnsi="Arial"/>
          <w:sz w:val="24"/>
          <w:szCs w:val="24"/>
        </w:rPr>
        <w:t>, Thousand Oaks, v. 46, n. 1, p. 50-80, mar. 2004. DOI: 10.1518/hfes.46.1.50_30392.</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MACKWORTH, Norman H. The breakdown of vigilance during prolonged visual search. </w:t>
      </w:r>
      <w:r>
        <w:rPr>
          <w:rFonts w:eastAsia="Arial" w:cs="Arial" w:ascii="Arial" w:hAnsi="Arial"/>
          <w:b/>
          <w:bCs/>
          <w:sz w:val="24"/>
          <w:szCs w:val="24"/>
        </w:rPr>
        <w:t>Quarterly Journal of Experimental Psychology</w:t>
      </w:r>
      <w:r>
        <w:rPr>
          <w:rFonts w:eastAsia="Arial" w:cs="Arial" w:ascii="Arial" w:hAnsi="Arial"/>
          <w:sz w:val="24"/>
          <w:szCs w:val="24"/>
        </w:rPr>
        <w:t>, Londres, v. 1, n. 1, p. 6-21, 1948. DOI: 10.1080/17470214808416738.</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MELLO, Eric Lopes. </w:t>
      </w:r>
      <w:r>
        <w:rPr>
          <w:rFonts w:eastAsia="Arial" w:cs="Arial" w:ascii="Arial" w:hAnsi="Arial"/>
          <w:b/>
          <w:bCs/>
          <w:sz w:val="24"/>
          <w:szCs w:val="24"/>
        </w:rPr>
        <w:t>Inovação tecnológica e sua efetividade na justiça</w:t>
      </w:r>
      <w:r>
        <w:rPr>
          <w:rFonts w:eastAsia="Arial" w:cs="Arial" w:ascii="Arial" w:hAnsi="Arial"/>
          <w:sz w:val="24"/>
          <w:szCs w:val="24"/>
        </w:rPr>
        <w:t>. Revista do Tribunal Regional do Trabalho da 2ª Região, São Paulo, v. 14, n. 28, p. 135-140, 2022.</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NONAKA, Ikujiro; TAKEUCHI, Hirotaka. </w:t>
      </w:r>
      <w:r>
        <w:rPr>
          <w:rFonts w:eastAsia="Arial" w:cs="Arial" w:ascii="Arial" w:hAnsi="Arial"/>
          <w:b/>
          <w:bCs/>
          <w:sz w:val="24"/>
          <w:szCs w:val="24"/>
        </w:rPr>
        <w:t>The knowledge-creating company</w:t>
      </w:r>
      <w:r>
        <w:rPr>
          <w:rFonts w:eastAsia="Arial" w:cs="Arial" w:ascii="Arial" w:hAnsi="Arial"/>
          <w:sz w:val="24"/>
          <w:szCs w:val="24"/>
        </w:rPr>
        <w:t>: how Japanese companies create the dynamics of innovation. Nova Iorque: Oxford University Press, 1995.</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OYER, Paul. Fiscal year ends and nonlinear incentive contracts: the effect on business seasonality. </w:t>
      </w:r>
      <w:r>
        <w:rPr>
          <w:rFonts w:eastAsia="Arial" w:cs="Arial" w:ascii="Arial" w:hAnsi="Arial"/>
          <w:b/>
          <w:bCs/>
          <w:sz w:val="24"/>
          <w:szCs w:val="24"/>
        </w:rPr>
        <w:t>The Quarterly Journal of Economics</w:t>
      </w:r>
      <w:r>
        <w:rPr>
          <w:rFonts w:eastAsia="Arial" w:cs="Arial" w:ascii="Arial" w:hAnsi="Arial"/>
          <w:sz w:val="24"/>
          <w:szCs w:val="24"/>
        </w:rPr>
        <w:t>, Cambridge, v. 113, n. 1, p. 149-185, 1998. DOI: 10.1162/003355398555559.</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PARASURAMAN, Raja; MANZEY, Dietrich H. Complacency and bias in human use of automation: an attentional integration. </w:t>
      </w:r>
      <w:r>
        <w:rPr>
          <w:rFonts w:eastAsia="Arial" w:cs="Arial" w:ascii="Arial" w:hAnsi="Arial"/>
          <w:b/>
          <w:bCs/>
          <w:sz w:val="24"/>
          <w:szCs w:val="24"/>
        </w:rPr>
        <w:t>Human Factors</w:t>
      </w:r>
      <w:r>
        <w:rPr>
          <w:rFonts w:eastAsia="Arial" w:cs="Arial" w:ascii="Arial" w:hAnsi="Arial"/>
          <w:sz w:val="24"/>
          <w:szCs w:val="24"/>
        </w:rPr>
        <w:t>, Thousand Oaks, v. 52, n. 3, p. 381-410, jun. 2010. DOI: 10.1177/0018720810376055.</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PARASURAMAN, Raja; RILEY, Victor. Humans and automation: use, misuse, disuse, abuse. </w:t>
      </w:r>
      <w:r>
        <w:rPr>
          <w:rFonts w:eastAsia="Arial" w:cs="Arial" w:ascii="Arial" w:hAnsi="Arial"/>
          <w:b/>
          <w:bCs/>
          <w:sz w:val="24"/>
          <w:szCs w:val="24"/>
        </w:rPr>
        <w:t>Human Factors</w:t>
      </w:r>
      <w:r>
        <w:rPr>
          <w:rFonts w:eastAsia="Arial" w:cs="Arial" w:ascii="Arial" w:hAnsi="Arial"/>
          <w:sz w:val="24"/>
          <w:szCs w:val="24"/>
        </w:rPr>
        <w:t>, Thousand Oaks, v. 39, n. 2, p. 230-253, jun. 1997. DOI: 10.1518/001872097778543886.</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POLANYI, Michael. </w:t>
      </w:r>
      <w:r>
        <w:rPr>
          <w:rFonts w:eastAsia="Arial" w:cs="Arial" w:ascii="Arial" w:hAnsi="Arial"/>
          <w:b/>
          <w:bCs/>
          <w:sz w:val="24"/>
          <w:szCs w:val="24"/>
        </w:rPr>
        <w:t>The tacit dimension</w:t>
      </w:r>
      <w:r>
        <w:rPr>
          <w:rFonts w:eastAsia="Arial" w:cs="Arial" w:ascii="Arial" w:hAnsi="Arial"/>
          <w:sz w:val="24"/>
          <w:szCs w:val="24"/>
        </w:rPr>
        <w:t>. Londres: Routledge &amp; Kegan Paul, 1966.</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ROMEO, Giuseppe; CONTI, Daniela. Exploring automation bias in human-AI collaboration: a review and implications for explainable AI. </w:t>
      </w:r>
      <w:r>
        <w:rPr>
          <w:rFonts w:eastAsia="Arial" w:cs="Arial" w:ascii="Arial" w:hAnsi="Arial"/>
          <w:b/>
          <w:bCs/>
          <w:sz w:val="24"/>
          <w:szCs w:val="24"/>
        </w:rPr>
        <w:t>AI &amp; Society</w:t>
      </w:r>
      <w:r>
        <w:rPr>
          <w:rFonts w:eastAsia="Arial" w:cs="Arial" w:ascii="Arial" w:hAnsi="Arial"/>
          <w:sz w:val="24"/>
          <w:szCs w:val="24"/>
        </w:rPr>
        <w:t>, Londres, 2025. DOI: 10.1007/s00146-025-02422-7.</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SCHWABER, Ken; SUTHERLAND, Jeff. </w:t>
      </w:r>
      <w:r>
        <w:rPr>
          <w:rFonts w:eastAsia="Arial" w:cs="Arial" w:ascii="Arial" w:hAnsi="Arial"/>
          <w:b/>
          <w:bCs/>
          <w:sz w:val="24"/>
          <w:szCs w:val="24"/>
        </w:rPr>
        <w:t>The Scrum Guide</w:t>
      </w:r>
      <w:r>
        <w:rPr>
          <w:rFonts w:eastAsia="Arial" w:cs="Arial" w:ascii="Arial" w:hAnsi="Arial"/>
          <w:sz w:val="24"/>
          <w:szCs w:val="24"/>
        </w:rPr>
        <w:t>: the definitive guide to Scrum, the rules of the game. [S. l.]: Scrum.org, 2020.</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SHNEIDERMAN, Ben. </w:t>
      </w:r>
      <w:r>
        <w:rPr>
          <w:rFonts w:eastAsia="Arial" w:cs="Arial" w:ascii="Arial" w:hAnsi="Arial"/>
          <w:b/>
          <w:bCs/>
          <w:sz w:val="24"/>
          <w:szCs w:val="24"/>
        </w:rPr>
        <w:t>Human-centered AI</w:t>
      </w:r>
      <w:r>
        <w:rPr>
          <w:rFonts w:eastAsia="Arial" w:cs="Arial" w:ascii="Arial" w:hAnsi="Arial"/>
          <w:sz w:val="24"/>
          <w:szCs w:val="24"/>
        </w:rPr>
        <w:t>. Oxford: Oxford University Press, 2022.</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SKITKA, Linda J.; MOSIER, Kathleen L.; BURDICK, Mark. Does automation bias decision-making? </w:t>
      </w:r>
      <w:r>
        <w:rPr>
          <w:rFonts w:eastAsia="Arial" w:cs="Arial" w:ascii="Arial" w:hAnsi="Arial"/>
          <w:b/>
          <w:bCs/>
          <w:sz w:val="24"/>
          <w:szCs w:val="24"/>
        </w:rPr>
        <w:t>International Journal of Human-Computer Studies</w:t>
      </w:r>
      <w:r>
        <w:rPr>
          <w:rFonts w:eastAsia="Arial" w:cs="Arial" w:ascii="Arial" w:hAnsi="Arial"/>
          <w:sz w:val="24"/>
          <w:szCs w:val="24"/>
        </w:rPr>
        <w:t>, Londres, v. 51, n. 5, p. 991-1006, nov. 1999. DOI: 10.1006/ijhc.1999.0252.</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STEVENSON, Megan T.; DOLEAC, Jennifer L. Algorithmic risk assessment in the hands of humans. </w:t>
      </w:r>
      <w:r>
        <w:rPr>
          <w:rFonts w:eastAsia="Arial" w:cs="Arial" w:ascii="Arial" w:hAnsi="Arial"/>
          <w:b/>
          <w:bCs/>
          <w:sz w:val="24"/>
          <w:szCs w:val="24"/>
        </w:rPr>
        <w:t>American Economic Journal: Economic Policy</w:t>
      </w:r>
      <w:r>
        <w:rPr>
          <w:rFonts w:eastAsia="Arial" w:cs="Arial" w:ascii="Arial" w:hAnsi="Arial"/>
          <w:sz w:val="24"/>
          <w:szCs w:val="24"/>
        </w:rPr>
        <w:t>, Nashville, v. 16, n. 4, p. 382-414, nov. 2024. DOI: 10.1257/pol.20220620.</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SWELLER, John. Cognitive load during problem solving: effects on learning. </w:t>
      </w:r>
      <w:r>
        <w:rPr>
          <w:rFonts w:eastAsia="Arial" w:cs="Arial" w:ascii="Arial" w:hAnsi="Arial"/>
          <w:b/>
          <w:bCs/>
          <w:sz w:val="24"/>
          <w:szCs w:val="24"/>
        </w:rPr>
        <w:t>Cognitive Science</w:t>
      </w:r>
      <w:r>
        <w:rPr>
          <w:rFonts w:eastAsia="Arial" w:cs="Arial" w:ascii="Arial" w:hAnsi="Arial"/>
          <w:sz w:val="24"/>
          <w:szCs w:val="24"/>
        </w:rPr>
        <w:t>, Hoboken, v. 12, n. 2, p. 257-285, abr. 1988. DOI: 10.1207/s15516709cog1202_4.</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TRIBUNAL DE CONTAS DA UNIÃO (Brasil). </w:t>
      </w:r>
      <w:r>
        <w:rPr>
          <w:rFonts w:eastAsia="Arial" w:cs="Arial" w:ascii="Arial" w:hAnsi="Arial"/>
          <w:b/>
          <w:bCs/>
          <w:sz w:val="24"/>
          <w:szCs w:val="24"/>
        </w:rPr>
        <w:t>Referencial básico de gestão de riscos</w:t>
      </w:r>
      <w:r>
        <w:rPr>
          <w:rFonts w:eastAsia="Arial" w:cs="Arial" w:ascii="Arial" w:hAnsi="Arial"/>
          <w:sz w:val="24"/>
          <w:szCs w:val="24"/>
        </w:rPr>
        <w:t>. Brasília, DF: TCU, Secretaria Geral de Controle Externo, 2018.</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UNIÃO EUROPEIA. </w:t>
      </w:r>
      <w:r>
        <w:rPr>
          <w:rFonts w:eastAsia="Arial" w:cs="Arial" w:ascii="Arial" w:hAnsi="Arial"/>
          <w:b/>
          <w:bCs/>
          <w:sz w:val="24"/>
          <w:szCs w:val="24"/>
        </w:rPr>
        <w:t>Regulamento (UE) 2024/1689</w:t>
      </w:r>
      <w:r>
        <w:rPr>
          <w:rFonts w:eastAsia="Arial" w:cs="Arial" w:ascii="Arial" w:hAnsi="Arial"/>
          <w:sz w:val="24"/>
          <w:szCs w:val="24"/>
        </w:rPr>
        <w:t xml:space="preserve"> do Parlamento Europeu e do Conselho, de 13 de junho de 2024. Estabelece regras harmonizadas em matéria de inteligência artificial. </w:t>
      </w:r>
      <w:r>
        <w:rPr>
          <w:rFonts w:eastAsia="Arial" w:cs="Arial" w:ascii="Arial" w:hAnsi="Arial"/>
          <w:b/>
          <w:bCs/>
          <w:sz w:val="24"/>
          <w:szCs w:val="24"/>
        </w:rPr>
        <w:t>Jornal Oficial da União Europeia</w:t>
      </w:r>
      <w:r>
        <w:rPr>
          <w:rFonts w:eastAsia="Arial" w:cs="Arial" w:ascii="Arial" w:hAnsi="Arial"/>
          <w:sz w:val="24"/>
          <w:szCs w:val="24"/>
        </w:rPr>
        <w:t>, Luxemburgo, 12 jul. 2024.</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VASARHELYI, Miklos A.; HALPER, Fern B. The continuous audit of online systems. </w:t>
      </w:r>
      <w:r>
        <w:rPr>
          <w:rFonts w:eastAsia="Arial" w:cs="Arial" w:ascii="Arial" w:hAnsi="Arial"/>
          <w:b/>
          <w:bCs/>
          <w:sz w:val="24"/>
          <w:szCs w:val="24"/>
        </w:rPr>
        <w:t>Auditing: A Journal of Practice &amp; Theory</w:t>
      </w:r>
      <w:r>
        <w:rPr>
          <w:rFonts w:eastAsia="Arial" w:cs="Arial" w:ascii="Arial" w:hAnsi="Arial"/>
          <w:sz w:val="24"/>
          <w:szCs w:val="24"/>
        </w:rPr>
        <w:t>, Sarasota, v. 10, n. 1, p. 110-125, 1991.</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VASCONCELOS, Helena et al. Explanations can reduce overreliance on AI systems during decision-making. </w:t>
      </w:r>
      <w:r>
        <w:rPr>
          <w:rFonts w:eastAsia="Arial" w:cs="Arial" w:ascii="Arial" w:hAnsi="Arial"/>
          <w:b/>
          <w:bCs/>
          <w:sz w:val="24"/>
          <w:szCs w:val="24"/>
        </w:rPr>
        <w:t>Proceedings of the ACM on Human-Computer Interaction</w:t>
      </w:r>
      <w:r>
        <w:rPr>
          <w:rFonts w:eastAsia="Arial" w:cs="Arial" w:ascii="Arial" w:hAnsi="Arial"/>
          <w:sz w:val="24"/>
          <w:szCs w:val="24"/>
        </w:rPr>
        <w:t>, New York, v. 7, n. CSCW1, art. 129, p. 1-38, abr. 2023. DOI: 10.1145/3579605.</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WARM, Joel S.; PARASURAMAN, Raja; MATTHEWS, Gerald. Vigilance requires hard mental work and is stressful. </w:t>
      </w:r>
      <w:r>
        <w:rPr>
          <w:rFonts w:eastAsia="Arial" w:cs="Arial" w:ascii="Arial" w:hAnsi="Arial"/>
          <w:b/>
          <w:bCs/>
          <w:sz w:val="24"/>
          <w:szCs w:val="24"/>
        </w:rPr>
        <w:t>Human Factors</w:t>
      </w:r>
      <w:r>
        <w:rPr>
          <w:rFonts w:eastAsia="Arial" w:cs="Arial" w:ascii="Arial" w:hAnsi="Arial"/>
          <w:sz w:val="24"/>
          <w:szCs w:val="24"/>
        </w:rPr>
        <w:t>, Thousand Oaks, v. 50, n. 3, p. 433-441, jun. 2008. DOI: 10.1518/001872008X312152.</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p>
      <w:pPr>
        <w:pStyle w:val="Normal"/>
        <w:spacing w:lineRule="auto" w:line="240" w:before="0" w:after="0"/>
        <w:rPr>
          <w:rFonts w:ascii="Arial" w:hAnsi="Arial" w:eastAsia="Arial" w:cs="Arial"/>
          <w:sz w:val="24"/>
          <w:szCs w:val="24"/>
        </w:rPr>
      </w:pPr>
      <w:r>
        <w:rPr>
          <w:rFonts w:eastAsia="Arial" w:cs="Arial" w:ascii="Arial" w:hAnsi="Arial"/>
          <w:sz w:val="24"/>
          <w:szCs w:val="24"/>
        </w:rPr>
        <w:t xml:space="preserve">WEINSHALL-MARGEL, Keren; SHAPARD, John. Overlooked factors in the analysis of parole decisions. </w:t>
      </w:r>
      <w:r>
        <w:rPr>
          <w:rFonts w:eastAsia="Arial" w:cs="Arial" w:ascii="Arial" w:hAnsi="Arial"/>
          <w:b/>
          <w:bCs/>
          <w:sz w:val="24"/>
          <w:szCs w:val="24"/>
        </w:rPr>
        <w:t>Proceedings of the National Academy of Sciences</w:t>
      </w:r>
      <w:r>
        <w:rPr>
          <w:rFonts w:eastAsia="Arial" w:cs="Arial" w:ascii="Arial" w:hAnsi="Arial"/>
          <w:sz w:val="24"/>
          <w:szCs w:val="24"/>
        </w:rPr>
        <w:t>, Washington, v. 108, n. 42, p. E833, 2011. DOI: 10.1073/pnas.1110910108.</w:t>
      </w:r>
    </w:p>
    <w:p>
      <w:pPr>
        <w:pStyle w:val="Normal"/>
        <w:spacing w:lineRule="auto" w:line="240" w:before="0" w:after="0"/>
        <w:jc w:val="both"/>
        <w:rPr>
          <w:rFonts w:ascii="Arial" w:hAnsi="Arial" w:eastAsia="Arial" w:cs="Arial"/>
          <w:sz w:val="24"/>
          <w:szCs w:val="24"/>
        </w:rPr>
      </w:pPr>
      <w:r>
        <w:rPr>
          <w:rFonts w:eastAsia="Arial" w:cs="Arial" w:ascii="Arial" w:hAnsi="Arial"/>
          <w:sz w:val="24"/>
          <w:szCs w:val="24"/>
        </w:rPr>
      </w:r>
    </w:p>
    <w:sectPr>
      <w:type w:val="nextPage"/>
      <w:pgSz w:w="11906" w:h="16838"/>
      <w:pgMar w:left="1701" w:right="1134" w:gutter="0" w:header="0" w:top="1701" w:footer="0"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Georgia">
    <w:charset w:val="00"/>
    <w:family w:val="roman"/>
    <w:pitch w:val="variable"/>
  </w:font>
  <w:font w:name="Arial">
    <w:charset w:val="00"/>
    <w:family w:val="roman"/>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t-BR" w:eastAsia="pt-B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a3336"/>
    <w:pPr>
      <w:widowControl/>
      <w:bidi w:val="0"/>
      <w:spacing w:lineRule="auto" w:line="259" w:before="0" w:after="160"/>
      <w:jc w:val="left"/>
    </w:pPr>
    <w:rPr>
      <w:rFonts w:ascii="Calibri" w:hAnsi="Calibri" w:eastAsia="Calibri" w:cs="Calibri"/>
      <w:color w:val="auto"/>
      <w:kern w:val="0"/>
      <w:sz w:val="22"/>
      <w:szCs w:val="22"/>
      <w:lang w:val="pt-BR" w:eastAsia="pt-BR" w:bidi="ar-SA"/>
    </w:rPr>
  </w:style>
  <w:style w:type="paragraph" w:styleId="Heading1">
    <w:name w:val="Heading 1"/>
    <w:basedOn w:val="Normal"/>
    <w:next w:val="Normal"/>
    <w:qFormat/>
    <w:pPr>
      <w:keepNext w:val="true"/>
      <w:keepLines/>
      <w:spacing w:before="480" w:after="120"/>
      <w:outlineLvl w:val="0"/>
    </w:pPr>
    <w:rPr>
      <w:b/>
      <w:sz w:val="48"/>
      <w:szCs w:val="48"/>
    </w:rPr>
  </w:style>
  <w:style w:type="paragraph" w:styleId="Heading2">
    <w:name w:val="Heading 2"/>
    <w:basedOn w:val="Normal"/>
    <w:next w:val="Normal"/>
    <w:qFormat/>
    <w:pPr>
      <w:keepNext w:val="true"/>
      <w:keepLines/>
      <w:spacing w:before="360" w:after="80"/>
      <w:outlineLvl w:val="1"/>
    </w:pPr>
    <w:rPr>
      <w:b/>
      <w:sz w:val="36"/>
      <w:szCs w:val="3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sz w:val="24"/>
      <w:szCs w:val="24"/>
    </w:rPr>
  </w:style>
  <w:style w:type="paragraph" w:styleId="Heading5">
    <w:name w:val="Heading 5"/>
    <w:basedOn w:val="Normal"/>
    <w:next w:val="Normal"/>
    <w:qFormat/>
    <w:pPr>
      <w:keepNext w:val="true"/>
      <w:keepLines/>
      <w:spacing w:before="220" w:after="40"/>
      <w:outlineLvl w:val="4"/>
    </w:pPr>
    <w:rPr>
      <w:b/>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TextodenotaderodapChar" w:customStyle="1">
    <w:name w:val="Texto de nota de rodapé Char"/>
    <w:basedOn w:val="DefaultParagraphFont"/>
    <w:uiPriority w:val="99"/>
    <w:semiHidden/>
    <w:qFormat/>
    <w:rsid w:val="00d4347d"/>
    <w:rPr>
      <w:sz w:val="20"/>
      <w:szCs w:val="20"/>
    </w:rPr>
  </w:style>
  <w:style w:type="character" w:styleId="Caracteresdenotaderodap">
    <w:name w:val="Caracteres de nota de rodapé"/>
    <w:basedOn w:val="DefaultParagraphFont"/>
    <w:uiPriority w:val="99"/>
    <w:semiHidden/>
    <w:unhideWhenUsed/>
    <w:qFormat/>
    <w:rsid w:val="00d4347d"/>
    <w:rPr>
      <w:vertAlign w:val="superscript"/>
    </w:rPr>
  </w:style>
  <w:style w:type="character" w:styleId="FootnoteReference">
    <w:name w:val="Footnote Reference"/>
    <w:rPr>
      <w:vertAlign w:val="superscrip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Normal"/>
    <w:next w:val="Normal"/>
    <w:qFormat/>
    <w:pPr>
      <w:keepNext w:val="true"/>
      <w:keepLines/>
      <w:spacing w:before="480" w:after="120"/>
    </w:pPr>
    <w:rPr>
      <w:b/>
      <w:sz w:val="72"/>
      <w:szCs w:val="72"/>
    </w:rPr>
  </w:style>
  <w:style w:type="paragraph" w:styleId="FootnoteText">
    <w:name w:val="Footnote Text"/>
    <w:basedOn w:val="Normal"/>
    <w:link w:val="TextodenotaderodapChar"/>
    <w:uiPriority w:val="99"/>
    <w:semiHidden/>
    <w:unhideWhenUsed/>
    <w:rsid w:val="00d4347d"/>
    <w:pPr>
      <w:spacing w:lineRule="auto" w:line="240" w:before="0" w:after="0"/>
    </w:pPr>
    <w:rPr>
      <w:sz w:val="20"/>
      <w:szCs w:val="20"/>
    </w:rPr>
  </w:style>
  <w:style w:type="paragraph" w:styleId="ListParagraph">
    <w:name w:val="List Paragraph"/>
    <w:basedOn w:val="Normal"/>
    <w:uiPriority w:val="34"/>
    <w:qFormat/>
    <w:rsid w:val="002f19e4"/>
    <w:pPr>
      <w:spacing w:before="0" w:after="160"/>
      <w:ind w:left="720"/>
      <w:contextualSpacing/>
    </w:pPr>
    <w:rPr/>
  </w:style>
  <w:style w:type="paragraph" w:styleId="Caption1">
    <w:name w:val="caption1"/>
    <w:basedOn w:val="Normal"/>
    <w:next w:val="Normal"/>
    <w:uiPriority w:val="35"/>
    <w:semiHidden/>
    <w:unhideWhenUsed/>
    <w:qFormat/>
    <w:rsid w:val="002f19e4"/>
    <w:pPr>
      <w:spacing w:lineRule="auto" w:line="240" w:before="0" w:after="200"/>
    </w:pPr>
    <w:rPr>
      <w:i/>
      <w:iCs/>
      <w:color w:themeColor="text2" w:val="44546A"/>
      <w:sz w:val="18"/>
      <w:szCs w:val="18"/>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styleId="Tabelacomgrade">
    <w:name w:val="Table Grid"/>
    <w:basedOn w:val="Tabelanormal"/>
    <w:uiPriority w:val="39"/>
    <w:rsid w:val="003c691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roundtripDataSignature="AMtx7mg3ja+x374RdJGwpuIbyyHVvz10lw==">AMUW2mVRV6t3wP7LE3rdCaisA6yAM6iSiBuP/Tpi6oi1GlzMjIOEd7XlUqLN1I2gGayPe0mrQ25EwejA/2K9edQ5Og+uWHKNHeYMqgMX8J7MNLHMrcI5TD1L26o3VdWyYQ5WJkfxSvKP</go:docsCustomData>
</go:gDocsCustomXmlDataStorage>
</file>

<file path=customXml/itemProps1.xml><?xml version="1.0" encoding="utf-8"?>
<ds:datastoreItem xmlns:ds="http://schemas.openxmlformats.org/officeDocument/2006/customXml" ds:itemID="{41256437-87E4-400C-857C-43BB382164F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Application>LibreOffice/7.6.5.2$Windows_X86_64 LibreOffice_project/38d5f62f85355c192ef5f1dd47c5c0c0c6d6598b</Application>
  <AppVersion>15.0000</AppVersion>
  <Pages>20</Pages>
  <Words>7076</Words>
  <Characters>39625</Characters>
  <CharactersWithSpaces>46520</CharactersWithSpaces>
  <Paragraphs>188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2026-07-09T19:45:00Z</dcterms:created>
  <dc:creator>Heloiza Campos</dc:creator>
  <dc:description/>
  <dc:language>pt-BR</dc:language>
  <cp:lastModifiedBy/>
  <dcterms:modified xsi:type="dcterms:W3CDTF">2026-10-15T16:21:35Z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