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b8debe574515e8a55aae6a2e6dc2c37a2516a"/>
      <w:r>
        <w:t xml:space="preserve">RiboSignal: predicting ribosome profiling signal from sequence and RNA-seq</w:t>
      </w:r>
      <w:bookmarkEnd w:id="20"/>
    </w:p>
    <w:p>
      <w:pPr>
        <w:pStyle w:val="Heading2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Ribosome profiling (Ribo-seq) maps translating ribosomes across the transcriptome and is the</w:t>
      </w:r>
      <w:r>
        <w:t xml:space="preserve"> </w:t>
      </w:r>
      <w:r>
        <w:t xml:space="preserve">standard way to find open reading frames that genome annotation misses, including upstream ORFs in</w:t>
      </w:r>
      <w:r>
        <w:t xml:space="preserve"> </w:t>
      </w:r>
      <w:r>
        <w:t xml:space="preserve">5’ untranslated regions and ORFs on long non-coding RNAs. Peptides from these non-canonical ORFs</w:t>
      </w:r>
      <w:r>
        <w:t xml:space="preserve"> </w:t>
      </w:r>
      <w:r>
        <w:t xml:space="preserve">have roles in stress response, immunity, and disease, and several are candidate immunotherapy</w:t>
      </w:r>
      <w:r>
        <w:t xml:space="preserve"> </w:t>
      </w:r>
      <w:r>
        <w:t xml:space="preserve">targets. The obstacle is practical. Ribo-seq is technically demanding, needs large amounts of fresh</w:t>
      </w:r>
      <w:r>
        <w:t xml:space="preserve"> </w:t>
      </w:r>
      <w:r>
        <w:t xml:space="preserve">material, and exists for only a small number of cell types. RNA-seq is routine and available for</w:t>
      </w:r>
      <w:r>
        <w:t xml:space="preserve"> </w:t>
      </w:r>
      <w:r>
        <w:t xml:space="preserve">nearly every tissue and condition. If the per-nucleotide ribosome signal could be predicted from</w:t>
      </w:r>
      <w:r>
        <w:t xml:space="preserve"> </w:t>
      </w:r>
      <w:r>
        <w:t xml:space="preserve">sequence and RNA-seq coverage, ORF discovery would become possible wherever expression data already</w:t>
      </w:r>
      <w:r>
        <w:t xml:space="preserve"> </w:t>
      </w:r>
      <w:r>
        <w:t xml:space="preserve">exist. We asked whether a neural network can learn that mapping well enough for a standard ORF</w:t>
      </w:r>
      <w:r>
        <w:t xml:space="preserve"> </w:t>
      </w:r>
      <w:r>
        <w:t xml:space="preserve">caller to run on predicted signal in place of measured signal.</w:t>
      </w:r>
    </w:p>
    <w:p>
      <w:pPr>
        <w:pStyle w:val="Heading2"/>
      </w:pPr>
      <w:bookmarkStart w:id="22" w:name="materials-and-methods"/>
      <w:r>
        <w:t xml:space="preserve">Materials and Methods</w:t>
      </w:r>
      <w:bookmarkEnd w:id="22"/>
    </w:p>
    <w:p>
      <w:pPr>
        <w:pStyle w:val="FirstParagraph"/>
      </w:pPr>
      <w:r>
        <w:t xml:space="preserve">The model is a dilated convolutional encoder followed by a sequence mixer, either transformer layers</w:t>
      </w:r>
      <w:r>
        <w:t xml:space="preserve"> </w:t>
      </w:r>
      <w:r>
        <w:t xml:space="preserve">(5.1 million parameters, CPU-runnable) or Bidirectional Mamba blocks (7.5 million, GPU only). It</w:t>
      </w:r>
      <w:r>
        <w:t xml:space="preserve"> </w:t>
      </w:r>
      <w:r>
        <w:t xml:space="preserve">takes three per-nucleotide inputs: one-hot sequence, RNA-seq coverage, and a track marking candidate</w:t>
      </w:r>
      <w:r>
        <w:t xml:space="preserve"> </w:t>
      </w:r>
      <w:r>
        <w:t xml:space="preserve">ORF starts and stops. It outputs a per-nucleotide P-site distribution and a predicted total count.</w:t>
      </w:r>
      <w:r>
        <w:t xml:space="preserve"> </w:t>
      </w:r>
      <w:r>
        <w:t xml:space="preserve">We trained on seven human cell types from a published Ribo-seq compendium and held out hepatocytes</w:t>
      </w:r>
      <w:r>
        <w:t xml:space="preserve"> </w:t>
      </w:r>
      <w:r>
        <w:t xml:space="preserve">entirely. Predicted profiles were then passed to RiboCode, an established ORF caller, in place of</w:t>
      </w:r>
      <w:r>
        <w:t xml:space="preserve"> </w:t>
      </w:r>
      <w:r>
        <w:t xml:space="preserve">experimental counts. A calibration step samples the predicted profile as Poisson counts at a scaled</w:t>
      </w:r>
      <w:r>
        <w:t xml:space="preserve"> </w:t>
      </w:r>
      <w:r>
        <w:t xml:space="preserve">depth, tuned so that recall of annotated coding sequences reaches a set target. We applied the same</w:t>
      </w:r>
      <w:r>
        <w:t xml:space="preserve"> </w:t>
      </w:r>
      <w:r>
        <w:t xml:space="preserve">model to mouse macrophages and to four human mass spectrometry datasets, and tested the predicted</w:t>
      </w:r>
      <w:r>
        <w:t xml:space="preserve"> </w:t>
      </w:r>
      <w:r>
        <w:t xml:space="preserve">ORFs against matched proteomes and MHC class I immunopeptidomes.</w:t>
      </w:r>
    </w:p>
    <w:p>
      <w:pPr>
        <w:pStyle w:val="Heading2"/>
      </w:pPr>
      <w:bookmarkStart w:id="23" w:name="results-and-discussion"/>
      <w:r>
        <w:t xml:space="preserve">Results and Discussion</w:t>
      </w:r>
      <w:bookmarkEnd w:id="23"/>
    </w:p>
    <w:p>
      <w:pPr>
        <w:pStyle w:val="FirstParagraph"/>
      </w:pPr>
      <w:r>
        <w:t xml:space="preserve">On held out hepatocytes the calibrated model recovers annotated coding sequences at F1 0.90</w:t>
      </w:r>
      <w:r>
        <w:t xml:space="preserve"> </w:t>
      </w:r>
      <w:r>
        <w:t xml:space="preserve">(precision 0.911, recall 0.898), upstream ORFs at precision 0.766, and non-canonical ORFs at</w:t>
      </w:r>
      <w:r>
        <w:t xml:space="preserve"> </w:t>
      </w:r>
      <w:r>
        <w:t xml:space="preserve">precision 0.591. Calibration is the decisive control. Without it, precision on non-canonical ORFs</w:t>
      </w:r>
      <w:r>
        <w:t xml:space="preserve"> </w:t>
      </w:r>
      <w:r>
        <w:t xml:space="preserve">drops to 0.381 while recall rises, so the dial trades yield for confidence at fixed canonical</w:t>
      </w:r>
      <w:r>
        <w:t xml:space="preserve"> </w:t>
      </w:r>
      <w:r>
        <w:t xml:space="preserve">recall. Applied to mouse macrophages, a tissue and species the model never saw, predicted ORFs gave</w:t>
      </w:r>
      <w:r>
        <w:t xml:space="preserve"> </w:t>
      </w:r>
      <w:r>
        <w:t xml:space="preserve">a 1,533 sequence proteomic search database that identified 37 novel peptides while costing only 36</w:t>
      </w:r>
      <w:r>
        <w:t xml:space="preserve"> </w:t>
      </w:r>
      <w:r>
        <w:t xml:space="preserve">canonical spectrum matches. Enumerating every near-cognate ORF instead produces 2.5 million</w:t>
      </w:r>
      <w:r>
        <w:t xml:space="preserve"> </w:t>
      </w:r>
      <w:r>
        <w:t xml:space="preserve">sequences and 166 peptides, but destroys 29,633 canonical spectrum matches through false discovery</w:t>
      </w:r>
      <w:r>
        <w:t xml:space="preserve"> </w:t>
      </w:r>
      <w:r>
        <w:t xml:space="preserve">rate inflation. The pattern holds on a deep human proteome: a 2,404 sequence predicted database</w:t>
      </w:r>
      <w:r>
        <w:t xml:space="preserve"> </w:t>
      </w:r>
      <w:r>
        <w:t xml:space="preserve">found 11 novel peptides at zero canonical cost, where the 3.9 million sequence near-cognate</w:t>
      </w:r>
      <w:r>
        <w:t xml:space="preserve"> </w:t>
      </w:r>
      <w:r>
        <w:t xml:space="preserve">enumeration found 38 and destroyed 11,278. Across four human datasets the two sequence mixers were</w:t>
      </w:r>
      <w:r>
        <w:t xml:space="preserve"> </w:t>
      </w:r>
      <w:r>
        <w:t xml:space="preserve">indistinguishable for this task, 49 against 48 novel peptides, so the smaller CPU-runnable model</w:t>
      </w:r>
      <w:r>
        <w:t xml:space="preserve"> </w:t>
      </w:r>
      <w:r>
        <w:t xml:space="preserve">loses nothing in discovery.</w:t>
      </w:r>
    </w:p>
    <w:p>
      <w:pPr>
        <w:pStyle w:val="Heading2"/>
      </w:pPr>
      <w:bookmarkStart w:id="24" w:name="conclusions"/>
      <w:r>
        <w:t xml:space="preserve">Conclusions</w:t>
      </w:r>
      <w:bookmarkEnd w:id="24"/>
    </w:p>
    <w:p>
      <w:pPr>
        <w:pStyle w:val="FirstParagraph"/>
      </w:pPr>
      <w:r>
        <w:t xml:space="preserve">Predicted ribosome profiles are accurate enough to stand in for a ribosome profiling experiment</w:t>
      </w:r>
      <w:r>
        <w:t xml:space="preserve"> </w:t>
      </w:r>
      <w:r>
        <w:t xml:space="preserve">when the goal is finding open reading frames. Any tissue with RNA-seq can now be searched for</w:t>
      </w:r>
      <w:r>
        <w:t xml:space="preserve"> </w:t>
      </w:r>
      <w:r>
        <w:t xml:space="preserve">non-canonical translation, and because the predicted ORF sets are small and evidence based, they</w:t>
      </w:r>
      <w:r>
        <w:t xml:space="preserve"> </w:t>
      </w:r>
      <w:r>
        <w:t xml:space="preserve">work as mass spectrometry search databases without sacrificing canonical protein identifications.</w:t>
      </w:r>
      <w:r>
        <w:t xml:space="preserve"> </w:t>
      </w:r>
      <w:r>
        <w:t xml:space="preserve">The method needs no ribosome profiling, no GPU, and no foundation model embeddings. Ongoing work</w:t>
      </w:r>
      <w:r>
        <w:t xml:space="preserve"> </w:t>
      </w:r>
      <w:r>
        <w:t xml:space="preserve">extends it to additional immunopeptidomes and to N-terminal extensions initiating at non-AUG start</w:t>
      </w:r>
      <w:r>
        <w:t xml:space="preserve"> </w:t>
      </w:r>
      <w:r>
        <w:t xml:space="preserve">codons.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/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/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/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2026-08-05T15:49:59Z</dcterms:created>
  <dcterms:modified xsi:type="dcterms:W3CDTF">2026-08-05T15:49:59Z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