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1D69AA29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9D2845">
        <w:t>–</w:t>
      </w:r>
      <w:r w:rsidR="00B86A4D">
        <w:t xml:space="preserve"> </w:t>
      </w:r>
      <w:r>
        <w:t>Hw</w:t>
      </w:r>
      <w:r w:rsidR="009D2845">
        <w:t>3</w:t>
      </w:r>
      <w:r>
        <w:br/>
      </w:r>
      <w:proofErr w:type="spellStart"/>
      <w:r w:rsidR="003A056B" w:rsidRPr="003A056B">
        <w:t>Cocke</w:t>
      </w:r>
      <w:proofErr w:type="spellEnd"/>
      <w:r w:rsidR="003A056B" w:rsidRPr="003A056B">
        <w:t>-</w:t>
      </w:r>
      <w:proofErr w:type="spellStart"/>
      <w:r w:rsidR="003A056B" w:rsidRPr="003A056B">
        <w:t>Kasami</w:t>
      </w:r>
      <w:proofErr w:type="spellEnd"/>
      <w:r w:rsidR="003A056B" w:rsidRPr="003A056B">
        <w:t xml:space="preserve">-Younger </w:t>
      </w:r>
      <w:r w:rsidR="00124DBF">
        <w:t>Parsing</w:t>
      </w:r>
    </w:p>
    <w:p w14:paraId="3E5D4B81" w14:textId="721B4E66" w:rsidR="00F70714" w:rsidRDefault="00F61FB2" w:rsidP="00F61FB2">
      <w:pPr>
        <w:pStyle w:val="Heading1"/>
      </w:pPr>
      <w:r>
        <w:t>Overview</w:t>
      </w:r>
    </w:p>
    <w:p w14:paraId="18643E03" w14:textId="4C0498D6" w:rsidR="003A056B" w:rsidRDefault="00EB3FE7" w:rsidP="003A056B">
      <w:r>
        <w:t xml:space="preserve">I was </w:t>
      </w:r>
      <w:r w:rsidRPr="00EB3FE7">
        <w:rPr>
          <w:b/>
        </w:rPr>
        <w:t>not</w:t>
      </w:r>
      <w:r>
        <w:t xml:space="preserve"> a member of a team when completing this assignment.</w:t>
      </w:r>
    </w:p>
    <w:p w14:paraId="39850BFB" w14:textId="70F98F15" w:rsidR="00EB3FE7" w:rsidRPr="003A056B" w:rsidRDefault="00093B40" w:rsidP="003A056B">
      <w:r>
        <w:t>For</w:t>
      </w:r>
      <w:r w:rsidRPr="00093B40">
        <w:t xml:space="preserve"> this assignment I implemented the </w:t>
      </w:r>
      <w:proofErr w:type="spellStart"/>
      <w:r w:rsidRPr="00093B40">
        <w:t>Cocke</w:t>
      </w:r>
      <w:proofErr w:type="spellEnd"/>
      <w:r w:rsidRPr="00093B40">
        <w:t>-</w:t>
      </w:r>
      <w:proofErr w:type="spellStart"/>
      <w:r w:rsidRPr="00093B40">
        <w:t>Kasami</w:t>
      </w:r>
      <w:proofErr w:type="spellEnd"/>
      <w:r w:rsidRPr="00093B40">
        <w:t>-Younger parsing algorithm</w:t>
      </w:r>
      <w:r>
        <w:t>.</w:t>
      </w:r>
    </w:p>
    <w:p w14:paraId="0677EF9E" w14:textId="77777777" w:rsidR="003A056B" w:rsidRPr="003A056B" w:rsidRDefault="003A056B" w:rsidP="003A056B">
      <w:pPr>
        <w:pStyle w:val="Heading1"/>
        <w:ind w:left="374"/>
        <w:rPr>
          <w:color w:val="2E74B5" w:themeColor="accent5" w:themeShade="BF"/>
        </w:rPr>
      </w:pPr>
      <w:r w:rsidRPr="003A056B">
        <w:t>Challenges</w:t>
      </w:r>
    </w:p>
    <w:p w14:paraId="418733A3" w14:textId="4B030B97" w:rsidR="003A056B" w:rsidRDefault="00093B40" w:rsidP="00093B40">
      <w:r>
        <w:t>The algorithm for calculating the table was not trivial, but it wasn’t too difficult either. In contrast, t</w:t>
      </w:r>
      <w:r w:rsidR="00C62455">
        <w:t>he back</w:t>
      </w:r>
      <w:r w:rsidR="00612D36">
        <w:t>-</w:t>
      </w:r>
      <w:r w:rsidR="00C62455">
        <w:t xml:space="preserve">tracing </w:t>
      </w:r>
      <w:r w:rsidR="00612D36">
        <w:t xml:space="preserve">aspect of the assignment was </w:t>
      </w:r>
      <w:r w:rsidR="00C62455">
        <w:t>a real pain.</w:t>
      </w:r>
      <w:r w:rsidR="00620AF7">
        <w:t xml:space="preserve"> Mostly because I am new to Python, </w:t>
      </w:r>
      <w:proofErr w:type="gramStart"/>
      <w:r w:rsidR="00620AF7">
        <w:t>and also</w:t>
      </w:r>
      <w:proofErr w:type="gramEnd"/>
      <w:r w:rsidR="00620AF7">
        <w:t xml:space="preserve"> because it took a long time for me to figure out how I could parse the table to get all possible interpretations, rather than only a single interpretation.</w:t>
      </w:r>
    </w:p>
    <w:p w14:paraId="3F54BB98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Learning </w:t>
      </w:r>
      <w:r w:rsidRPr="003A056B">
        <w:t>Outcomes</w:t>
      </w:r>
    </w:p>
    <w:p w14:paraId="08ACF14C" w14:textId="279919F2" w:rsidR="00093B40" w:rsidRPr="00093B40" w:rsidRDefault="00093B40" w:rsidP="00093B40">
      <w:r>
        <w:t xml:space="preserve">Firstly, this week I realized the important of converting a grammar into Chomsky’s Normal Form. Previously, I knew it was important, but I see now that it guarantees that a grammar can be represented as a binary tree. And this in turn, gives it certain properties that make it easier to implement </w:t>
      </w:r>
      <w:proofErr w:type="spellStart"/>
      <w:r w:rsidRPr="00093B40">
        <w:t>Cocke</w:t>
      </w:r>
      <w:proofErr w:type="spellEnd"/>
      <w:r w:rsidRPr="00093B40">
        <w:t>-</w:t>
      </w:r>
      <w:proofErr w:type="spellStart"/>
      <w:r w:rsidRPr="00093B40">
        <w:t>Kasami</w:t>
      </w:r>
      <w:proofErr w:type="spellEnd"/>
      <w:r w:rsidRPr="00093B40">
        <w:t>-Younger parsing algorithm</w:t>
      </w:r>
      <w:r>
        <w:t>, for instance</w:t>
      </w:r>
      <w:r>
        <w:t>.</w:t>
      </w:r>
    </w:p>
    <w:p w14:paraId="4A1A446A" w14:textId="77777777" w:rsidR="00620AF7" w:rsidRDefault="00093B40" w:rsidP="00093B40">
      <w:r>
        <w:t xml:space="preserve">Another interesting insight I had related to how to achieve back-tracing. </w:t>
      </w:r>
      <w:r w:rsidR="00612D36">
        <w:t>In the end I used the heuristic that the pivot divides the sentence into two, and subsequent pivots further divided the sentence into two. Using this observation, I didn’t</w:t>
      </w:r>
      <w:r>
        <w:t xml:space="preserve"> need to record the originating cell</w:t>
      </w:r>
      <w:r w:rsidR="00620AF7">
        <w:t>, per se</w:t>
      </w:r>
      <w:r>
        <w:t xml:space="preserve">. </w:t>
      </w:r>
      <w:r w:rsidR="00620AF7">
        <w:t xml:space="preserve">(In other words, I didn’t need an X-Y coordinate for back-tracing.) </w:t>
      </w:r>
      <w:r>
        <w:t xml:space="preserve">All I needed was the originating </w:t>
      </w:r>
      <w:r w:rsidRPr="00620AF7">
        <w:rPr>
          <w:i/>
        </w:rPr>
        <w:t>pivot</w:t>
      </w:r>
      <w:r>
        <w:t xml:space="preserve"> index. From that, I could determine the (row, cell) coordinate of the preceding node in the tree. </w:t>
      </w:r>
    </w:p>
    <w:p w14:paraId="5A29391E" w14:textId="2C69902C" w:rsidR="00612D36" w:rsidRDefault="00093B40" w:rsidP="00093B40">
      <w:r>
        <w:t xml:space="preserve">To illustrate, </w:t>
      </w:r>
      <w:r w:rsidR="00620AF7">
        <w:t>i</w:t>
      </w:r>
      <w:r>
        <w:t xml:space="preserve">f </w:t>
      </w:r>
      <w:r w:rsidR="00620AF7">
        <w:t xml:space="preserve">the start symbol </w:t>
      </w:r>
      <w:r>
        <w:t>S</w:t>
      </w:r>
      <w:r w:rsidR="00620AF7">
        <w:t xml:space="preserve"> -&gt; X Y</w:t>
      </w:r>
      <w:r>
        <w:t xml:space="preserve"> </w:t>
      </w:r>
      <w:r w:rsidR="00620AF7">
        <w:t xml:space="preserve">is located </w:t>
      </w:r>
      <w:r>
        <w:t xml:space="preserve">at position (0, n) </w:t>
      </w:r>
      <w:r w:rsidR="00620AF7">
        <w:t xml:space="preserve">in the table </w:t>
      </w:r>
      <w:r>
        <w:t>and</w:t>
      </w:r>
      <w:r w:rsidR="00620AF7">
        <w:t>,</w:t>
      </w:r>
      <w:r>
        <w:t xml:space="preserve"> at this position, we store the preceding pivot’s index </w:t>
      </w:r>
      <w:proofErr w:type="spellStart"/>
      <w:r>
        <w:rPr>
          <w:i/>
        </w:rPr>
        <w:t>i</w:t>
      </w:r>
      <w:proofErr w:type="spellEnd"/>
      <w:r>
        <w:t xml:space="preserve">; then we know that </w:t>
      </w:r>
      <w:r w:rsidR="00620AF7">
        <w:t xml:space="preserve">X -&gt;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620AF7">
        <w:t xml:space="preserve"> </w:t>
      </w:r>
      <w:r w:rsidR="00620AF7">
        <w:t xml:space="preserve">and Y -&gt;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620AF7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620AF7">
        <w:t xml:space="preserve"> </w:t>
      </w:r>
      <w:r w:rsidR="00620AF7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620AF7">
        <w:t xml:space="preserve"> are other productions, </w:t>
      </w:r>
      <w:r>
        <w:t>the</w:t>
      </w:r>
      <w:r w:rsidR="00620AF7">
        <w:t>n</w:t>
      </w:r>
      <w:r>
        <w:t xml:space="preserve"> </w:t>
      </w:r>
      <w:r w:rsidR="00620AF7">
        <w:t xml:space="preserve">we can deduce that </w:t>
      </w:r>
      <w:r>
        <w:t>t</w:t>
      </w:r>
      <w:r w:rsidR="00620AF7" w:rsidRPr="00620AF7">
        <w:t xml:space="preserve"> </w:t>
      </w:r>
      <w:r w:rsidR="00620AF7">
        <w:t xml:space="preserve">X -&gt;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620AF7">
        <w:t xml:space="preserve"> </w:t>
      </w:r>
      <w:r w:rsidR="00620AF7">
        <w:t xml:space="preserve">can be found at position </w:t>
      </w:r>
      <w:r w:rsidR="00620AF7">
        <w:t xml:space="preserve">(0, </w:t>
      </w:r>
      <w:proofErr w:type="spellStart"/>
      <w:r w:rsidR="00620AF7" w:rsidRPr="00093B40">
        <w:rPr>
          <w:i/>
        </w:rPr>
        <w:t>i</w:t>
      </w:r>
      <w:proofErr w:type="spellEnd"/>
      <w:r w:rsidR="00620AF7">
        <w:t xml:space="preserve">) and Y -&gt;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620AF7">
        <w:t xml:space="preserve"> </w:t>
      </w:r>
      <w:r w:rsidR="00620AF7">
        <w:t xml:space="preserve">can be found at </w:t>
      </w:r>
      <w:r w:rsidR="00620AF7">
        <w:t>(</w:t>
      </w:r>
      <w:proofErr w:type="spellStart"/>
      <w:r w:rsidR="00620AF7" w:rsidRPr="00093B40">
        <w:rPr>
          <w:i/>
        </w:rPr>
        <w:t>i</w:t>
      </w:r>
      <w:proofErr w:type="spellEnd"/>
      <w:r w:rsidR="00620AF7">
        <w:t xml:space="preserve">, n). </w:t>
      </w:r>
      <w:r w:rsidR="00620AF7">
        <w:t xml:space="preserve">That is because the nodes at </w:t>
      </w:r>
      <w:proofErr w:type="gramStart"/>
      <w:r w:rsidR="00620AF7">
        <w:t>these position</w:t>
      </w:r>
      <w:proofErr w:type="gramEnd"/>
      <w:r w:rsidR="00620AF7">
        <w:t xml:space="preserve"> represent the valid subtrees that can be forced for the partitions of the sentence </w:t>
      </w:r>
      <w:r w:rsidR="00620AF7">
        <w:rPr>
          <w:rFonts w:eastAsiaTheme="minorEastAsia" w:hint="eastAsia"/>
        </w:rPr>
        <w:t>[</w:t>
      </w:r>
      <w:r w:rsidR="00620AF7">
        <w:rPr>
          <w:rFonts w:eastAsiaTheme="minorEastAsia"/>
        </w:rPr>
        <w:t xml:space="preserve">0, </w:t>
      </w:r>
      <w:proofErr w:type="spellStart"/>
      <w:r w:rsidR="00620AF7" w:rsidRPr="00620AF7">
        <w:rPr>
          <w:rFonts w:eastAsiaTheme="minorEastAsia"/>
          <w:i/>
        </w:rPr>
        <w:t>i</w:t>
      </w:r>
      <w:proofErr w:type="spellEnd"/>
      <w:r w:rsidR="00620AF7">
        <w:rPr>
          <w:rFonts w:eastAsiaTheme="minorEastAsia"/>
        </w:rPr>
        <w:t>] and [</w:t>
      </w:r>
      <w:proofErr w:type="spellStart"/>
      <w:r w:rsidR="00620AF7" w:rsidRPr="00620AF7">
        <w:rPr>
          <w:rFonts w:eastAsiaTheme="minorEastAsia"/>
          <w:i/>
        </w:rPr>
        <w:t>i</w:t>
      </w:r>
      <w:proofErr w:type="spellEnd"/>
      <w:r w:rsidR="00620AF7">
        <w:rPr>
          <w:rFonts w:eastAsiaTheme="minorEastAsia"/>
        </w:rPr>
        <w:t xml:space="preserve">, n]; such that the span of terminals from (0, n) is covered. </w:t>
      </w:r>
      <w:r>
        <w:t xml:space="preserve">This can be </w:t>
      </w:r>
      <w:r w:rsidR="00620AF7">
        <w:t xml:space="preserve">extrapolated </w:t>
      </w:r>
      <w:r>
        <w:t>to complete the parse.</w:t>
      </w:r>
    </w:p>
    <w:p w14:paraId="78CA92CA" w14:textId="312AD6E1" w:rsidR="002C0F5A" w:rsidRPr="002C0F5A" w:rsidRDefault="00093B40" w:rsidP="002C0F5A">
      <w:r>
        <w:t>I think that, when presenting this course, it might be easier to understand the algorithm from this point of view. To think of the algorithm as being a</w:t>
      </w:r>
      <w:r w:rsidR="00620AF7">
        <w:t xml:space="preserve"> </w:t>
      </w:r>
      <w:r>
        <w:t>table is not intuitive. Rather, the table is the caching mechanism used as part of the dynamic programming approach. It is more intuitive, conceptually, to think about the implementation as</w:t>
      </w:r>
      <w:r w:rsidR="00E46CDA">
        <w:t>, primarily, a binary</w:t>
      </w:r>
      <w:r>
        <w:t xml:space="preserve"> tree. The way I </w:t>
      </w:r>
      <w:r w:rsidR="00E46CDA">
        <w:t xml:space="preserve">think about it </w:t>
      </w:r>
      <w:r>
        <w:t xml:space="preserve">now, the table is </w:t>
      </w:r>
      <w:r w:rsidR="00E46CDA">
        <w:t xml:space="preserve">just </w:t>
      </w:r>
      <w:r>
        <w:t xml:space="preserve">a clever trick for storing all viable paths in </w:t>
      </w:r>
      <w:r w:rsidRPr="00093B40">
        <w:rPr>
          <w:b/>
        </w:rPr>
        <w:t>all</w:t>
      </w:r>
      <w:r>
        <w:t xml:space="preserve"> possible binary trees that could</w:t>
      </w:r>
      <w:r w:rsidR="00E46CDA">
        <w:t xml:space="preserve"> be used to </w:t>
      </w:r>
      <w:r>
        <w:t xml:space="preserve">interpret </w:t>
      </w:r>
      <w:r w:rsidR="00E46CDA">
        <w:t>a</w:t>
      </w:r>
      <w:r>
        <w:t xml:space="preserve"> sentence.</w:t>
      </w:r>
      <w:r w:rsidR="00E46CDA">
        <w:t xml:space="preserve"> This is pretty profound.</w:t>
      </w:r>
      <w:bookmarkStart w:id="0" w:name="_GoBack"/>
      <w:bookmarkEnd w:id="0"/>
    </w:p>
    <w:p w14:paraId="305AE821" w14:textId="0F619CCB" w:rsidR="003A056B" w:rsidRDefault="002C0F5A" w:rsidP="002C0F5A">
      <w:pPr>
        <w:pStyle w:val="Heading1"/>
        <w:ind w:left="374"/>
      </w:pPr>
      <w:r>
        <w:t xml:space="preserve">Closing </w:t>
      </w:r>
      <w:r w:rsidRPr="002C0F5A">
        <w:rPr>
          <w:color w:val="2E74B5" w:themeColor="accent5" w:themeShade="BF"/>
        </w:rPr>
        <w:t>Comments</w:t>
      </w:r>
    </w:p>
    <w:p w14:paraId="2EC8CCDF" w14:textId="77B59558" w:rsidR="002C0F5A" w:rsidRPr="002C0F5A" w:rsidRDefault="00612D36" w:rsidP="002C0F5A">
      <w:r>
        <w:t xml:space="preserve">I am very grateful for the extra day to complete this assignment. Having two assignment this week has been murder. Looking at my time-tracker, I can see that, during this week, I have spent 30 hours working on this course in addition to 33 hours of full-time work. </w:t>
      </w:r>
    </w:p>
    <w:p w14:paraId="756524D6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>Completeness</w:t>
      </w:r>
    </w:p>
    <w:p w14:paraId="56A8C28D" w14:textId="0C2F5A51" w:rsidR="00612D36" w:rsidRPr="00612D36" w:rsidRDefault="00612D36" w:rsidP="00612D36">
      <w:pPr>
        <w:tabs>
          <w:tab w:val="clear" w:pos="10800"/>
          <w:tab w:val="left" w:pos="4808"/>
        </w:tabs>
      </w:pPr>
      <w:r>
        <w:t xml:space="preserve">I was able to complete the </w:t>
      </w:r>
      <w:r w:rsidRPr="00612D36">
        <w:t>assignment</w:t>
      </w:r>
      <w:r>
        <w:t>.</w:t>
      </w:r>
      <w:r>
        <w:tab/>
      </w:r>
    </w:p>
    <w:p w14:paraId="2164E142" w14:textId="69B8BABC" w:rsidR="006C79EC" w:rsidRPr="003A056B" w:rsidRDefault="006C79EC" w:rsidP="003A056B"/>
    <w:sectPr w:rsidR="006C79EC" w:rsidRPr="003A056B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1E77" w14:textId="77777777" w:rsidR="001E52C5" w:rsidRDefault="001E52C5" w:rsidP="00E3393D">
      <w:pPr>
        <w:spacing w:after="0" w:line="240" w:lineRule="auto"/>
      </w:pPr>
      <w:r>
        <w:separator/>
      </w:r>
    </w:p>
  </w:endnote>
  <w:endnote w:type="continuationSeparator" w:id="0">
    <w:p w14:paraId="350A0379" w14:textId="77777777" w:rsidR="001E52C5" w:rsidRDefault="001E52C5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F73F" w14:textId="77777777" w:rsidR="001E52C5" w:rsidRDefault="001E52C5" w:rsidP="00E3393D">
      <w:pPr>
        <w:spacing w:after="0" w:line="240" w:lineRule="auto"/>
      </w:pPr>
      <w:r>
        <w:separator/>
      </w:r>
    </w:p>
  </w:footnote>
  <w:footnote w:type="continuationSeparator" w:id="0">
    <w:p w14:paraId="624A5CE2" w14:textId="77777777" w:rsidR="001E52C5" w:rsidRDefault="001E52C5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69AA6260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D2845">
      <w:rPr>
        <w:color w:val="BFBFBF" w:themeColor="background1" w:themeShade="B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5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gFAPJb5pQtAAAA"/>
  </w:docVars>
  <w:rsids>
    <w:rsidRoot w:val="000C6C8B"/>
    <w:rsid w:val="00093B40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C0F5A"/>
    <w:rsid w:val="003100B2"/>
    <w:rsid w:val="003613E5"/>
    <w:rsid w:val="00385C56"/>
    <w:rsid w:val="003A056B"/>
    <w:rsid w:val="003D7082"/>
    <w:rsid w:val="00450B23"/>
    <w:rsid w:val="00466833"/>
    <w:rsid w:val="0047122F"/>
    <w:rsid w:val="004C2B98"/>
    <w:rsid w:val="004C65A6"/>
    <w:rsid w:val="005412C9"/>
    <w:rsid w:val="00573848"/>
    <w:rsid w:val="00590DA3"/>
    <w:rsid w:val="005C0AB0"/>
    <w:rsid w:val="0061281E"/>
    <w:rsid w:val="00612D36"/>
    <w:rsid w:val="00612E64"/>
    <w:rsid w:val="006203EC"/>
    <w:rsid w:val="00620AF7"/>
    <w:rsid w:val="006C79EC"/>
    <w:rsid w:val="007216CB"/>
    <w:rsid w:val="007B3459"/>
    <w:rsid w:val="007D2E25"/>
    <w:rsid w:val="0081196E"/>
    <w:rsid w:val="00814B3D"/>
    <w:rsid w:val="008340E0"/>
    <w:rsid w:val="0089126B"/>
    <w:rsid w:val="008A464A"/>
    <w:rsid w:val="008E3BFC"/>
    <w:rsid w:val="00900931"/>
    <w:rsid w:val="00921D9D"/>
    <w:rsid w:val="009B6848"/>
    <w:rsid w:val="009B72DA"/>
    <w:rsid w:val="009C4C90"/>
    <w:rsid w:val="009D2845"/>
    <w:rsid w:val="00A80C30"/>
    <w:rsid w:val="00B07A7C"/>
    <w:rsid w:val="00B07F41"/>
    <w:rsid w:val="00B22C16"/>
    <w:rsid w:val="00B86A4D"/>
    <w:rsid w:val="00BD723F"/>
    <w:rsid w:val="00C62455"/>
    <w:rsid w:val="00D8552E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5</cp:revision>
  <cp:lastPrinted>2018-10-13T14:21:00Z</cp:lastPrinted>
  <dcterms:created xsi:type="dcterms:W3CDTF">2018-10-13T13:58:00Z</dcterms:created>
  <dcterms:modified xsi:type="dcterms:W3CDTF">2018-10-13T14:21:00Z</dcterms:modified>
</cp:coreProperties>
</file>