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DA0" w:rsidRDefault="004D6D3F">
      <w:pPr>
        <w:pStyle w:val="Title"/>
      </w:pPr>
      <w:r>
        <w:t>Exam One: Statistics</w:t>
      </w:r>
    </w:p>
    <w:p w:rsidR="00850DA0" w:rsidRDefault="004D6D3F">
      <w:pPr>
        <w:pStyle w:val="Author"/>
      </w:pPr>
      <w:r>
        <w:t>Name____________________</w:t>
      </w:r>
    </w:p>
    <w:p w:rsidR="00850DA0" w:rsidRDefault="004D6D3F">
      <w:pPr>
        <w:pStyle w:val="Heading4"/>
      </w:pPr>
      <w:bookmarkStart w:id="0" w:name="multiple-choice-1-point-each"/>
      <w:bookmarkEnd w:id="0"/>
      <w:r>
        <w:t>Multiple Choice (1 point each)</w:t>
      </w:r>
    </w:p>
    <w:p w:rsidR="00850DA0" w:rsidRDefault="004D6D3F">
      <w:pPr>
        <w:pStyle w:val="Heading5"/>
      </w:pPr>
      <w:bookmarkStart w:id="1" w:name="a-college-admissions-officer-wishes-to-c"/>
      <w:bookmarkEnd w:id="1"/>
      <w:r>
        <w:t>1. A college admissions officer wishes to compare the SAT scores for the incoming freshmen class to the current sophomore class. Which of the following is the most appropriate technique for gathering the data needed to make this comparison?</w:t>
      </w:r>
    </w:p>
    <w:p w:rsidR="00850DA0" w:rsidRDefault="004D6D3F">
      <w:pPr>
        <w:pStyle w:val="Compact"/>
        <w:numPr>
          <w:ilvl w:val="0"/>
          <w:numId w:val="28"/>
        </w:numPr>
      </w:pPr>
      <w:r>
        <w:t>observational s</w:t>
      </w:r>
      <w:r>
        <w:t>tudy</w:t>
      </w:r>
    </w:p>
    <w:p w:rsidR="00850DA0" w:rsidRDefault="004D6D3F">
      <w:pPr>
        <w:pStyle w:val="Compact"/>
        <w:numPr>
          <w:ilvl w:val="0"/>
          <w:numId w:val="28"/>
        </w:numPr>
      </w:pPr>
      <w:r>
        <w:t>experiment</w:t>
      </w:r>
    </w:p>
    <w:p w:rsidR="00850DA0" w:rsidRDefault="004D6D3F">
      <w:pPr>
        <w:pStyle w:val="Compact"/>
        <w:numPr>
          <w:ilvl w:val="0"/>
          <w:numId w:val="28"/>
        </w:numPr>
      </w:pPr>
      <w:r>
        <w:t xml:space="preserve">census </w:t>
      </w:r>
    </w:p>
    <w:p w:rsidR="00850DA0" w:rsidRDefault="004D6D3F">
      <w:pPr>
        <w:pStyle w:val="Compact"/>
        <w:numPr>
          <w:ilvl w:val="0"/>
          <w:numId w:val="28"/>
        </w:numPr>
      </w:pPr>
      <w:r>
        <w:t>sample survey</w:t>
      </w:r>
    </w:p>
    <w:p w:rsidR="00850DA0" w:rsidRDefault="004D6D3F">
      <w:pPr>
        <w:pStyle w:val="Compact"/>
        <w:numPr>
          <w:ilvl w:val="0"/>
          <w:numId w:val="28"/>
        </w:numPr>
      </w:pPr>
      <w:r>
        <w:t>a doubleblind experiment</w:t>
      </w:r>
    </w:p>
    <w:p w:rsidR="00850DA0" w:rsidRDefault="004D6D3F">
      <w:pPr>
        <w:pStyle w:val="Heading5"/>
      </w:pPr>
      <w:bookmarkStart w:id="2" w:name="a-study-of-tv-show-genre-preferences-in-"/>
      <w:bookmarkEnd w:id="2"/>
      <w:r>
        <w:t>2. A study of TV show genre preferences in three general geographic locations in the United States resulted in the following segmented bar chart:</w:t>
      </w:r>
    </w:p>
    <w:p w:rsidR="00850DA0" w:rsidRDefault="004D6D3F">
      <w:pPr>
        <w:pStyle w:val="Compact"/>
      </w:pPr>
      <w:r>
        <w:rPr>
          <w:noProof/>
        </w:rPr>
        <w:drawing>
          <wp:inline distT="0" distB="0" distL="0" distR="0">
            <wp:extent cx="3949700" cy="31623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10.png"/>
                    <pic:cNvPicPr>
                      <a:picLocks noChangeAspect="1" noChangeArrowheads="1"/>
                    </pic:cNvPicPr>
                  </pic:nvPicPr>
                  <pic:blipFill>
                    <a:blip r:embed="rId7"/>
                    <a:stretch>
                      <a:fillRect/>
                    </a:stretch>
                  </pic:blipFill>
                  <pic:spPr bwMode="auto">
                    <a:xfrm>
                      <a:off x="0" y="0"/>
                      <a:ext cx="3949700" cy="3162300"/>
                    </a:xfrm>
                    <a:prstGeom prst="rect">
                      <a:avLst/>
                    </a:prstGeom>
                    <a:noFill/>
                    <a:ln w="9525">
                      <a:noFill/>
                      <a:headEnd/>
                      <a:tailEnd/>
                    </a:ln>
                  </pic:spPr>
                </pic:pic>
              </a:graphicData>
            </a:graphic>
          </wp:inline>
        </w:drawing>
      </w:r>
    </w:p>
    <w:p w:rsidR="00850DA0" w:rsidRDefault="004D6D3F">
      <w:r>
        <w:t>Which of the following has the smallest perce</w:t>
      </w:r>
      <w:r>
        <w:t>ntage?</w:t>
      </w:r>
    </w:p>
    <w:p w:rsidR="00850DA0" w:rsidRDefault="004D6D3F">
      <w:pPr>
        <w:pStyle w:val="Compact"/>
        <w:numPr>
          <w:ilvl w:val="0"/>
          <w:numId w:val="29"/>
        </w:numPr>
      </w:pPr>
      <w:r>
        <w:t xml:space="preserve">The percentage of those from the West Coast who prefer Blockbuster movies. </w:t>
      </w:r>
    </w:p>
    <w:p w:rsidR="00850DA0" w:rsidRDefault="004D6D3F">
      <w:pPr>
        <w:pStyle w:val="Compact"/>
        <w:numPr>
          <w:ilvl w:val="0"/>
          <w:numId w:val="29"/>
        </w:numPr>
      </w:pPr>
      <w:r>
        <w:t>The percentage of those from the Midwest who prefer Reality TV.</w:t>
      </w:r>
    </w:p>
    <w:p w:rsidR="00850DA0" w:rsidRDefault="004D6D3F">
      <w:pPr>
        <w:pStyle w:val="Compact"/>
        <w:numPr>
          <w:ilvl w:val="0"/>
          <w:numId w:val="29"/>
        </w:numPr>
      </w:pPr>
      <w:r>
        <w:t>The percentage of those from the East Coast who prefer either Blockbuster movies or SitComs.</w:t>
      </w:r>
    </w:p>
    <w:p w:rsidR="00850DA0" w:rsidRDefault="004D6D3F">
      <w:pPr>
        <w:pStyle w:val="Compact"/>
        <w:numPr>
          <w:ilvl w:val="0"/>
          <w:numId w:val="29"/>
        </w:numPr>
      </w:pPr>
      <w:r>
        <w:t>The percentage o</w:t>
      </w:r>
      <w:r>
        <w:t>f those from the Midwest who prefer neither SitComs nor Reality TV.</w:t>
      </w:r>
    </w:p>
    <w:p w:rsidR="00850DA0" w:rsidRDefault="004D6D3F">
      <w:pPr>
        <w:pStyle w:val="Compact"/>
        <w:numPr>
          <w:ilvl w:val="0"/>
          <w:numId w:val="29"/>
        </w:numPr>
      </w:pPr>
      <w:r>
        <w:lastRenderedPageBreak/>
        <w:t>It is not possible to determine this without actually knowing the number of respondents in each category.</w:t>
      </w:r>
    </w:p>
    <w:p w:rsidR="00850DA0" w:rsidRDefault="004D6D3F">
      <w:pPr>
        <w:pStyle w:val="Heading5"/>
      </w:pPr>
      <w:bookmarkStart w:id="3" w:name="thirty-six-students-completed-an-algebra"/>
      <w:bookmarkEnd w:id="3"/>
      <w:r>
        <w:t>3. Thirty-six students completed an algebra exam consisting of 40 questions. The s</w:t>
      </w:r>
      <w:r>
        <w:t>core distribution is described by the following stem-and-leaf plot:</w:t>
      </w:r>
    </w:p>
    <w:tbl>
      <w:tblPr>
        <w:tblW w:w="0" w:type="pct"/>
        <w:tblLook w:val="04A0" w:firstRow="1" w:lastRow="0" w:firstColumn="1" w:lastColumn="0" w:noHBand="0" w:noVBand="1"/>
      </w:tblPr>
      <w:tblGrid>
        <w:gridCol w:w="652"/>
        <w:gridCol w:w="2393"/>
      </w:tblGrid>
      <w:tr w:rsidR="00850DA0">
        <w:tc>
          <w:tcPr>
            <w:tcW w:w="0" w:type="auto"/>
            <w:tcBorders>
              <w:bottom w:val="single" w:sz="0" w:space="0" w:color="auto"/>
            </w:tcBorders>
            <w:vAlign w:val="bottom"/>
          </w:tcPr>
          <w:p w:rsidR="00850DA0" w:rsidRDefault="004D6D3F">
            <w:pPr>
              <w:pStyle w:val="Compact"/>
            </w:pPr>
            <w:r>
              <w:t>Leaf</w:t>
            </w:r>
          </w:p>
        </w:tc>
        <w:tc>
          <w:tcPr>
            <w:tcW w:w="0" w:type="auto"/>
            <w:tcBorders>
              <w:bottom w:val="single" w:sz="0" w:space="0" w:color="auto"/>
            </w:tcBorders>
            <w:vAlign w:val="bottom"/>
          </w:tcPr>
          <w:p w:rsidR="00850DA0" w:rsidRDefault="004D6D3F">
            <w:pPr>
              <w:pStyle w:val="Compact"/>
            </w:pPr>
            <w:r>
              <w:t>Stem</w:t>
            </w:r>
          </w:p>
        </w:tc>
      </w:tr>
      <w:tr w:rsidR="00850DA0">
        <w:tc>
          <w:tcPr>
            <w:tcW w:w="0" w:type="auto"/>
          </w:tcPr>
          <w:p w:rsidR="00850DA0" w:rsidRDefault="004D6D3F">
            <w:pPr>
              <w:pStyle w:val="Compact"/>
            </w:pPr>
            <w:r>
              <w:t>0</w:t>
            </w:r>
          </w:p>
        </w:tc>
        <w:tc>
          <w:tcPr>
            <w:tcW w:w="0" w:type="auto"/>
          </w:tcPr>
          <w:p w:rsidR="00850DA0" w:rsidRDefault="004D6D3F">
            <w:pPr>
              <w:pStyle w:val="Compact"/>
            </w:pPr>
            <w:r>
              <w:t>0 1 1 6</w:t>
            </w:r>
          </w:p>
        </w:tc>
      </w:tr>
      <w:tr w:rsidR="00850DA0">
        <w:tc>
          <w:tcPr>
            <w:tcW w:w="0" w:type="auto"/>
          </w:tcPr>
          <w:p w:rsidR="00850DA0" w:rsidRDefault="004D6D3F">
            <w:pPr>
              <w:pStyle w:val="Compact"/>
            </w:pPr>
            <w:r>
              <w:t>1</w:t>
            </w:r>
          </w:p>
        </w:tc>
        <w:tc>
          <w:tcPr>
            <w:tcW w:w="0" w:type="auto"/>
          </w:tcPr>
          <w:p w:rsidR="00850DA0" w:rsidRDefault="004D6D3F">
            <w:pPr>
              <w:pStyle w:val="Compact"/>
            </w:pPr>
            <w:r>
              <w:t>2 2 3 5 7 8 8 8</w:t>
            </w:r>
          </w:p>
        </w:tc>
      </w:tr>
      <w:tr w:rsidR="00850DA0">
        <w:tc>
          <w:tcPr>
            <w:tcW w:w="0" w:type="auto"/>
          </w:tcPr>
          <w:p w:rsidR="00850DA0" w:rsidRDefault="004D6D3F">
            <w:pPr>
              <w:pStyle w:val="Compact"/>
            </w:pPr>
            <w:r>
              <w:t>2</w:t>
            </w:r>
          </w:p>
        </w:tc>
        <w:tc>
          <w:tcPr>
            <w:tcW w:w="0" w:type="auto"/>
          </w:tcPr>
          <w:p w:rsidR="00850DA0" w:rsidRDefault="004D6D3F">
            <w:pPr>
              <w:pStyle w:val="Compact"/>
            </w:pPr>
            <w:r>
              <w:t>1 8 8 8 8 9 9 9</w:t>
            </w:r>
          </w:p>
        </w:tc>
      </w:tr>
      <w:tr w:rsidR="00850DA0">
        <w:tc>
          <w:tcPr>
            <w:tcW w:w="0" w:type="auto"/>
          </w:tcPr>
          <w:p w:rsidR="00850DA0" w:rsidRDefault="004D6D3F">
            <w:pPr>
              <w:pStyle w:val="Compact"/>
            </w:pPr>
            <w:r>
              <w:t>3</w:t>
            </w:r>
          </w:p>
        </w:tc>
        <w:tc>
          <w:tcPr>
            <w:tcW w:w="0" w:type="auto"/>
          </w:tcPr>
          <w:p w:rsidR="00850DA0" w:rsidRDefault="004D6D3F">
            <w:pPr>
              <w:pStyle w:val="Compact"/>
            </w:pPr>
            <w:r>
              <w:t>1 2 2 2 4 6 6 6 6 6 8 8</w:t>
            </w:r>
          </w:p>
        </w:tc>
      </w:tr>
      <w:tr w:rsidR="00850DA0">
        <w:tc>
          <w:tcPr>
            <w:tcW w:w="0" w:type="auto"/>
          </w:tcPr>
          <w:p w:rsidR="00850DA0" w:rsidRDefault="004D6D3F">
            <w:pPr>
              <w:pStyle w:val="Compact"/>
            </w:pPr>
            <w:r>
              <w:t>4</w:t>
            </w:r>
          </w:p>
        </w:tc>
        <w:tc>
          <w:tcPr>
            <w:tcW w:w="0" w:type="auto"/>
          </w:tcPr>
          <w:p w:rsidR="00850DA0" w:rsidRDefault="004D6D3F">
            <w:pPr>
              <w:pStyle w:val="Compact"/>
            </w:pPr>
            <w:r>
              <w:t>0 0 0 0</w:t>
            </w:r>
          </w:p>
        </w:tc>
      </w:tr>
    </w:tbl>
    <w:p w:rsidR="00850DA0" w:rsidRDefault="004D6D3F">
      <w:r>
        <w:t>The median of the score distribution is equal to which of the following?</w:t>
      </w:r>
    </w:p>
    <w:p w:rsidR="00850DA0" w:rsidRDefault="004D6D3F">
      <w:pPr>
        <w:pStyle w:val="Compact"/>
        <w:numPr>
          <w:ilvl w:val="0"/>
          <w:numId w:val="30"/>
        </w:numPr>
      </w:pPr>
      <w:r>
        <w:t>19</w:t>
      </w:r>
    </w:p>
    <w:p w:rsidR="00850DA0" w:rsidRDefault="004D6D3F">
      <w:pPr>
        <w:pStyle w:val="Compact"/>
        <w:numPr>
          <w:ilvl w:val="0"/>
          <w:numId w:val="30"/>
        </w:numPr>
      </w:pPr>
      <w:r>
        <w:t>18</w:t>
      </w:r>
    </w:p>
    <w:p w:rsidR="00850DA0" w:rsidRDefault="004D6D3F">
      <w:pPr>
        <w:pStyle w:val="Compact"/>
        <w:numPr>
          <w:ilvl w:val="0"/>
          <w:numId w:val="30"/>
        </w:numPr>
      </w:pPr>
      <w:r>
        <w:t>36</w:t>
      </w:r>
    </w:p>
    <w:p w:rsidR="00850DA0" w:rsidRDefault="004D6D3F">
      <w:pPr>
        <w:pStyle w:val="Compact"/>
        <w:numPr>
          <w:ilvl w:val="0"/>
          <w:numId w:val="30"/>
        </w:numPr>
      </w:pPr>
      <w:r>
        <w:t>17.5</w:t>
      </w:r>
    </w:p>
    <w:p w:rsidR="00850DA0" w:rsidRDefault="004D6D3F">
      <w:pPr>
        <w:pStyle w:val="Compact"/>
        <w:numPr>
          <w:ilvl w:val="0"/>
          <w:numId w:val="30"/>
        </w:numPr>
      </w:pPr>
      <w:r>
        <w:t xml:space="preserve">29 </w:t>
      </w:r>
    </w:p>
    <w:p w:rsidR="00850DA0" w:rsidRDefault="004D6D3F">
      <w:pPr>
        <w:pStyle w:val="Heading5"/>
      </w:pPr>
      <w:bookmarkStart w:id="4" w:name="consider-the-following-three-scatterplot"/>
      <w:bookmarkEnd w:id="4"/>
      <w:r>
        <w:t>4. Consider the following three scatterplots:</w:t>
      </w:r>
    </w:p>
    <w:p w:rsidR="00850DA0" w:rsidRDefault="004D6D3F">
      <w:pPr>
        <w:pStyle w:val="Compact"/>
      </w:pPr>
      <w:r>
        <w:rPr>
          <w:noProof/>
        </w:rPr>
        <w:drawing>
          <wp:inline distT="0" distB="0" distL="0" distR="0">
            <wp:extent cx="4013200" cy="2108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26.png"/>
                    <pic:cNvPicPr>
                      <a:picLocks noChangeAspect="1" noChangeArrowheads="1"/>
                    </pic:cNvPicPr>
                  </pic:nvPicPr>
                  <pic:blipFill>
                    <a:blip r:embed="rId8"/>
                    <a:stretch>
                      <a:fillRect/>
                    </a:stretch>
                  </pic:blipFill>
                  <pic:spPr bwMode="auto">
                    <a:xfrm>
                      <a:off x="0" y="0"/>
                      <a:ext cx="4013200" cy="2108200"/>
                    </a:xfrm>
                    <a:prstGeom prst="rect">
                      <a:avLst/>
                    </a:prstGeom>
                    <a:noFill/>
                    <a:ln w="9525">
                      <a:noFill/>
                      <a:headEnd/>
                      <a:tailEnd/>
                    </a:ln>
                  </pic:spPr>
                </pic:pic>
              </a:graphicData>
            </a:graphic>
          </wp:inline>
        </w:drawing>
      </w:r>
    </w:p>
    <w:p w:rsidR="00850DA0" w:rsidRDefault="004D6D3F">
      <w:r>
        <w:rPr>
          <w:b/>
        </w:rPr>
        <w:t>Which of the following statements is (are) true?</w:t>
      </w:r>
    </w:p>
    <w:p w:rsidR="00850DA0" w:rsidRDefault="004D6D3F">
      <w:r>
        <w:t>I. The intercept for the line of best fit for the data in scatterplot A will be positive.</w:t>
      </w:r>
      <w:r>
        <w:br/>
      </w:r>
      <w:r>
        <w:t>II. The slope for the line of best fit for the data in scatterplot B will be negative.</w:t>
      </w:r>
      <w:r>
        <w:br/>
        <w:t>III. There is no discernible relationship between the variables x and y in scatterplot C.</w:t>
      </w:r>
    </w:p>
    <w:p w:rsidR="00850DA0" w:rsidRDefault="004D6D3F">
      <w:pPr>
        <w:pStyle w:val="Compact"/>
        <w:numPr>
          <w:ilvl w:val="0"/>
          <w:numId w:val="31"/>
        </w:numPr>
      </w:pPr>
      <w:r>
        <w:t>I only</w:t>
      </w:r>
    </w:p>
    <w:p w:rsidR="00850DA0" w:rsidRDefault="004D6D3F">
      <w:pPr>
        <w:pStyle w:val="Compact"/>
        <w:numPr>
          <w:ilvl w:val="0"/>
          <w:numId w:val="31"/>
        </w:numPr>
      </w:pPr>
      <w:r>
        <w:t>II only</w:t>
      </w:r>
    </w:p>
    <w:p w:rsidR="00850DA0" w:rsidRDefault="004D6D3F">
      <w:pPr>
        <w:pStyle w:val="Compact"/>
        <w:numPr>
          <w:ilvl w:val="0"/>
          <w:numId w:val="31"/>
        </w:numPr>
      </w:pPr>
      <w:r>
        <w:t>III only</w:t>
      </w:r>
    </w:p>
    <w:p w:rsidR="00850DA0" w:rsidRDefault="004D6D3F">
      <w:pPr>
        <w:pStyle w:val="Compact"/>
        <w:numPr>
          <w:ilvl w:val="0"/>
          <w:numId w:val="31"/>
        </w:numPr>
      </w:pPr>
      <w:r>
        <w:t>II and III only</w:t>
      </w:r>
    </w:p>
    <w:p w:rsidR="00850DA0" w:rsidRDefault="004D6D3F">
      <w:pPr>
        <w:pStyle w:val="Compact"/>
        <w:numPr>
          <w:ilvl w:val="0"/>
          <w:numId w:val="31"/>
        </w:numPr>
      </w:pPr>
      <w:r>
        <w:t xml:space="preserve">I and II only </w:t>
      </w:r>
    </w:p>
    <w:p w:rsidR="00850DA0" w:rsidRDefault="004D6D3F">
      <w:pPr>
        <w:pStyle w:val="Heading5"/>
      </w:pPr>
      <w:bookmarkStart w:id="5" w:name="a-four-year-liberal-arts-college-is-deci"/>
      <w:bookmarkEnd w:id="5"/>
      <w:r>
        <w:lastRenderedPageBreak/>
        <w:t>5. A four-year liberal a</w:t>
      </w:r>
      <w:r>
        <w:t>rts college is deciding whether or not to begin a new graduate degree program. They wish to assess the opinion of alumni of the college. The Alumni Affairs Department decides to mail a questionnaire to a random sample of 3500 alumni from the past 30 years.</w:t>
      </w:r>
      <w:r>
        <w:t xml:space="preserve"> Of the 3500 mailed, 679 were returned, and of these, 218 supported the launching of a new graduate degree program.</w:t>
      </w:r>
    </w:p>
    <w:p w:rsidR="00850DA0" w:rsidRDefault="004D6D3F">
      <w:r>
        <w:t>Which of the following statements is true?</w:t>
      </w:r>
    </w:p>
    <w:p w:rsidR="00850DA0" w:rsidRDefault="004D6D3F">
      <w:pPr>
        <w:pStyle w:val="Compact"/>
        <w:numPr>
          <w:ilvl w:val="0"/>
          <w:numId w:val="32"/>
        </w:numPr>
      </w:pPr>
      <w:r>
        <w:t>The population of this study consists of the 218 respondents who favor the graduate degree program.</w:t>
      </w:r>
    </w:p>
    <w:p w:rsidR="00850DA0" w:rsidRDefault="004D6D3F">
      <w:pPr>
        <w:pStyle w:val="Compact"/>
        <w:numPr>
          <w:ilvl w:val="0"/>
          <w:numId w:val="32"/>
        </w:numPr>
      </w:pPr>
      <w:r>
        <w:t xml:space="preserve">The 3500 alumni who were randomly mailed a questionnaire is a representative sample of all alumni of the college for the past 30 years. </w:t>
      </w:r>
    </w:p>
    <w:p w:rsidR="00850DA0" w:rsidRDefault="004D6D3F">
      <w:pPr>
        <w:pStyle w:val="Compact"/>
        <w:numPr>
          <w:ilvl w:val="0"/>
          <w:numId w:val="32"/>
        </w:numPr>
      </w:pPr>
      <w:r>
        <w:t>The population of t</w:t>
      </w:r>
      <w:r>
        <w:t>his study consists of the 679 alumni who mailed back a response.</w:t>
      </w:r>
    </w:p>
    <w:p w:rsidR="00850DA0" w:rsidRDefault="004D6D3F">
      <w:pPr>
        <w:pStyle w:val="Compact"/>
        <w:numPr>
          <w:ilvl w:val="0"/>
          <w:numId w:val="32"/>
        </w:numPr>
      </w:pPr>
      <w:r>
        <w:t>The 3500 alumni receiving the questionnaire constitute the population of the study.</w:t>
      </w:r>
    </w:p>
    <w:p w:rsidR="00850DA0" w:rsidRDefault="004D6D3F">
      <w:pPr>
        <w:pStyle w:val="Compact"/>
        <w:numPr>
          <w:ilvl w:val="0"/>
          <w:numId w:val="32"/>
        </w:numPr>
      </w:pPr>
      <w:r>
        <w:t>Current students are part of the population of this study.</w:t>
      </w:r>
    </w:p>
    <w:p w:rsidR="00850DA0" w:rsidRDefault="004D6D3F">
      <w:pPr>
        <w:pStyle w:val="Heading5"/>
      </w:pPr>
      <w:bookmarkStart w:id="6" w:name="consider-the-following-back-to-back-stem"/>
      <w:bookmarkEnd w:id="6"/>
      <w:r>
        <w:t>6. Consider the following back-to-back stem-and-</w:t>
      </w:r>
      <w:r>
        <w:t>leaf plots:</w:t>
      </w:r>
    </w:p>
    <w:tbl>
      <w:tblPr>
        <w:tblW w:w="0" w:type="pct"/>
        <w:tblLook w:val="04A0" w:firstRow="1" w:lastRow="0" w:firstColumn="1" w:lastColumn="0" w:noHBand="0" w:noVBand="1"/>
      </w:tblPr>
      <w:tblGrid>
        <w:gridCol w:w="907"/>
        <w:gridCol w:w="734"/>
        <w:gridCol w:w="907"/>
      </w:tblGrid>
      <w:tr w:rsidR="00850DA0">
        <w:tc>
          <w:tcPr>
            <w:tcW w:w="0" w:type="auto"/>
            <w:tcBorders>
              <w:bottom w:val="single" w:sz="0" w:space="0" w:color="auto"/>
            </w:tcBorders>
            <w:vAlign w:val="bottom"/>
          </w:tcPr>
          <w:p w:rsidR="00850DA0" w:rsidRDefault="004D6D3F">
            <w:pPr>
              <w:pStyle w:val="Compact"/>
            </w:pPr>
            <w:r>
              <w:t>Set A</w:t>
            </w:r>
          </w:p>
        </w:tc>
        <w:tc>
          <w:tcPr>
            <w:tcW w:w="0" w:type="auto"/>
            <w:tcBorders>
              <w:bottom w:val="single" w:sz="0" w:space="0" w:color="auto"/>
            </w:tcBorders>
            <w:vAlign w:val="bottom"/>
          </w:tcPr>
          <w:p w:rsidR="00850DA0" w:rsidRDefault="004D6D3F">
            <w:pPr>
              <w:pStyle w:val="Compact"/>
            </w:pPr>
            <w:r>
              <w:t>Stem</w:t>
            </w:r>
          </w:p>
        </w:tc>
        <w:tc>
          <w:tcPr>
            <w:tcW w:w="0" w:type="auto"/>
            <w:tcBorders>
              <w:bottom w:val="single" w:sz="0" w:space="0" w:color="auto"/>
            </w:tcBorders>
            <w:vAlign w:val="bottom"/>
          </w:tcPr>
          <w:p w:rsidR="00850DA0" w:rsidRDefault="004D6D3F">
            <w:pPr>
              <w:pStyle w:val="Compact"/>
            </w:pPr>
            <w:r>
              <w:t>Set B</w:t>
            </w:r>
          </w:p>
        </w:tc>
      </w:tr>
      <w:tr w:rsidR="00850DA0">
        <w:tc>
          <w:tcPr>
            <w:tcW w:w="0" w:type="auto"/>
          </w:tcPr>
          <w:p w:rsidR="00850DA0" w:rsidRDefault="00850DA0">
            <w:pPr>
              <w:pStyle w:val="Compact"/>
            </w:pPr>
          </w:p>
        </w:tc>
        <w:tc>
          <w:tcPr>
            <w:tcW w:w="0" w:type="auto"/>
          </w:tcPr>
          <w:p w:rsidR="00850DA0" w:rsidRDefault="004D6D3F">
            <w:pPr>
              <w:pStyle w:val="Compact"/>
            </w:pPr>
            <w:r>
              <w:t>0</w:t>
            </w:r>
          </w:p>
        </w:tc>
        <w:tc>
          <w:tcPr>
            <w:tcW w:w="0" w:type="auto"/>
          </w:tcPr>
          <w:p w:rsidR="00850DA0" w:rsidRDefault="004D6D3F">
            <w:pPr>
              <w:pStyle w:val="Compact"/>
            </w:pPr>
            <w:r>
              <w:t>3 4</w:t>
            </w:r>
          </w:p>
        </w:tc>
      </w:tr>
      <w:tr w:rsidR="00850DA0">
        <w:tc>
          <w:tcPr>
            <w:tcW w:w="0" w:type="auto"/>
          </w:tcPr>
          <w:p w:rsidR="00850DA0" w:rsidRDefault="004D6D3F">
            <w:pPr>
              <w:pStyle w:val="Compact"/>
            </w:pPr>
            <w:r>
              <w:t>3</w:t>
            </w:r>
          </w:p>
        </w:tc>
        <w:tc>
          <w:tcPr>
            <w:tcW w:w="0" w:type="auto"/>
          </w:tcPr>
          <w:p w:rsidR="00850DA0" w:rsidRDefault="004D6D3F">
            <w:pPr>
              <w:pStyle w:val="Compact"/>
            </w:pPr>
            <w:r>
              <w:t>1</w:t>
            </w:r>
          </w:p>
        </w:tc>
        <w:tc>
          <w:tcPr>
            <w:tcW w:w="0" w:type="auto"/>
          </w:tcPr>
          <w:p w:rsidR="00850DA0" w:rsidRDefault="004D6D3F">
            <w:pPr>
              <w:pStyle w:val="Compact"/>
            </w:pPr>
            <w:r>
              <w:t>1</w:t>
            </w:r>
          </w:p>
        </w:tc>
      </w:tr>
      <w:tr w:rsidR="00850DA0">
        <w:tc>
          <w:tcPr>
            <w:tcW w:w="0" w:type="auto"/>
          </w:tcPr>
          <w:p w:rsidR="00850DA0" w:rsidRDefault="004D6D3F">
            <w:pPr>
              <w:pStyle w:val="Compact"/>
            </w:pPr>
            <w:r>
              <w:t>9 7 7</w:t>
            </w:r>
          </w:p>
        </w:tc>
        <w:tc>
          <w:tcPr>
            <w:tcW w:w="0" w:type="auto"/>
          </w:tcPr>
          <w:p w:rsidR="00850DA0" w:rsidRDefault="004D6D3F">
            <w:pPr>
              <w:pStyle w:val="Compact"/>
            </w:pPr>
            <w:r>
              <w:t>2</w:t>
            </w:r>
          </w:p>
        </w:tc>
        <w:tc>
          <w:tcPr>
            <w:tcW w:w="0" w:type="auto"/>
          </w:tcPr>
          <w:p w:rsidR="00850DA0" w:rsidRDefault="004D6D3F">
            <w:pPr>
              <w:pStyle w:val="Compact"/>
            </w:pPr>
            <w:r>
              <w:t>2 8 8 9</w:t>
            </w:r>
          </w:p>
        </w:tc>
      </w:tr>
      <w:tr w:rsidR="00850DA0">
        <w:trPr>
          <w:gridAfter w:val="1"/>
        </w:trPr>
        <w:tc>
          <w:tcPr>
            <w:tcW w:w="0" w:type="auto"/>
          </w:tcPr>
          <w:p w:rsidR="00850DA0" w:rsidRDefault="004D6D3F">
            <w:pPr>
              <w:pStyle w:val="Compact"/>
            </w:pPr>
            <w:r>
              <w:t>8</w:t>
            </w:r>
          </w:p>
        </w:tc>
        <w:tc>
          <w:tcPr>
            <w:tcW w:w="0" w:type="auto"/>
          </w:tcPr>
          <w:p w:rsidR="00850DA0" w:rsidRDefault="004D6D3F">
            <w:pPr>
              <w:pStyle w:val="Compact"/>
            </w:pPr>
            <w:r>
              <w:t>3</w:t>
            </w:r>
          </w:p>
        </w:tc>
      </w:tr>
      <w:tr w:rsidR="00850DA0">
        <w:tc>
          <w:tcPr>
            <w:tcW w:w="0" w:type="auto"/>
          </w:tcPr>
          <w:p w:rsidR="00850DA0" w:rsidRDefault="004D6D3F">
            <w:pPr>
              <w:pStyle w:val="Compact"/>
            </w:pPr>
            <w:r>
              <w:t>4 5 5 5</w:t>
            </w:r>
          </w:p>
        </w:tc>
        <w:tc>
          <w:tcPr>
            <w:tcW w:w="0" w:type="auto"/>
          </w:tcPr>
          <w:p w:rsidR="00850DA0" w:rsidRDefault="004D6D3F">
            <w:pPr>
              <w:pStyle w:val="Compact"/>
            </w:pPr>
            <w:r>
              <w:t>4</w:t>
            </w:r>
          </w:p>
        </w:tc>
        <w:tc>
          <w:tcPr>
            <w:tcW w:w="0" w:type="auto"/>
          </w:tcPr>
          <w:p w:rsidR="00850DA0" w:rsidRDefault="004D6D3F">
            <w:pPr>
              <w:pStyle w:val="Compact"/>
            </w:pPr>
            <w:r>
              <w:t>1 3</w:t>
            </w:r>
          </w:p>
        </w:tc>
      </w:tr>
      <w:tr w:rsidR="00850DA0">
        <w:tc>
          <w:tcPr>
            <w:tcW w:w="0" w:type="auto"/>
          </w:tcPr>
          <w:p w:rsidR="00850DA0" w:rsidRDefault="004D6D3F">
            <w:pPr>
              <w:pStyle w:val="Compact"/>
            </w:pPr>
            <w:r>
              <w:t>2</w:t>
            </w:r>
          </w:p>
        </w:tc>
        <w:tc>
          <w:tcPr>
            <w:tcW w:w="0" w:type="auto"/>
          </w:tcPr>
          <w:p w:rsidR="00850DA0" w:rsidRDefault="004D6D3F">
            <w:pPr>
              <w:pStyle w:val="Compact"/>
            </w:pPr>
            <w:r>
              <w:t>5</w:t>
            </w:r>
          </w:p>
        </w:tc>
        <w:tc>
          <w:tcPr>
            <w:tcW w:w="0" w:type="auto"/>
          </w:tcPr>
          <w:p w:rsidR="00850DA0" w:rsidRDefault="004D6D3F">
            <w:pPr>
              <w:pStyle w:val="Compact"/>
            </w:pPr>
            <w:r>
              <w:t>0</w:t>
            </w:r>
          </w:p>
        </w:tc>
      </w:tr>
      <w:tr w:rsidR="00850DA0">
        <w:tc>
          <w:tcPr>
            <w:tcW w:w="0" w:type="auto"/>
          </w:tcPr>
          <w:p w:rsidR="00850DA0" w:rsidRDefault="004D6D3F">
            <w:pPr>
              <w:pStyle w:val="Compact"/>
            </w:pPr>
            <w:r>
              <w:t>8 7 1 1</w:t>
            </w:r>
          </w:p>
        </w:tc>
        <w:tc>
          <w:tcPr>
            <w:tcW w:w="0" w:type="auto"/>
          </w:tcPr>
          <w:p w:rsidR="00850DA0" w:rsidRDefault="004D6D3F">
            <w:pPr>
              <w:pStyle w:val="Compact"/>
            </w:pPr>
            <w:r>
              <w:t>6</w:t>
            </w:r>
          </w:p>
        </w:tc>
        <w:tc>
          <w:tcPr>
            <w:tcW w:w="0" w:type="auto"/>
          </w:tcPr>
          <w:p w:rsidR="00850DA0" w:rsidRDefault="004D6D3F">
            <w:pPr>
              <w:pStyle w:val="Compact"/>
            </w:pPr>
            <w:r>
              <w:t>0 0 0 9</w:t>
            </w:r>
          </w:p>
        </w:tc>
      </w:tr>
      <w:tr w:rsidR="00850DA0">
        <w:trPr>
          <w:gridAfter w:val="1"/>
        </w:trPr>
        <w:tc>
          <w:tcPr>
            <w:tcW w:w="0" w:type="auto"/>
          </w:tcPr>
          <w:p w:rsidR="00850DA0" w:rsidRDefault="004D6D3F">
            <w:pPr>
              <w:pStyle w:val="Compact"/>
            </w:pPr>
            <w:r>
              <w:t>2</w:t>
            </w:r>
          </w:p>
        </w:tc>
        <w:tc>
          <w:tcPr>
            <w:tcW w:w="0" w:type="auto"/>
          </w:tcPr>
          <w:p w:rsidR="00850DA0" w:rsidRDefault="004D6D3F">
            <w:pPr>
              <w:pStyle w:val="Compact"/>
            </w:pPr>
            <w:r>
              <w:t>7</w:t>
            </w:r>
          </w:p>
        </w:tc>
      </w:tr>
      <w:tr w:rsidR="00850DA0">
        <w:tc>
          <w:tcPr>
            <w:tcW w:w="0" w:type="auto"/>
          </w:tcPr>
          <w:p w:rsidR="00850DA0" w:rsidRDefault="004D6D3F">
            <w:pPr>
              <w:pStyle w:val="Compact"/>
            </w:pPr>
            <w:r>
              <w:t>3 3</w:t>
            </w:r>
          </w:p>
        </w:tc>
        <w:tc>
          <w:tcPr>
            <w:tcW w:w="0" w:type="auto"/>
          </w:tcPr>
          <w:p w:rsidR="00850DA0" w:rsidRDefault="004D6D3F">
            <w:pPr>
              <w:pStyle w:val="Compact"/>
            </w:pPr>
            <w:r>
              <w:t>8</w:t>
            </w:r>
          </w:p>
        </w:tc>
        <w:tc>
          <w:tcPr>
            <w:tcW w:w="0" w:type="auto"/>
          </w:tcPr>
          <w:p w:rsidR="00850DA0" w:rsidRDefault="004D6D3F">
            <w:pPr>
              <w:pStyle w:val="Compact"/>
            </w:pPr>
            <w:r>
              <w:t>4 5</w:t>
            </w:r>
          </w:p>
        </w:tc>
      </w:tr>
      <w:tr w:rsidR="00850DA0">
        <w:trPr>
          <w:gridAfter w:val="1"/>
        </w:trPr>
        <w:tc>
          <w:tcPr>
            <w:tcW w:w="0" w:type="auto"/>
          </w:tcPr>
          <w:p w:rsidR="00850DA0" w:rsidRDefault="004D6D3F">
            <w:pPr>
              <w:pStyle w:val="Compact"/>
            </w:pPr>
            <w:r>
              <w:t>5</w:t>
            </w:r>
          </w:p>
        </w:tc>
        <w:tc>
          <w:tcPr>
            <w:tcW w:w="0" w:type="auto"/>
          </w:tcPr>
          <w:p w:rsidR="00850DA0" w:rsidRDefault="004D6D3F">
            <w:pPr>
              <w:pStyle w:val="Compact"/>
            </w:pPr>
            <w:r>
              <w:t>9</w:t>
            </w:r>
          </w:p>
        </w:tc>
      </w:tr>
    </w:tbl>
    <w:p w:rsidR="00850DA0" w:rsidRDefault="004D6D3F">
      <w:r>
        <w:rPr>
          <w:b/>
        </w:rPr>
        <w:t>Which of the following statements is (are) true?</w:t>
      </w:r>
    </w:p>
    <w:p w:rsidR="00850DA0" w:rsidRDefault="004D6D3F">
      <w:r>
        <w:t>I. The medians of the distributions for Set A and Set B are the same.</w:t>
      </w:r>
      <w:r>
        <w:br/>
      </w:r>
      <w:r>
        <w:t>II. The modes for Set A and Set B are different.</w:t>
      </w:r>
      <w:r>
        <w:br/>
        <w:t>III. The ranges of the distributions for Set A and Set B are the same.</w:t>
      </w:r>
    </w:p>
    <w:p w:rsidR="00850DA0" w:rsidRDefault="004D6D3F">
      <w:pPr>
        <w:pStyle w:val="Compact"/>
        <w:numPr>
          <w:ilvl w:val="0"/>
          <w:numId w:val="33"/>
        </w:numPr>
      </w:pPr>
      <w:r>
        <w:t>I only</w:t>
      </w:r>
    </w:p>
    <w:p w:rsidR="00850DA0" w:rsidRDefault="004D6D3F">
      <w:pPr>
        <w:pStyle w:val="Compact"/>
        <w:numPr>
          <w:ilvl w:val="0"/>
          <w:numId w:val="33"/>
        </w:numPr>
      </w:pPr>
      <w:r>
        <w:t>II only</w:t>
      </w:r>
    </w:p>
    <w:p w:rsidR="00850DA0" w:rsidRDefault="004D6D3F">
      <w:pPr>
        <w:pStyle w:val="Compact"/>
        <w:numPr>
          <w:ilvl w:val="0"/>
          <w:numId w:val="33"/>
        </w:numPr>
      </w:pPr>
      <w:r>
        <w:t>III only</w:t>
      </w:r>
    </w:p>
    <w:p w:rsidR="00850DA0" w:rsidRDefault="004D6D3F">
      <w:pPr>
        <w:pStyle w:val="Compact"/>
        <w:numPr>
          <w:ilvl w:val="0"/>
          <w:numId w:val="33"/>
        </w:numPr>
      </w:pPr>
      <w:r>
        <w:t xml:space="preserve">II and III only </w:t>
      </w:r>
    </w:p>
    <w:p w:rsidR="00850DA0" w:rsidRDefault="004D6D3F">
      <w:pPr>
        <w:pStyle w:val="Compact"/>
        <w:numPr>
          <w:ilvl w:val="0"/>
          <w:numId w:val="33"/>
        </w:numPr>
      </w:pPr>
      <w:r>
        <w:t>I and II only</w:t>
      </w:r>
    </w:p>
    <w:p w:rsidR="00850DA0" w:rsidRDefault="004D6D3F">
      <w:pPr>
        <w:pStyle w:val="Heading5"/>
      </w:pPr>
      <w:bookmarkStart w:id="7" w:name="in-order-to-assess-the-level-of-physical"/>
      <w:bookmarkEnd w:id="7"/>
      <w:r>
        <w:lastRenderedPageBreak/>
        <w:t>7. In order to assess the level of physical fitness in middle-school children, a representative sample of 60,000 middle-school children is to be selected in a densely-populated state. It is known that 30% of the children in that state live in the inner cit</w:t>
      </w:r>
      <w:r>
        <w:t>y, 50% live in suburban areas, and 20% live in rural areas. It is also known that physical fitness levels are different in these three types of areas.</w:t>
      </w:r>
    </w:p>
    <w:p w:rsidR="00850DA0" w:rsidRDefault="004D6D3F">
      <w:r>
        <w:rPr>
          <w:b/>
        </w:rPr>
        <w:t>Which of the following is (are) the most appropriate sampling procedure(s) to use?</w:t>
      </w:r>
    </w:p>
    <w:p w:rsidR="00850DA0" w:rsidRDefault="004D6D3F">
      <w:r>
        <w:t>I. Draw random samples</w:t>
      </w:r>
      <w:r>
        <w:t xml:space="preserve"> of 18,000 inner city children, 30,000 suburban children, and 12, 000 rural children.</w:t>
      </w:r>
      <w:r>
        <w:br/>
        <w:t>II. Perform a random sampling of the schools throughout the state to get the desired sample size.</w:t>
      </w:r>
      <w:r>
        <w:br/>
        <w:t>III. Draw a random sample of 20,000 children in each of the three catego</w:t>
      </w:r>
      <w:r>
        <w:t>ries.</w:t>
      </w:r>
    </w:p>
    <w:p w:rsidR="00850DA0" w:rsidRDefault="004D6D3F">
      <w:pPr>
        <w:pStyle w:val="Compact"/>
        <w:numPr>
          <w:ilvl w:val="0"/>
          <w:numId w:val="34"/>
        </w:numPr>
      </w:pPr>
      <w:r>
        <w:t xml:space="preserve">I only </w:t>
      </w:r>
    </w:p>
    <w:p w:rsidR="00850DA0" w:rsidRDefault="004D6D3F">
      <w:pPr>
        <w:pStyle w:val="Compact"/>
        <w:numPr>
          <w:ilvl w:val="0"/>
          <w:numId w:val="34"/>
        </w:numPr>
      </w:pPr>
      <w:r>
        <w:t>II only</w:t>
      </w:r>
    </w:p>
    <w:p w:rsidR="00850DA0" w:rsidRDefault="004D6D3F">
      <w:pPr>
        <w:pStyle w:val="Compact"/>
        <w:numPr>
          <w:ilvl w:val="0"/>
          <w:numId w:val="34"/>
        </w:numPr>
      </w:pPr>
      <w:r>
        <w:t>III only</w:t>
      </w:r>
    </w:p>
    <w:p w:rsidR="00850DA0" w:rsidRDefault="004D6D3F">
      <w:pPr>
        <w:pStyle w:val="Compact"/>
        <w:numPr>
          <w:ilvl w:val="0"/>
          <w:numId w:val="34"/>
        </w:numPr>
      </w:pPr>
      <w:r>
        <w:t>I and II are both equally appropriate</w:t>
      </w:r>
    </w:p>
    <w:p w:rsidR="00850DA0" w:rsidRDefault="004D6D3F">
      <w:pPr>
        <w:pStyle w:val="Compact"/>
        <w:numPr>
          <w:ilvl w:val="0"/>
          <w:numId w:val="34"/>
        </w:numPr>
      </w:pPr>
      <w:r>
        <w:t>I and III are equally appropriate</w:t>
      </w:r>
    </w:p>
    <w:p w:rsidR="00850DA0" w:rsidRDefault="004D6D3F">
      <w:pPr>
        <w:pStyle w:val="Heading5"/>
      </w:pPr>
      <w:bookmarkStart w:id="8" w:name="the-authors-of-the-paper-digital-inequal"/>
      <w:bookmarkEnd w:id="8"/>
      <w:r>
        <w:t>8. The authors of the paper "Digital Inequality: Differences in Young Adults' Use of the Internet"</w:t>
      </w:r>
      <w:r>
        <w:t xml:space="preserve"> (Communicated Research [2008]:602-621) were interested in determining if people with highter levels of education use the Internet in different ways than those who do not have as much formal education. To answer this question, they used data from a nationa</w:t>
      </w:r>
      <w:r>
        <w:t>l telephone survey. Approximately 1300 households were selected for the survey, and 270 of them completed the interview. What type of bias should the researchers be concerned about?</w:t>
      </w:r>
    </w:p>
    <w:p w:rsidR="00850DA0" w:rsidRDefault="004D6D3F">
      <w:pPr>
        <w:pStyle w:val="Compact"/>
        <w:numPr>
          <w:ilvl w:val="0"/>
          <w:numId w:val="35"/>
        </w:numPr>
      </w:pPr>
      <w:r>
        <w:t>Selection bias</w:t>
      </w:r>
    </w:p>
    <w:p w:rsidR="00850DA0" w:rsidRDefault="004D6D3F">
      <w:pPr>
        <w:pStyle w:val="Compact"/>
        <w:numPr>
          <w:ilvl w:val="0"/>
          <w:numId w:val="35"/>
        </w:numPr>
      </w:pPr>
      <w:r>
        <w:t>Measurement bias</w:t>
      </w:r>
    </w:p>
    <w:p w:rsidR="00850DA0" w:rsidRDefault="004D6D3F">
      <w:pPr>
        <w:pStyle w:val="Compact"/>
        <w:numPr>
          <w:ilvl w:val="0"/>
          <w:numId w:val="35"/>
        </w:numPr>
      </w:pPr>
      <w:r>
        <w:t>Response bias</w:t>
      </w:r>
    </w:p>
    <w:p w:rsidR="00850DA0" w:rsidRDefault="004D6D3F">
      <w:pPr>
        <w:pStyle w:val="Compact"/>
        <w:numPr>
          <w:ilvl w:val="0"/>
          <w:numId w:val="35"/>
        </w:numPr>
      </w:pPr>
      <w:r>
        <w:t xml:space="preserve">Nonresponse bias </w:t>
      </w:r>
    </w:p>
    <w:p w:rsidR="00850DA0" w:rsidRDefault="004D6D3F">
      <w:pPr>
        <w:pStyle w:val="Compact"/>
        <w:numPr>
          <w:ilvl w:val="0"/>
          <w:numId w:val="35"/>
        </w:numPr>
      </w:pPr>
      <w:r>
        <w:t>Sampling b</w:t>
      </w:r>
      <w:r>
        <w:t>ias</w:t>
      </w:r>
    </w:p>
    <w:p w:rsidR="00850DA0" w:rsidRDefault="004D6D3F">
      <w:pPr>
        <w:pStyle w:val="Heading5"/>
      </w:pPr>
      <w:bookmarkStart w:id="9" w:name="in-which-of-the-following-sampling-metho"/>
      <w:bookmarkEnd w:id="9"/>
      <w:r>
        <w:t>9. In which of the following sampling methods, are random subgroups selected from of a population and all individuals or objects included in the sample?</w:t>
      </w:r>
    </w:p>
    <w:p w:rsidR="00850DA0" w:rsidRDefault="004D6D3F">
      <w:pPr>
        <w:pStyle w:val="Compact"/>
        <w:numPr>
          <w:ilvl w:val="0"/>
          <w:numId w:val="36"/>
        </w:numPr>
      </w:pPr>
      <w:r>
        <w:t>All of these choices.</w:t>
      </w:r>
    </w:p>
    <w:p w:rsidR="00850DA0" w:rsidRDefault="004D6D3F">
      <w:pPr>
        <w:pStyle w:val="Compact"/>
        <w:numPr>
          <w:ilvl w:val="0"/>
          <w:numId w:val="36"/>
        </w:numPr>
      </w:pPr>
      <w:r>
        <w:t>Stratified sampling</w:t>
      </w:r>
    </w:p>
    <w:p w:rsidR="00850DA0" w:rsidRDefault="004D6D3F">
      <w:pPr>
        <w:pStyle w:val="Compact"/>
        <w:numPr>
          <w:ilvl w:val="0"/>
          <w:numId w:val="36"/>
        </w:numPr>
      </w:pPr>
      <w:r>
        <w:t>1 in k systematic sampling</w:t>
      </w:r>
    </w:p>
    <w:p w:rsidR="00850DA0" w:rsidRDefault="004D6D3F">
      <w:pPr>
        <w:pStyle w:val="Compact"/>
        <w:numPr>
          <w:ilvl w:val="0"/>
          <w:numId w:val="36"/>
        </w:numPr>
      </w:pPr>
      <w:r>
        <w:t xml:space="preserve">Cluster sampling </w:t>
      </w:r>
    </w:p>
    <w:p w:rsidR="00850DA0" w:rsidRDefault="004D6D3F">
      <w:pPr>
        <w:pStyle w:val="Heading5"/>
      </w:pPr>
      <w:bookmarkStart w:id="10" w:name="suppose-the-number-of-students-in-a-clas"/>
      <w:bookmarkEnd w:id="10"/>
      <w:r>
        <w:t xml:space="preserve">10. Suppose </w:t>
      </w:r>
      <w:r>
        <w:t>the number of students in a class of 35 who turn in a term paper before the due date is recorded. What type of data set is being collected</w:t>
      </w:r>
    </w:p>
    <w:p w:rsidR="00850DA0" w:rsidRDefault="004D6D3F">
      <w:r>
        <w:t>Select one:</w:t>
      </w:r>
    </w:p>
    <w:p w:rsidR="00850DA0" w:rsidRDefault="004D6D3F">
      <w:pPr>
        <w:pStyle w:val="Compact"/>
        <w:numPr>
          <w:ilvl w:val="0"/>
          <w:numId w:val="37"/>
        </w:numPr>
      </w:pPr>
      <w:r>
        <w:t>Continuous numerical</w:t>
      </w:r>
    </w:p>
    <w:p w:rsidR="00850DA0" w:rsidRDefault="004D6D3F">
      <w:pPr>
        <w:pStyle w:val="Compact"/>
        <w:numPr>
          <w:ilvl w:val="0"/>
          <w:numId w:val="37"/>
        </w:numPr>
      </w:pPr>
      <w:r>
        <w:t>Categorical</w:t>
      </w:r>
    </w:p>
    <w:p w:rsidR="00850DA0" w:rsidRDefault="004D6D3F">
      <w:pPr>
        <w:pStyle w:val="Compact"/>
        <w:numPr>
          <w:ilvl w:val="0"/>
          <w:numId w:val="37"/>
        </w:numPr>
      </w:pPr>
      <w:r>
        <w:lastRenderedPageBreak/>
        <w:t>Bivariate</w:t>
      </w:r>
    </w:p>
    <w:p w:rsidR="00850DA0" w:rsidRDefault="004D6D3F">
      <w:pPr>
        <w:pStyle w:val="Compact"/>
        <w:numPr>
          <w:ilvl w:val="0"/>
          <w:numId w:val="37"/>
        </w:numPr>
      </w:pPr>
      <w:r>
        <w:t>Discrete numerical</w:t>
      </w:r>
    </w:p>
    <w:p w:rsidR="00850DA0" w:rsidRDefault="004D6D3F">
      <w:pPr>
        <w:pStyle w:val="Heading4"/>
      </w:pPr>
      <w:bookmarkStart w:id="11" w:name="multiple-choice-2-points-each"/>
      <w:bookmarkEnd w:id="11"/>
      <w:r>
        <w:t>Multiple Choice (2 points each)</w:t>
      </w:r>
    </w:p>
    <w:p w:rsidR="00850DA0" w:rsidRDefault="004D6D3F">
      <w:pPr>
        <w:pStyle w:val="Heading5"/>
      </w:pPr>
      <w:bookmarkStart w:id="12" w:name="during-the-first-six-months-of-the-ameri"/>
      <w:bookmarkEnd w:id="12"/>
      <w:r>
        <w:t>11. During the first six months of the American Civil War armies were amassed as never before in history. Large groups of men, transported far from home, lived in conditions that bred sickness. In a recent study involving Confederate muster rolls, a resear</w:t>
      </w:r>
      <w:r>
        <w:t>cher constructed a cumulative relative frequency distribution of the percentages of Confederate soldiers reported sick for each company. A "Company" is a unit of soldiers, usually between about 70 and 120 in size. The cumulative relative frequency distribu</w:t>
      </w:r>
      <w:r>
        <w:t>tion for October, 1861, is shown below.</w:t>
      </w:r>
    </w:p>
    <w:p w:rsidR="00850DA0" w:rsidRDefault="004D6D3F">
      <w:pPr>
        <w:pStyle w:val="Compact"/>
      </w:pPr>
      <w:r>
        <w:rPr>
          <w:noProof/>
        </w:rPr>
        <w:drawing>
          <wp:inline distT="0" distB="0" distL="0" distR="0">
            <wp:extent cx="36957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exam_1_cum_dist.PNG"/>
                    <pic:cNvPicPr>
                      <a:picLocks noChangeAspect="1" noChangeArrowheads="1"/>
                    </pic:cNvPicPr>
                  </pic:nvPicPr>
                  <pic:blipFill>
                    <a:blip r:embed="rId9"/>
                    <a:stretch>
                      <a:fillRect/>
                    </a:stretch>
                  </pic:blipFill>
                  <pic:spPr bwMode="auto">
                    <a:xfrm>
                      <a:off x="0" y="0"/>
                      <a:ext cx="3695700" cy="4000500"/>
                    </a:xfrm>
                    <a:prstGeom prst="rect">
                      <a:avLst/>
                    </a:prstGeom>
                    <a:noFill/>
                    <a:ln w="9525">
                      <a:noFill/>
                      <a:headEnd/>
                      <a:tailEnd/>
                    </a:ln>
                  </pic:spPr>
                </pic:pic>
              </a:graphicData>
            </a:graphic>
          </wp:inline>
        </w:drawing>
      </w:r>
    </w:p>
    <w:p w:rsidR="00850DA0" w:rsidRDefault="004D6D3F">
      <w:r>
        <w:t>(Part a) Approximately what proportion of the Confederate companies had less than 10% sick?</w:t>
      </w:r>
    </w:p>
    <w:p w:rsidR="00850DA0" w:rsidRDefault="004D6D3F">
      <w:pPr>
        <w:pStyle w:val="Compact"/>
        <w:numPr>
          <w:ilvl w:val="0"/>
          <w:numId w:val="38"/>
        </w:numPr>
      </w:pPr>
      <w:r>
        <w:t>No companies had less than 10% sick</w:t>
      </w:r>
    </w:p>
    <w:p w:rsidR="00850DA0" w:rsidRDefault="004D6D3F">
      <w:pPr>
        <w:pStyle w:val="Compact"/>
        <w:numPr>
          <w:ilvl w:val="0"/>
          <w:numId w:val="38"/>
        </w:numPr>
      </w:pPr>
      <w:r>
        <w:t>5%</w:t>
      </w:r>
    </w:p>
    <w:p w:rsidR="00850DA0" w:rsidRDefault="004D6D3F">
      <w:pPr>
        <w:pStyle w:val="Compact"/>
        <w:numPr>
          <w:ilvl w:val="0"/>
          <w:numId w:val="38"/>
        </w:numPr>
      </w:pPr>
      <w:r>
        <w:t xml:space="preserve">30% </w:t>
      </w:r>
    </w:p>
    <w:p w:rsidR="00850DA0" w:rsidRDefault="004D6D3F">
      <w:pPr>
        <w:pStyle w:val="Compact"/>
        <w:numPr>
          <w:ilvl w:val="0"/>
          <w:numId w:val="38"/>
        </w:numPr>
      </w:pPr>
      <w:r>
        <w:t>50%</w:t>
      </w:r>
    </w:p>
    <w:p w:rsidR="00850DA0" w:rsidRDefault="004D6D3F">
      <w:pPr>
        <w:pStyle w:val="Compact"/>
        <w:numPr>
          <w:ilvl w:val="0"/>
          <w:numId w:val="38"/>
        </w:numPr>
      </w:pPr>
      <w:r>
        <w:t>All companies had less than 10% sick</w:t>
      </w:r>
    </w:p>
    <w:p w:rsidR="00850DA0" w:rsidRDefault="004D6D3F">
      <w:r>
        <w:t>(Part b) Approximately 50% of the com</w:t>
      </w:r>
      <w:r>
        <w:t>panies had less than what percentage of soldiers sick? 20%</w:t>
      </w:r>
    </w:p>
    <w:p w:rsidR="00850DA0" w:rsidRDefault="004D6D3F">
      <w:pPr>
        <w:pStyle w:val="Compact"/>
        <w:numPr>
          <w:ilvl w:val="0"/>
          <w:numId w:val="39"/>
        </w:numPr>
      </w:pPr>
      <w:r>
        <w:lastRenderedPageBreak/>
        <w:t>50%</w:t>
      </w:r>
    </w:p>
    <w:p w:rsidR="00850DA0" w:rsidRDefault="004D6D3F">
      <w:pPr>
        <w:pStyle w:val="Compact"/>
        <w:numPr>
          <w:ilvl w:val="0"/>
          <w:numId w:val="39"/>
        </w:numPr>
      </w:pPr>
      <w:r>
        <w:t>95%</w:t>
      </w:r>
    </w:p>
    <w:p w:rsidR="00850DA0" w:rsidRDefault="004D6D3F">
      <w:pPr>
        <w:pStyle w:val="Compact"/>
        <w:numPr>
          <w:ilvl w:val="0"/>
          <w:numId w:val="39"/>
        </w:numPr>
      </w:pPr>
      <w:r>
        <w:t>5%</w:t>
      </w:r>
    </w:p>
    <w:p w:rsidR="00850DA0" w:rsidRDefault="004D6D3F">
      <w:pPr>
        <w:pStyle w:val="Compact"/>
        <w:numPr>
          <w:ilvl w:val="0"/>
          <w:numId w:val="39"/>
        </w:numPr>
      </w:pPr>
      <w:r>
        <w:t>100%</w:t>
      </w:r>
    </w:p>
    <w:p w:rsidR="00850DA0" w:rsidRDefault="004D6D3F">
      <w:pPr>
        <w:pStyle w:val="Compact"/>
        <w:numPr>
          <w:ilvl w:val="0"/>
          <w:numId w:val="39"/>
        </w:numPr>
      </w:pPr>
      <w:r>
        <w:t xml:space="preserve">20% </w:t>
      </w:r>
    </w:p>
    <w:p w:rsidR="00850DA0" w:rsidRDefault="004D6D3F">
      <w:pPr>
        <w:pStyle w:val="Heading5"/>
      </w:pPr>
      <w:bookmarkStart w:id="13" w:name="investigators-were-interested-in-the-com"/>
      <w:bookmarkEnd w:id="13"/>
      <w:r>
        <w:t>12. Investigators were interested in the communication about sex and related topics between parents and 12-14 year olds. The investigators asked students and parents whether or</w:t>
      </w:r>
      <w:r>
        <w:t xml:space="preserve"> not they had communicated with their child/parent about topics such as pregnancy, how to say "no," and methods of contraception. A scatter plot of their data is presented below. Each point represents one topic listed by the investigators. For example, 72.</w:t>
      </w:r>
      <w:r>
        <w:t>4% of parents and 57.6% of adolescents said the parents had discussed childbirth. This would be recorded as the point (57.6, 72.4).</w:t>
      </w:r>
    </w:p>
    <w:p w:rsidR="00850DA0" w:rsidRDefault="004D6D3F">
      <w:pPr>
        <w:pStyle w:val="Compact"/>
      </w:pPr>
      <w:r>
        <w:rPr>
          <w:noProof/>
        </w:rPr>
        <w:drawing>
          <wp:inline distT="0" distB="0" distL="0" distR="0">
            <wp:extent cx="4724400" cy="520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exam_1_xy_line.PNG"/>
                    <pic:cNvPicPr>
                      <a:picLocks noChangeAspect="1" noChangeArrowheads="1"/>
                    </pic:cNvPicPr>
                  </pic:nvPicPr>
                  <pic:blipFill>
                    <a:blip r:embed="rId10"/>
                    <a:stretch>
                      <a:fillRect/>
                    </a:stretch>
                  </pic:blipFill>
                  <pic:spPr bwMode="auto">
                    <a:xfrm>
                      <a:off x="0" y="0"/>
                      <a:ext cx="4724400" cy="5207000"/>
                    </a:xfrm>
                    <a:prstGeom prst="rect">
                      <a:avLst/>
                    </a:prstGeom>
                    <a:noFill/>
                    <a:ln w="9525">
                      <a:noFill/>
                      <a:headEnd/>
                      <a:tailEnd/>
                    </a:ln>
                  </pic:spPr>
                </pic:pic>
              </a:graphicData>
            </a:graphic>
          </wp:inline>
        </w:drawing>
      </w:r>
    </w:p>
    <w:p w:rsidR="00850DA0" w:rsidRDefault="004D6D3F">
      <w:r>
        <w:t>(Part a) On the graph above, sketch the line , representing a line of "perfect agreement" between the parents and adolesce</w:t>
      </w:r>
      <w:r>
        <w:t>nts.</w:t>
      </w:r>
    </w:p>
    <w:p w:rsidR="00850DA0" w:rsidRDefault="004D6D3F">
      <w:r>
        <w:lastRenderedPageBreak/>
        <w:t>(Part b) What is a possible explanation of the placement of the points in the scatter plot relative to the line you sketched in part (a)?</w:t>
      </w:r>
    </w:p>
    <w:p w:rsidR="00850DA0" w:rsidRDefault="004D6D3F">
      <w:pPr>
        <w:pStyle w:val="Compact"/>
        <w:numPr>
          <w:ilvl w:val="0"/>
          <w:numId w:val="40"/>
        </w:numPr>
      </w:pPr>
      <w:r>
        <w:t>The line is drawn evenly between the points to represent the line of best fit, so points are distributed evenly a</w:t>
      </w:r>
      <w:r>
        <w:t>bove and below the line to represent the variance of the sample.</w:t>
      </w:r>
    </w:p>
    <w:p w:rsidR="00850DA0" w:rsidRDefault="004D6D3F">
      <w:pPr>
        <w:pStyle w:val="Compact"/>
        <w:numPr>
          <w:ilvl w:val="0"/>
          <w:numId w:val="40"/>
        </w:numPr>
      </w:pPr>
      <w:r>
        <w:t>The line is drawn above the points to indicate the highest variance in communicatoin between children and parents.</w:t>
      </w:r>
    </w:p>
    <w:p w:rsidR="00850DA0" w:rsidRDefault="004D6D3F">
      <w:pPr>
        <w:pStyle w:val="Compact"/>
        <w:numPr>
          <w:ilvl w:val="0"/>
          <w:numId w:val="40"/>
        </w:numPr>
      </w:pPr>
      <w:r>
        <w:t>A line drawn below the points represents inapproprate scaling of the axis, w</w:t>
      </w:r>
      <w:r>
        <w:t>hich create bias for the viewer of the visualization.</w:t>
      </w:r>
    </w:p>
    <w:p w:rsidR="00850DA0" w:rsidRDefault="004D6D3F">
      <w:pPr>
        <w:pStyle w:val="Compact"/>
        <w:numPr>
          <w:ilvl w:val="0"/>
          <w:numId w:val="40"/>
        </w:numPr>
      </w:pPr>
      <w:r>
        <w:t>The line has not relavance to the points since the slope and intercept were not calculated to be the line of best fit.</w:t>
      </w:r>
    </w:p>
    <w:p w:rsidR="00850DA0" w:rsidRDefault="004D6D3F">
      <w:pPr>
        <w:pStyle w:val="Compact"/>
        <w:numPr>
          <w:ilvl w:val="0"/>
          <w:numId w:val="40"/>
        </w:numPr>
      </w:pPr>
      <w:r>
        <w:t>All the points are above the line, indicating that for all topics, parents are gene</w:t>
      </w:r>
      <w:r>
        <w:t>rally saying that they have talked about the topics more so than indicated by the adolescents' response.</w:t>
      </w:r>
    </w:p>
    <w:p w:rsidR="00850DA0" w:rsidRDefault="004D6D3F">
      <w:pPr>
        <w:pStyle w:val="Heading5"/>
      </w:pPr>
      <w:bookmarkStart w:id="14" w:name="marine-biologists-have-reported-the-disc"/>
      <w:bookmarkEnd w:id="14"/>
      <w:r>
        <w:t>13. Marine biologists have reported the discovery of a new species of fish in the Western North Atlantic. Data on the head length (n=41) and pelvic fin</w:t>
      </w:r>
      <w:r>
        <w:t xml:space="preserve"> length (n=30) are shown below.</w:t>
      </w:r>
    </w:p>
    <w:p w:rsidR="00850DA0" w:rsidRDefault="004D6D3F">
      <w:pPr>
        <w:pStyle w:val="Compact"/>
      </w:pPr>
      <w:r>
        <w:rPr>
          <w:noProof/>
        </w:rPr>
        <w:drawing>
          <wp:inline distT="0" distB="0" distL="0" distR="0">
            <wp:extent cx="5440680" cy="222208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exam_1_describe_dist.PNG"/>
                    <pic:cNvPicPr>
                      <a:picLocks noChangeAspect="1" noChangeArrowheads="1"/>
                    </pic:cNvPicPr>
                  </pic:nvPicPr>
                  <pic:blipFill>
                    <a:blip r:embed="rId11"/>
                    <a:stretch>
                      <a:fillRect/>
                    </a:stretch>
                  </pic:blipFill>
                  <pic:spPr bwMode="auto">
                    <a:xfrm>
                      <a:off x="0" y="0"/>
                      <a:ext cx="5440680" cy="2222088"/>
                    </a:xfrm>
                    <a:prstGeom prst="rect">
                      <a:avLst/>
                    </a:prstGeom>
                    <a:noFill/>
                    <a:ln w="9525">
                      <a:noFill/>
                      <a:headEnd/>
                      <a:tailEnd/>
                    </a:ln>
                  </pic:spPr>
                </pic:pic>
              </a:graphicData>
            </a:graphic>
          </wp:inline>
        </w:drawing>
      </w:r>
    </w:p>
    <w:p w:rsidR="00850DA0" w:rsidRDefault="004D6D3F">
      <w:r>
        <w:t>(Part a) Circle all of the following distributions descriptions that are true:</w:t>
      </w:r>
    </w:p>
    <w:p w:rsidR="00850DA0" w:rsidRDefault="004D6D3F">
      <w:pPr>
        <w:pStyle w:val="Compact"/>
        <w:numPr>
          <w:ilvl w:val="0"/>
          <w:numId w:val="41"/>
        </w:numPr>
      </w:pPr>
      <w:r>
        <w:t>The distribution of head length is bimodal</w:t>
      </w:r>
    </w:p>
    <w:p w:rsidR="00850DA0" w:rsidRDefault="004D6D3F">
      <w:pPr>
        <w:pStyle w:val="Compact"/>
        <w:numPr>
          <w:ilvl w:val="0"/>
          <w:numId w:val="41"/>
        </w:numPr>
      </w:pPr>
      <w:r>
        <w:t>The distribution of head length is bimodal</w:t>
      </w:r>
    </w:p>
    <w:p w:rsidR="00850DA0" w:rsidRDefault="004D6D3F">
      <w:pPr>
        <w:pStyle w:val="Compact"/>
        <w:numPr>
          <w:ilvl w:val="0"/>
          <w:numId w:val="41"/>
        </w:numPr>
      </w:pPr>
      <w:r>
        <w:t>The distribution of pelvic fin length has a positive skew</w:t>
      </w:r>
    </w:p>
    <w:p w:rsidR="00850DA0" w:rsidRDefault="004D6D3F">
      <w:pPr>
        <w:pStyle w:val="Compact"/>
        <w:numPr>
          <w:ilvl w:val="0"/>
          <w:numId w:val="41"/>
        </w:numPr>
      </w:pPr>
      <w:r>
        <w:t>The distribution of pelvic fin length is multimodal</w:t>
      </w:r>
    </w:p>
    <w:p w:rsidR="00850DA0" w:rsidRDefault="004D6D3F">
      <w:pPr>
        <w:pStyle w:val="Compact"/>
        <w:numPr>
          <w:ilvl w:val="0"/>
          <w:numId w:val="41"/>
        </w:numPr>
      </w:pPr>
      <w:r>
        <w:t>The distribution of pelvic fin length is unimodal</w:t>
      </w:r>
    </w:p>
    <w:p w:rsidR="00850DA0" w:rsidRDefault="004D6D3F">
      <w:r>
        <w:t>(Part b) The distribution of head lengths appears to be rather strange. What do you think might account for the shape of this distribution?</w:t>
      </w:r>
    </w:p>
    <w:p w:rsidR="00850DA0" w:rsidRDefault="004D6D3F">
      <w:r>
        <w:rPr>
          <w:noProof/>
        </w:rPr>
        <w:lastRenderedPageBreak/>
        <w:drawing>
          <wp:inline distT="0" distB="0" distL="0" distR="0">
            <wp:extent cx="5440680" cy="141457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olution_work.PNG"/>
                    <pic:cNvPicPr>
                      <a:picLocks noChangeAspect="1" noChangeArrowheads="1"/>
                    </pic:cNvPicPr>
                  </pic:nvPicPr>
                  <pic:blipFill>
                    <a:blip r:embed="rId12"/>
                    <a:stretch>
                      <a:fillRect/>
                    </a:stretch>
                  </pic:blipFill>
                  <pic:spPr bwMode="auto">
                    <a:xfrm>
                      <a:off x="0" y="0"/>
                      <a:ext cx="5440680" cy="1414577"/>
                    </a:xfrm>
                    <a:prstGeom prst="rect">
                      <a:avLst/>
                    </a:prstGeom>
                    <a:noFill/>
                    <a:ln w="9525">
                      <a:noFill/>
                      <a:headEnd/>
                      <a:tailEnd/>
                    </a:ln>
                  </pic:spPr>
                </pic:pic>
              </a:graphicData>
            </a:graphic>
          </wp:inline>
        </w:drawing>
      </w:r>
    </w:p>
    <w:p w:rsidR="00850DA0" w:rsidRDefault="004D6D3F">
      <w:pPr>
        <w:pStyle w:val="Heading5"/>
      </w:pPr>
      <w:r>
        <w:t>14.After reading the description below, determine whether the study is an observational or experimental study. Justify your answer by indicating the presenance (or absense) of one of the four prinicipals of experimental design</w:t>
      </w:r>
    </w:p>
    <w:p w:rsidR="00850DA0" w:rsidRDefault="004D6D3F">
      <w:r>
        <w:t>"Before expanding the regiona</w:t>
      </w:r>
      <w:r>
        <w:t>l airport, nearby children were determined to be in one of two aircraft-noise groups (i) aircraft noise at present or (ii) aircraft noise would come with the expansion. Three hundred twenty-six children (mean age = 10.4 years) took part in three data-colle</w:t>
      </w:r>
      <w:r>
        <w:t>ction waves, one before and two after the expansion of the airports. After the expansion, long-term memory and reading were found to be impaired in the group newly exposed to aircraft noise."</w:t>
      </w:r>
    </w:p>
    <w:p w:rsidR="00850DA0" w:rsidRDefault="004D6D3F">
      <w:r>
        <w:t>(Part a) Circle one: Obervational Study or Experiment</w:t>
      </w:r>
    </w:p>
    <w:p w:rsidR="00850DA0" w:rsidRDefault="004D6D3F">
      <w:r>
        <w:t>(Part b) I</w:t>
      </w:r>
      <w:r>
        <w:t>ndicate the the presenance (or absense) of a experimental prinicipal with a brief description justifying your selection in part a.</w:t>
      </w:r>
    </w:p>
    <w:p w:rsidR="00850DA0" w:rsidRDefault="004D6D3F">
      <w:r>
        <w:rPr>
          <w:noProof/>
        </w:rPr>
        <w:drawing>
          <wp:inline distT="0" distB="0" distL="0" distR="0">
            <wp:extent cx="5440680" cy="141457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olution_work.PNG"/>
                    <pic:cNvPicPr>
                      <a:picLocks noChangeAspect="1" noChangeArrowheads="1"/>
                    </pic:cNvPicPr>
                  </pic:nvPicPr>
                  <pic:blipFill>
                    <a:blip r:embed="rId12"/>
                    <a:stretch>
                      <a:fillRect/>
                    </a:stretch>
                  </pic:blipFill>
                  <pic:spPr bwMode="auto">
                    <a:xfrm>
                      <a:off x="0" y="0"/>
                      <a:ext cx="5440680" cy="1414577"/>
                    </a:xfrm>
                    <a:prstGeom prst="rect">
                      <a:avLst/>
                    </a:prstGeom>
                    <a:noFill/>
                    <a:ln w="9525">
                      <a:noFill/>
                      <a:headEnd/>
                      <a:tailEnd/>
                    </a:ln>
                  </pic:spPr>
                </pic:pic>
              </a:graphicData>
            </a:graphic>
          </wp:inline>
        </w:drawing>
      </w:r>
    </w:p>
    <w:p w:rsidR="00850DA0" w:rsidRDefault="004D6D3F">
      <w:pPr>
        <w:pStyle w:val="Heading5"/>
      </w:pPr>
      <w:bookmarkStart w:id="15" w:name="after-reading-the-description-below-dete"/>
      <w:bookmarkEnd w:id="15"/>
      <w:r>
        <w:t>15.After reading the description below, determine whether the study is an observational or experimental study. Justify your</w:t>
      </w:r>
      <w:r>
        <w:t xml:space="preserve"> answer by indicating the presenance (or absense) of one of the four prinicipals of experimental design</w:t>
      </w:r>
    </w:p>
    <w:p w:rsidR="00850DA0" w:rsidRDefault="004D6D3F">
      <w:r>
        <w:t>"A business professor divided the class into two groups. He showed students a mug and then asked students in one of the groups how much they would pay f</w:t>
      </w:r>
      <w:r>
        <w:t>or the mug. Students in the other group were asked how much they would sell the mug for if it belonged to them. Surprisingly, the average value assigned to the mug was quite different for the two groups."</w:t>
      </w:r>
    </w:p>
    <w:p w:rsidR="00850DA0" w:rsidRDefault="004D6D3F">
      <w:r>
        <w:t>(Part a) Circle one: Obervational Study or Experime</w:t>
      </w:r>
      <w:r>
        <w:t>nt</w:t>
      </w:r>
    </w:p>
    <w:p w:rsidR="00850DA0" w:rsidRDefault="004D6D3F">
      <w:r>
        <w:t>(Part b) Indicate the the presenance (or absense) of a experimental prinicipal with a brief description justifying your selection in part a.</w:t>
      </w:r>
    </w:p>
    <w:p w:rsidR="00850DA0" w:rsidRDefault="004D6D3F">
      <w:r>
        <w:rPr>
          <w:noProof/>
        </w:rPr>
        <w:lastRenderedPageBreak/>
        <w:drawing>
          <wp:inline distT="0" distB="0" distL="0" distR="0">
            <wp:extent cx="5440680" cy="1414577"/>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olution_work.PNG"/>
                    <pic:cNvPicPr>
                      <a:picLocks noChangeAspect="1" noChangeArrowheads="1"/>
                    </pic:cNvPicPr>
                  </pic:nvPicPr>
                  <pic:blipFill>
                    <a:blip r:embed="rId12"/>
                    <a:stretch>
                      <a:fillRect/>
                    </a:stretch>
                  </pic:blipFill>
                  <pic:spPr bwMode="auto">
                    <a:xfrm>
                      <a:off x="0" y="0"/>
                      <a:ext cx="5440680" cy="1414577"/>
                    </a:xfrm>
                    <a:prstGeom prst="rect">
                      <a:avLst/>
                    </a:prstGeom>
                    <a:noFill/>
                    <a:ln w="9525">
                      <a:noFill/>
                      <a:headEnd/>
                      <a:tailEnd/>
                    </a:ln>
                  </pic:spPr>
                </pic:pic>
              </a:graphicData>
            </a:graphic>
          </wp:inline>
        </w:drawing>
      </w:r>
    </w:p>
    <w:sectPr w:rsidR="00850DA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D3F" w:rsidRDefault="004D6D3F" w:rsidP="00B13A68">
      <w:pPr>
        <w:spacing w:before="0" w:after="0"/>
      </w:pPr>
      <w:r>
        <w:separator/>
      </w:r>
    </w:p>
  </w:endnote>
  <w:endnote w:type="continuationSeparator" w:id="0">
    <w:p w:rsidR="004D6D3F" w:rsidRDefault="004D6D3F" w:rsidP="00B13A6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68" w:rsidRDefault="00B13A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6" w:name="_GoBack" w:displacedByCustomXml="next"/>
  <w:bookmarkEnd w:id="16" w:displacedByCustomXml="next"/>
  <w:sdt>
    <w:sdtPr>
      <w:id w:val="-1124455867"/>
      <w:docPartObj>
        <w:docPartGallery w:val="Page Numbers (Bottom of Page)"/>
        <w:docPartUnique/>
      </w:docPartObj>
    </w:sdtPr>
    <w:sdtContent>
      <w:sdt>
        <w:sdtPr>
          <w:id w:val="1728636285"/>
          <w:docPartObj>
            <w:docPartGallery w:val="Page Numbers (Top of Page)"/>
            <w:docPartUnique/>
          </w:docPartObj>
        </w:sdtPr>
        <w:sdtContent>
          <w:p w:rsidR="00B13A68" w:rsidRDefault="00B13A68">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9</w:t>
            </w:r>
            <w:r>
              <w:rPr>
                <w:b/>
                <w:bCs/>
              </w:rPr>
              <w:fldChar w:fldCharType="end"/>
            </w:r>
          </w:p>
        </w:sdtContent>
      </w:sdt>
    </w:sdtContent>
  </w:sdt>
  <w:p w:rsidR="00B13A68" w:rsidRDefault="00B13A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68" w:rsidRDefault="00B13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D3F" w:rsidRDefault="004D6D3F" w:rsidP="00B13A68">
      <w:pPr>
        <w:spacing w:before="0" w:after="0"/>
      </w:pPr>
      <w:r>
        <w:separator/>
      </w:r>
    </w:p>
  </w:footnote>
  <w:footnote w:type="continuationSeparator" w:id="0">
    <w:p w:rsidR="004D6D3F" w:rsidRDefault="004D6D3F" w:rsidP="00B13A6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68" w:rsidRDefault="00B13A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68" w:rsidRDefault="00B13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68" w:rsidRDefault="00B13A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99C78FA"/>
    <w:multiLevelType w:val="multilevel"/>
    <w:tmpl w:val="CB9A5E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32CB367"/>
    <w:multiLevelType w:val="multilevel"/>
    <w:tmpl w:val="4778569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C0D43FA"/>
    <w:multiLevelType w:val="multilevel"/>
    <w:tmpl w:val="76200EA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D4AC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5CE054EC"/>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9A5C6B88"/>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7298CA0E"/>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2D80E842"/>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D1A2CCCA"/>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49D4C23C"/>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B1488F32"/>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D8889B82"/>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872AB58E"/>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6406CA12"/>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031A3E"/>
    <w:multiLevelType w:val="multilevel"/>
    <w:tmpl w:val="200A9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3"/>
  </w:num>
  <w:num w:numId="18">
    <w:abstractNumId w:val="11"/>
  </w:num>
  <w:num w:numId="19">
    <w:abstractNumId w:val="10"/>
  </w:num>
  <w:num w:numId="20">
    <w:abstractNumId w:val="9"/>
  </w:num>
  <w:num w:numId="21">
    <w:abstractNumId w:val="8"/>
  </w:num>
  <w:num w:numId="22">
    <w:abstractNumId w:val="12"/>
  </w:num>
  <w:num w:numId="23">
    <w:abstractNumId w:val="7"/>
  </w:num>
  <w:num w:numId="24">
    <w:abstractNumId w:val="6"/>
  </w:num>
  <w:num w:numId="25">
    <w:abstractNumId w:val="5"/>
  </w:num>
  <w:num w:numId="26">
    <w:abstractNumId w:val="4"/>
  </w:num>
  <w:num w:numId="27">
    <w:abstractNumId w:val="14"/>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D6D3F"/>
    <w:rsid w:val="004E29B3"/>
    <w:rsid w:val="00590D07"/>
    <w:rsid w:val="006A0302"/>
    <w:rsid w:val="00784D58"/>
    <w:rsid w:val="00850DA0"/>
    <w:rsid w:val="008D6863"/>
    <w:rsid w:val="00B13A6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B92EF-C50E-439D-84E4-BB106FAA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A15CF3"/>
    <w:pPr>
      <w:keepNext/>
      <w:keepLines/>
      <w:spacing w:before="200" w:after="0"/>
      <w:outlineLvl w:val="3"/>
    </w:pPr>
    <w:rPr>
      <w:rFonts w:asciiTheme="majorHAnsi" w:eastAsiaTheme="majorEastAsia" w:hAnsiTheme="majorHAnsi" w:cstheme="majorBidi"/>
      <w:b/>
      <w:bCs/>
    </w:rPr>
  </w:style>
  <w:style w:type="paragraph" w:styleId="Heading5">
    <w:name w:val="heading 5"/>
    <w:basedOn w:val="Normal"/>
    <w:next w:val="Normal"/>
    <w:uiPriority w:val="9"/>
    <w:unhideWhenUsed/>
    <w:qFormat/>
    <w:rsid w:val="00A15CF3"/>
    <w:pPr>
      <w:keepNext/>
      <w:keepLines/>
      <w:spacing w:before="200" w:after="0"/>
      <w:outlineLvl w:val="4"/>
    </w:pPr>
    <w:rPr>
      <w:rFonts w:asciiTheme="majorHAnsi" w:eastAsiaTheme="majorEastAsia" w:hAnsiTheme="majorHAnsi" w:cstheme="majorBidi"/>
      <w:iCs/>
    </w:rPr>
  </w:style>
  <w:style w:type="paragraph" w:styleId="Heading6">
    <w:name w:val="heading 6"/>
    <w:basedOn w:val="Normal"/>
    <w:next w:val="Normal"/>
    <w:link w:val="Heading6Char"/>
    <w:rsid w:val="00A15CF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A15CF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6A0302"/>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EE422C"/>
    <w:pPr>
      <w:keepNext/>
      <w:keepLines/>
      <w:jc w:val="right"/>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6Char">
    <w:name w:val="Heading 6 Char"/>
    <w:basedOn w:val="DefaultParagraphFont"/>
    <w:link w:val="Heading6"/>
    <w:rsid w:val="00A15CF3"/>
    <w:rPr>
      <w:rFonts w:asciiTheme="majorHAnsi" w:eastAsiaTheme="majorEastAsia" w:hAnsiTheme="majorHAnsi" w:cstheme="majorBidi"/>
      <w:color w:val="243F60" w:themeColor="accent1" w:themeShade="7F"/>
    </w:rPr>
  </w:style>
  <w:style w:type="character" w:customStyle="1" w:styleId="BodyTextChar1">
    <w:name w:val="Body Text Char1"/>
    <w:basedOn w:val="DefaultParagraphFont"/>
    <w:link w:val="BodyText"/>
    <w:rsid w:val="00A15CF3"/>
  </w:style>
  <w:style w:type="character" w:customStyle="1" w:styleId="Heading7Char">
    <w:name w:val="Heading 7 Char"/>
    <w:basedOn w:val="DefaultParagraphFont"/>
    <w:link w:val="Heading7"/>
    <w:rsid w:val="00A15CF3"/>
    <w:rPr>
      <w:rFonts w:asciiTheme="majorHAnsi" w:eastAsiaTheme="majorEastAsia" w:hAnsiTheme="majorHAnsi" w:cstheme="majorBidi"/>
      <w:i/>
      <w:iCs/>
      <w:color w:val="243F60" w:themeColor="accent1" w:themeShade="7F"/>
    </w:rPr>
  </w:style>
  <w:style w:type="paragraph" w:styleId="Header">
    <w:name w:val="header"/>
    <w:basedOn w:val="Normal"/>
    <w:link w:val="HeaderChar"/>
    <w:unhideWhenUsed/>
    <w:rsid w:val="00A15CF3"/>
    <w:pPr>
      <w:tabs>
        <w:tab w:val="center" w:pos="4680"/>
        <w:tab w:val="right" w:pos="9360"/>
      </w:tabs>
      <w:spacing w:before="0" w:after="0"/>
    </w:pPr>
  </w:style>
  <w:style w:type="character" w:customStyle="1" w:styleId="HeaderChar">
    <w:name w:val="Header Char"/>
    <w:basedOn w:val="DefaultParagraphFont"/>
    <w:link w:val="Header"/>
    <w:rsid w:val="00A15CF3"/>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uiPriority w:val="99"/>
    <w:unhideWhenUsed/>
    <w:rsid w:val="00B13A68"/>
    <w:pPr>
      <w:tabs>
        <w:tab w:val="center" w:pos="4680"/>
        <w:tab w:val="right" w:pos="9360"/>
      </w:tabs>
      <w:spacing w:before="0" w:after="0"/>
    </w:pPr>
  </w:style>
  <w:style w:type="character" w:customStyle="1" w:styleId="FooterChar">
    <w:name w:val="Footer Char"/>
    <w:basedOn w:val="DefaultParagraphFont"/>
    <w:link w:val="Footer"/>
    <w:uiPriority w:val="99"/>
    <w:rsid w:val="00B13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Exam One: Statistics</vt:lpstr>
    </vt:vector>
  </TitlesOfParts>
  <Company>Cerner Corporation</Company>
  <LinksUpToDate>false</LinksUpToDate>
  <CharactersWithSpaces>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One: Statistics</dc:title>
  <dc:creator>Name____________________</dc:creator>
  <cp:lastModifiedBy>Miedema,Eric</cp:lastModifiedBy>
  <cp:revision>3</cp:revision>
  <dcterms:created xsi:type="dcterms:W3CDTF">2017-01-26T04:00:00Z</dcterms:created>
  <dcterms:modified xsi:type="dcterms:W3CDTF">2017-01-26T04:01:00Z</dcterms:modified>
</cp:coreProperties>
</file>