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b w:val="1"/>
          <w:rtl w:val="0"/>
        </w:rPr>
        <w:t xml:space="preserve">Maintainability Issues</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Comments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To begin with, there were no comments whatsoever in the entire Pidgin source code. This made it difficult for the team to pinpoint exactly what function did what, and what would happen if we altered a particular function because there is a strong likelihood that one function would depend on the other and changing the dependent function would most probably cause an error in the other function. For example, when we went ahead to change a particular function in gtkaccount.c, Line 457 began to act up simply because we did not know how changing one particular function would impact that one.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The need to adapt more features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Pidgin has been an open source software since 1998. As time progresses, so does the need for changing the features of the software rises.Some features of the existing pidgin source code included the following - Not displaying a facebook user’s name whenever the user hovered over the buddy with their cursor, to not playing a sound whenever a user was calling someone, a feature that is found in most instant messaging programs to this date. What then occurs is that we are compelled to change these features so that they are more convenient and adaptable to the technological advances of the modern world. It is extremely inconvenient to a user of pidgin to operate a software that consists of the same old features/bugs because the existing code has these feature faults that make it inconvenient to a pidgin user; What if they intend to search through their chat history and they find out that they are unable to based on the existing source code? These issues were all considered at hand.</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