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D4013" w14:textId="77777777" w:rsidR="00A423A0" w:rsidRDefault="00A423A0">
      <w:pPr>
        <w:spacing w:before="2000"/>
      </w:pPr>
    </w:p>
    <w:p w14:paraId="6D7FD00C" w14:textId="77777777" w:rsidR="00A423A0" w:rsidRDefault="00000000">
      <w:pPr>
        <w:jc w:val="center"/>
      </w:pPr>
      <w:r>
        <w:rPr>
          <w:b/>
          <w:bCs/>
          <w:color w:val="808080"/>
          <w:sz w:val="28"/>
          <w:szCs w:val="28"/>
        </w:rPr>
        <w:t>PAINTFACTOR DOCTRINE</w:t>
      </w:r>
    </w:p>
    <w:p w14:paraId="5B5D5092" w14:textId="77777777" w:rsidR="00A423A0" w:rsidRDefault="00A423A0">
      <w:pPr>
        <w:spacing w:before="400"/>
      </w:pPr>
    </w:p>
    <w:p w14:paraId="25E8E6C1" w14:textId="77777777" w:rsidR="00A423A0" w:rsidRDefault="00000000">
      <w:pPr>
        <w:jc w:val="center"/>
      </w:pPr>
      <w:r>
        <w:rPr>
          <w:b/>
          <w:bCs/>
          <w:color w:val="1F4E79"/>
          <w:sz w:val="52"/>
          <w:szCs w:val="52"/>
        </w:rPr>
        <w:t>Window Systems Painting</w:t>
      </w:r>
    </w:p>
    <w:p w14:paraId="72E93B4C" w14:textId="77777777" w:rsidR="00A423A0" w:rsidRDefault="00000000">
      <w:pPr>
        <w:spacing w:before="200"/>
        <w:jc w:val="center"/>
      </w:pPr>
      <w:r>
        <w:rPr>
          <w:color w:val="404040"/>
          <w:sz w:val="28"/>
          <w:szCs w:val="28"/>
        </w:rPr>
        <w:t>Substrate Preparation, Application Methodology,</w:t>
      </w:r>
    </w:p>
    <w:p w14:paraId="7894D3DC" w14:textId="77777777" w:rsidR="00A423A0" w:rsidRDefault="00000000">
      <w:pPr>
        <w:jc w:val="center"/>
      </w:pPr>
      <w:r>
        <w:rPr>
          <w:color w:val="404040"/>
          <w:sz w:val="28"/>
          <w:szCs w:val="28"/>
        </w:rPr>
        <w:t>and Industry Standard Compliance</w:t>
      </w:r>
    </w:p>
    <w:p w14:paraId="00908581" w14:textId="77777777" w:rsidR="00A423A0" w:rsidRDefault="00A423A0">
      <w:pPr>
        <w:spacing w:before="600"/>
      </w:pPr>
    </w:p>
    <w:p w14:paraId="435E4C9A" w14:textId="77777777" w:rsidR="00A423A0" w:rsidRDefault="00000000">
      <w:pPr>
        <w:jc w:val="center"/>
      </w:pPr>
      <w:r>
        <w:rPr>
          <w:i/>
          <w:iCs/>
          <w:color w:val="808080"/>
          <w:sz w:val="24"/>
          <w:szCs w:val="24"/>
        </w:rPr>
        <w:t>Version 1.0 DRAFT</w:t>
      </w:r>
    </w:p>
    <w:p w14:paraId="13AD8644" w14:textId="77777777" w:rsidR="00A423A0" w:rsidRDefault="00000000">
      <w:pPr>
        <w:spacing w:before="100"/>
        <w:jc w:val="center"/>
      </w:pPr>
      <w:r>
        <w:rPr>
          <w:color w:val="808080"/>
        </w:rPr>
        <w:t>January 2026</w:t>
      </w:r>
    </w:p>
    <w:p w14:paraId="0304A73D" w14:textId="77777777" w:rsidR="00A423A0" w:rsidRDefault="00A423A0">
      <w:pPr>
        <w:spacing w:before="1500"/>
      </w:pPr>
    </w:p>
    <w:p w14:paraId="64907C0A" w14:textId="77777777" w:rsidR="00A423A0" w:rsidRDefault="00000000">
      <w:pPr>
        <w:jc w:val="center"/>
      </w:pPr>
      <w:r>
        <w:rPr>
          <w:color w:val="808080"/>
          <w:sz w:val="20"/>
          <w:szCs w:val="20"/>
        </w:rPr>
        <w:t xml:space="preserve">Source: </w:t>
      </w:r>
      <w:proofErr w:type="spellStart"/>
      <w:r>
        <w:rPr>
          <w:color w:val="808080"/>
          <w:sz w:val="20"/>
          <w:szCs w:val="20"/>
        </w:rPr>
        <w:t>NotebookLM</w:t>
      </w:r>
      <w:proofErr w:type="spellEnd"/>
      <w:r>
        <w:rPr>
          <w:color w:val="808080"/>
          <w:sz w:val="20"/>
          <w:szCs w:val="20"/>
        </w:rPr>
        <w:t xml:space="preserve"> Research Report</w:t>
      </w:r>
    </w:p>
    <w:p w14:paraId="15F38446" w14:textId="77777777" w:rsidR="00A423A0" w:rsidRDefault="00000000">
      <w:pPr>
        <w:jc w:val="center"/>
      </w:pPr>
      <w:r>
        <w:rPr>
          <w:i/>
          <w:iCs/>
          <w:color w:val="808080"/>
          <w:sz w:val="18"/>
          <w:szCs w:val="18"/>
        </w:rPr>
        <w:t>Comprehensive Technical Manual for Professional Architectural</w:t>
      </w:r>
    </w:p>
    <w:p w14:paraId="3A26267B" w14:textId="77777777" w:rsidR="00A423A0" w:rsidRDefault="00000000">
      <w:pPr>
        <w:jc w:val="center"/>
      </w:pPr>
      <w:r>
        <w:rPr>
          <w:i/>
          <w:iCs/>
          <w:color w:val="808080"/>
          <w:sz w:val="18"/>
          <w:szCs w:val="18"/>
        </w:rPr>
        <w:t>Coating of Residential Window Systems</w:t>
      </w:r>
    </w:p>
    <w:p w14:paraId="649F073C" w14:textId="77777777" w:rsidR="00A423A0" w:rsidRDefault="00000000">
      <w:r>
        <w:br w:type="page"/>
      </w:r>
    </w:p>
    <w:p w14:paraId="43E57EBC" w14:textId="77777777" w:rsidR="00A423A0" w:rsidRDefault="00000000">
      <w:pPr>
        <w:pStyle w:val="Heading1"/>
      </w:pPr>
      <w:r>
        <w:lastRenderedPageBreak/>
        <w:t>1. Introduction and Scope</w:t>
      </w:r>
    </w:p>
    <w:p w14:paraId="563BC863" w14:textId="77777777" w:rsidR="00A423A0" w:rsidRDefault="00000000">
      <w:pPr>
        <w:spacing w:after="120"/>
      </w:pPr>
      <w:r>
        <w:t xml:space="preserve">Window painting represents one of the most technically demanding segments of architectural finishing. Unlike broad wall surfaces, windows are complex mechanical assemblies composed of diverse substrates requiring specialized preparation and application protocols. This doctrine establishes </w:t>
      </w:r>
      <w:proofErr w:type="gramStart"/>
      <w:r>
        <w:t>the technical</w:t>
      </w:r>
      <w:proofErr w:type="gramEnd"/>
      <w:r>
        <w:t xml:space="preserve"> standards for window system coating within </w:t>
      </w:r>
      <w:proofErr w:type="spellStart"/>
      <w:r>
        <w:t>PaintFactor</w:t>
      </w:r>
      <w:proofErr w:type="spellEnd"/>
      <w:r>
        <w:t xml:space="preserve"> specifications.</w:t>
      </w:r>
    </w:p>
    <w:p w14:paraId="4E8372DA" w14:textId="77777777" w:rsidR="00A423A0" w:rsidRDefault="00000000">
      <w:pPr>
        <w:pStyle w:val="Heading2"/>
      </w:pPr>
      <w:r>
        <w:t>1.1 Governing Standards</w:t>
      </w:r>
    </w:p>
    <w:p w14:paraId="23D9FCD3" w14:textId="77777777" w:rsidR="00A423A0" w:rsidRDefault="00000000">
      <w:pPr>
        <w:spacing w:after="120"/>
      </w:pPr>
      <w:r>
        <w:t>All window painting specifications shall comply with PCA (Painting Contractors Association) Industry Standards P1 through P25 and AAMA (American Architectural Manufacturers Association) performance specifications for metallic substrates.</w:t>
      </w:r>
    </w:p>
    <w:p w14:paraId="7CC4E624" w14:textId="77777777" w:rsidR="00A423A0" w:rsidRDefault="00000000">
      <w:pPr>
        <w:pStyle w:val="Heading2"/>
      </w:pPr>
      <w:r>
        <w:t>1.2 Definition of Properly Painted Surface</w:t>
      </w:r>
    </w:p>
    <w:p w14:paraId="28BDFBD3" w14:textId="77777777" w:rsidR="00A423A0" w:rsidRDefault="00000000">
      <w:pPr>
        <w:spacing w:after="120"/>
      </w:pPr>
      <w:r>
        <w:t>Per PCA/FCA unified standards, a properly painted surface exhibits uniform appearance in color, texture, hiding, and sheen. The film shall be virtually free of foreign material, lumps, skins, runs, sags, holidays, and misses. Surrounding environment shall be free of drips, spatters, spills, or overspray.</w:t>
      </w:r>
    </w:p>
    <w:p w14:paraId="1B72942A" w14:textId="77777777" w:rsidR="00A423A0" w:rsidRDefault="00000000">
      <w:pPr>
        <w:pStyle w:val="Heading3"/>
      </w:pPr>
      <w:r>
        <w:t>1.2.1 Inspection Protocol</w:t>
      </w:r>
    </w:p>
    <w:p w14:paraId="15AABFD0" w14:textId="77777777" w:rsidR="00A423A0" w:rsidRDefault="00000000">
      <w:pPr>
        <w:pStyle w:val="ListParagraph"/>
        <w:numPr>
          <w:ilvl w:val="0"/>
          <w:numId w:val="2"/>
        </w:numPr>
        <w:spacing w:after="80"/>
      </w:pPr>
      <w:r>
        <w:t>Inspection distance: 39 inches (1 meter) minimum, without magnification</w:t>
      </w:r>
    </w:p>
    <w:p w14:paraId="528D5D03" w14:textId="77777777" w:rsidR="00A423A0" w:rsidRDefault="00000000">
      <w:pPr>
        <w:pStyle w:val="ListParagraph"/>
        <w:numPr>
          <w:ilvl w:val="0"/>
          <w:numId w:val="2"/>
        </w:numPr>
        <w:spacing w:after="80"/>
      </w:pPr>
      <w:r>
        <w:t>Lighting: Finished lighting conditions (as occupied)</w:t>
      </w:r>
    </w:p>
    <w:p w14:paraId="14361CC0" w14:textId="77777777" w:rsidR="00A423A0" w:rsidRDefault="00000000">
      <w:pPr>
        <w:pStyle w:val="ListParagraph"/>
        <w:numPr>
          <w:ilvl w:val="0"/>
          <w:numId w:val="2"/>
        </w:numPr>
        <w:spacing w:after="120"/>
      </w:pPr>
      <w:r>
        <w:t>Position: Normal viewing position (eye level)</w:t>
      </w:r>
    </w:p>
    <w:p w14:paraId="7AF9B15C" w14:textId="77777777" w:rsidR="00A423A0" w:rsidRDefault="00000000">
      <w:r>
        <w:br w:type="page"/>
      </w:r>
    </w:p>
    <w:p w14:paraId="58161ECA" w14:textId="77777777" w:rsidR="00A423A0" w:rsidRDefault="00000000">
      <w:pPr>
        <w:pStyle w:val="Heading1"/>
      </w:pPr>
      <w:r>
        <w:lastRenderedPageBreak/>
        <w:t>2. PCA Industry Standards Reference</w:t>
      </w:r>
    </w:p>
    <w:p w14:paraId="63A81BB3" w14:textId="77777777" w:rsidR="00A423A0" w:rsidRDefault="00000000">
      <w:pPr>
        <w:spacing w:after="120"/>
      </w:pPr>
      <w:r>
        <w:t>The following PCA standards govern window painting contracts and quality expectations: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8"/>
      </w:tblGrid>
      <w:tr w:rsidR="00A423A0" w14:paraId="63F2DA8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33B8695" w14:textId="77777777" w:rsidR="00A423A0" w:rsidRDefault="00000000">
            <w:r>
              <w:rPr>
                <w:b/>
                <w:bCs/>
                <w:color w:val="FFFFFF"/>
                <w:sz w:val="20"/>
                <w:szCs w:val="20"/>
              </w:rPr>
              <w:t>Standard</w:t>
            </w:r>
          </w:p>
        </w:tc>
        <w:tc>
          <w:tcPr>
            <w:tcW w:w="7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DA6D2D3" w14:textId="77777777" w:rsidR="00A423A0" w:rsidRDefault="00000000">
            <w:r>
              <w:rPr>
                <w:b/>
                <w:bCs/>
                <w:color w:val="FFFFFF"/>
                <w:sz w:val="20"/>
                <w:szCs w:val="20"/>
              </w:rPr>
              <w:t>Subject Matter and Application</w:t>
            </w:r>
          </w:p>
        </w:tc>
      </w:tr>
      <w:tr w:rsidR="00A423A0" w14:paraId="4A68094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6E3EE" w14:textId="77777777" w:rsidR="00A423A0" w:rsidRDefault="00000000">
            <w:r>
              <w:rPr>
                <w:b/>
                <w:bCs/>
                <w:sz w:val="20"/>
                <w:szCs w:val="20"/>
              </w:rPr>
              <w:t>PCA P1</w:t>
            </w:r>
          </w:p>
        </w:tc>
        <w:tc>
          <w:tcPr>
            <w:tcW w:w="7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30EB4" w14:textId="77777777" w:rsidR="00A423A0" w:rsidRDefault="00000000">
            <w:r>
              <w:rPr>
                <w:sz w:val="20"/>
                <w:szCs w:val="20"/>
              </w:rPr>
              <w:t>Definition of Properly Painted Surface; touch-up and damage repair protocols</w:t>
            </w:r>
          </w:p>
        </w:tc>
      </w:tr>
      <w:tr w:rsidR="00A423A0" w14:paraId="7BA1F88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3996C2" w14:textId="77777777" w:rsidR="00A423A0" w:rsidRDefault="00000000">
            <w:r>
              <w:rPr>
                <w:b/>
                <w:bCs/>
                <w:sz w:val="20"/>
                <w:szCs w:val="20"/>
              </w:rPr>
              <w:t>PCA P2</w:t>
            </w:r>
          </w:p>
        </w:tc>
        <w:tc>
          <w:tcPr>
            <w:tcW w:w="7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594468" w14:textId="77777777" w:rsidR="00A423A0" w:rsidRDefault="00000000">
            <w:r>
              <w:rPr>
                <w:sz w:val="20"/>
                <w:szCs w:val="20"/>
              </w:rPr>
              <w:t>Third-party inspector qualifications and responsibilities</w:t>
            </w:r>
          </w:p>
        </w:tc>
      </w:tr>
      <w:tr w:rsidR="00A423A0" w14:paraId="55FBC82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C886CD" w14:textId="77777777" w:rsidR="00A423A0" w:rsidRDefault="00000000">
            <w:r>
              <w:rPr>
                <w:b/>
                <w:bCs/>
                <w:sz w:val="20"/>
                <w:szCs w:val="20"/>
              </w:rPr>
              <w:t>PCA P3</w:t>
            </w:r>
          </w:p>
        </w:tc>
        <w:tc>
          <w:tcPr>
            <w:tcW w:w="7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81F0C" w14:textId="77777777" w:rsidR="00A423A0" w:rsidRDefault="00000000">
            <w:r>
              <w:rPr>
                <w:sz w:val="20"/>
                <w:szCs w:val="20"/>
              </w:rPr>
              <w:t>Cost impact of multiple colors and finish types (estimation relevance)</w:t>
            </w:r>
          </w:p>
        </w:tc>
      </w:tr>
      <w:tr w:rsidR="00A423A0" w14:paraId="3CDB782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3A743C" w14:textId="77777777" w:rsidR="00A423A0" w:rsidRDefault="00000000">
            <w:r>
              <w:rPr>
                <w:b/>
                <w:bCs/>
                <w:sz w:val="20"/>
                <w:szCs w:val="20"/>
              </w:rPr>
              <w:t>PCA P4</w:t>
            </w:r>
          </w:p>
        </w:tc>
        <w:tc>
          <w:tcPr>
            <w:tcW w:w="7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89E322" w14:textId="77777777" w:rsidR="00A423A0" w:rsidRDefault="00000000">
            <w:r>
              <w:rPr>
                <w:sz w:val="20"/>
                <w:szCs w:val="20"/>
              </w:rPr>
              <w:t>Surface inspection and approval responsibility prior to coating</w:t>
            </w:r>
          </w:p>
        </w:tc>
      </w:tr>
      <w:tr w:rsidR="00A423A0" w14:paraId="03A63A1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9E349B" w14:textId="77777777" w:rsidR="00A423A0" w:rsidRDefault="00000000">
            <w:r>
              <w:rPr>
                <w:b/>
                <w:bCs/>
                <w:sz w:val="20"/>
                <w:szCs w:val="20"/>
              </w:rPr>
              <w:t>PCA P5</w:t>
            </w:r>
          </w:p>
        </w:tc>
        <w:tc>
          <w:tcPr>
            <w:tcW w:w="7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50B7B" w14:textId="77777777" w:rsidR="00A423A0" w:rsidRDefault="00000000">
            <w:r>
              <w:rPr>
                <w:sz w:val="20"/>
                <w:szCs w:val="20"/>
              </w:rPr>
              <w:t>Benchmark sample submission and approval protocols</w:t>
            </w:r>
          </w:p>
        </w:tc>
      </w:tr>
      <w:tr w:rsidR="00A423A0" w14:paraId="3D633CE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102881" w14:textId="77777777" w:rsidR="00A423A0" w:rsidRDefault="00000000">
            <w:r>
              <w:rPr>
                <w:b/>
                <w:bCs/>
                <w:sz w:val="20"/>
                <w:szCs w:val="20"/>
              </w:rPr>
              <w:t>PCA P7</w:t>
            </w:r>
          </w:p>
        </w:tc>
        <w:tc>
          <w:tcPr>
            <w:tcW w:w="7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EE98A8" w14:textId="77777777" w:rsidR="00A423A0" w:rsidRDefault="00000000">
            <w:r>
              <w:rPr>
                <w:sz w:val="20"/>
                <w:szCs w:val="20"/>
              </w:rPr>
              <w:t>Order of work between trades</w:t>
            </w:r>
          </w:p>
        </w:tc>
      </w:tr>
      <w:tr w:rsidR="00A423A0" w14:paraId="024888B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25060C" w14:textId="77777777" w:rsidR="00A423A0" w:rsidRDefault="00000000">
            <w:r>
              <w:rPr>
                <w:b/>
                <w:bCs/>
                <w:sz w:val="20"/>
                <w:szCs w:val="20"/>
              </w:rPr>
              <w:t>PCA P9</w:t>
            </w:r>
          </w:p>
        </w:tc>
        <w:tc>
          <w:tcPr>
            <w:tcW w:w="7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65CBCE" w14:textId="77777777" w:rsidR="00A423A0" w:rsidRDefault="00000000">
            <w:r>
              <w:rPr>
                <w:sz w:val="20"/>
                <w:szCs w:val="20"/>
              </w:rPr>
              <w:t>Trade terminology definitions for scope of work</w:t>
            </w:r>
          </w:p>
        </w:tc>
      </w:tr>
      <w:tr w:rsidR="00A423A0" w14:paraId="2B58EF0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B07C2A" w14:textId="77777777" w:rsidR="00A423A0" w:rsidRDefault="00000000">
            <w:r>
              <w:rPr>
                <w:b/>
                <w:bCs/>
                <w:sz w:val="20"/>
                <w:szCs w:val="20"/>
              </w:rPr>
              <w:t>PCA P14</w:t>
            </w:r>
          </w:p>
        </w:tc>
        <w:tc>
          <w:tcPr>
            <w:tcW w:w="7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9821E4" w14:textId="77777777" w:rsidR="00A423A0" w:rsidRDefault="00000000">
            <w:r>
              <w:rPr>
                <w:sz w:val="20"/>
                <w:szCs w:val="20"/>
              </w:rPr>
              <w:t>Surface preparation levels for repainting/maintenance</w:t>
            </w:r>
          </w:p>
        </w:tc>
      </w:tr>
      <w:tr w:rsidR="00A423A0" w14:paraId="66EED97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60F00" w14:textId="77777777" w:rsidR="00A423A0" w:rsidRDefault="00000000">
            <w:r>
              <w:rPr>
                <w:b/>
                <w:bCs/>
                <w:sz w:val="20"/>
                <w:szCs w:val="20"/>
              </w:rPr>
              <w:t>PCA P24</w:t>
            </w:r>
          </w:p>
        </w:tc>
        <w:tc>
          <w:tcPr>
            <w:tcW w:w="7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0A1C5C" w14:textId="77777777" w:rsidR="00A423A0" w:rsidRDefault="00000000">
            <w:r>
              <w:rPr>
                <w:sz w:val="20"/>
                <w:szCs w:val="20"/>
              </w:rPr>
              <w:t>Spot repair inspection and acceptance procedures</w:t>
            </w:r>
          </w:p>
        </w:tc>
      </w:tr>
    </w:tbl>
    <w:p w14:paraId="7418FD6C" w14:textId="77777777" w:rsidR="00A423A0" w:rsidRDefault="00000000">
      <w:r>
        <w:br w:type="page"/>
      </w:r>
    </w:p>
    <w:p w14:paraId="7DBF009B" w14:textId="77777777" w:rsidR="00A423A0" w:rsidRDefault="00000000">
      <w:pPr>
        <w:pStyle w:val="Heading1"/>
      </w:pPr>
      <w:r>
        <w:lastRenderedPageBreak/>
        <w:t>3. Wood Window Systems</w:t>
      </w:r>
    </w:p>
    <w:p w14:paraId="23873B90" w14:textId="77777777" w:rsidR="00A423A0" w:rsidRDefault="00000000">
      <w:pPr>
        <w:spacing w:after="120"/>
      </w:pPr>
      <w:r>
        <w:t>Wood remains predominant in high-end residential construction due to thermal efficiency and aesthetic versatility. Its hygroscopic nature requires careful moisture management to prevent dimensional instability and biological decay.</w:t>
      </w:r>
    </w:p>
    <w:p w14:paraId="1604C387" w14:textId="77777777" w:rsidR="00A423A0" w:rsidRDefault="00000000">
      <w:pPr>
        <w:pStyle w:val="Heading2"/>
      </w:pPr>
      <w:r>
        <w:t>3.1 Moisture Requirements</w:t>
      </w:r>
    </w:p>
    <w:p w14:paraId="4FCDDF12" w14:textId="77777777" w:rsidR="00A423A0" w:rsidRDefault="00000000">
      <w:pPr>
        <w:spacing w:after="120"/>
      </w:pPr>
      <w:r>
        <w:rPr>
          <w:b/>
          <w:bCs/>
        </w:rPr>
        <w:t xml:space="preserve">Maximum Moisture Content: </w:t>
      </w:r>
      <w:r>
        <w:t>19% before painting</w:t>
      </w:r>
    </w:p>
    <w:p w14:paraId="27F384E4" w14:textId="77777777" w:rsidR="00A423A0" w:rsidRDefault="00000000">
      <w:pPr>
        <w:spacing w:after="120"/>
      </w:pPr>
      <w:r>
        <w:rPr>
          <w:b/>
          <w:bCs/>
        </w:rPr>
        <w:t xml:space="preserve">Interior Joinery (heated): </w:t>
      </w:r>
      <w:r>
        <w:t>6% to 8% MC</w:t>
      </w:r>
    </w:p>
    <w:p w14:paraId="443DE004" w14:textId="77777777" w:rsidR="00A423A0" w:rsidRDefault="00000000">
      <w:pPr>
        <w:spacing w:after="120"/>
      </w:pPr>
      <w:r>
        <w:rPr>
          <w:b/>
          <w:bCs/>
        </w:rPr>
        <w:t xml:space="preserve">Exterior Envelope: </w:t>
      </w:r>
      <w:r>
        <w:t>9% to 14% MC</w:t>
      </w:r>
    </w:p>
    <w:p w14:paraId="14C7D458" w14:textId="77777777" w:rsidR="00A423A0" w:rsidRDefault="00000000">
      <w:pPr>
        <w:pStyle w:val="Heading3"/>
      </w:pPr>
      <w:r>
        <w:t>3.1.1 Testing Methods</w:t>
      </w:r>
    </w:p>
    <w:p w14:paraId="5129F41B" w14:textId="77777777" w:rsidR="00A423A0" w:rsidRDefault="00000000">
      <w:pPr>
        <w:pStyle w:val="ListParagraph"/>
        <w:numPr>
          <w:ilvl w:val="0"/>
          <w:numId w:val="2"/>
        </w:numPr>
        <w:spacing w:after="80"/>
      </w:pPr>
      <w:r>
        <w:t>Pin-type meters: Measure electrical resistance at depth</w:t>
      </w:r>
    </w:p>
    <w:p w14:paraId="51869C3B" w14:textId="77777777" w:rsidR="00A423A0" w:rsidRDefault="00000000">
      <w:pPr>
        <w:pStyle w:val="ListParagraph"/>
        <w:numPr>
          <w:ilvl w:val="0"/>
          <w:numId w:val="2"/>
        </w:numPr>
        <w:spacing w:after="80"/>
      </w:pPr>
      <w:r>
        <w:t>Pin-less meters: Non-destructive surface readings</w:t>
      </w:r>
    </w:p>
    <w:p w14:paraId="342456E8" w14:textId="77777777" w:rsidR="00A423A0" w:rsidRDefault="00000000">
      <w:pPr>
        <w:pStyle w:val="ListParagraph"/>
        <w:numPr>
          <w:ilvl w:val="0"/>
          <w:numId w:val="2"/>
        </w:numPr>
        <w:spacing w:after="120"/>
      </w:pPr>
      <w:r>
        <w:t>Pencil test: For "dozy" wood (soft/rotting fibers), determines decay depth</w:t>
      </w:r>
    </w:p>
    <w:p w14:paraId="7126C317" w14:textId="77777777" w:rsidR="00A423A0" w:rsidRDefault="00000000">
      <w:pPr>
        <w:spacing w:after="120"/>
      </w:pPr>
      <w:r>
        <w:t>Soft or rotted wood must be removed and replaced with new timber sections or professional joiner splices before painting can proceed.</w:t>
      </w:r>
    </w:p>
    <w:p w14:paraId="77174E20" w14:textId="77777777" w:rsidR="00A423A0" w:rsidRDefault="00000000">
      <w:pPr>
        <w:pStyle w:val="Heading2"/>
      </w:pPr>
      <w:r>
        <w:t>3.2 Sanding Sequence</w:t>
      </w:r>
    </w:p>
    <w:p w14:paraId="541D1CBB" w14:textId="77777777" w:rsidR="00A423A0" w:rsidRDefault="00000000">
      <w:pPr>
        <w:spacing w:after="120"/>
      </w:pPr>
      <w:r>
        <w:t>The Golden Rule: Never skip more than one grit in a sequence. This ensures scratches from the previous grit are effectively leveled.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1800"/>
        <w:gridCol w:w="5059"/>
      </w:tblGrid>
      <w:tr w:rsidR="00A423A0" w14:paraId="49D213B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BE41C8E" w14:textId="77777777" w:rsidR="00A423A0" w:rsidRDefault="00000000">
            <w:r>
              <w:rPr>
                <w:b/>
                <w:bCs/>
                <w:color w:val="FFFFFF"/>
                <w:sz w:val="20"/>
                <w:szCs w:val="20"/>
              </w:rPr>
              <w:t>Stage</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9285FA1" w14:textId="77777777" w:rsidR="00A423A0" w:rsidRDefault="00000000">
            <w:r>
              <w:rPr>
                <w:b/>
                <w:bCs/>
                <w:color w:val="FFFFFF"/>
                <w:sz w:val="20"/>
                <w:szCs w:val="20"/>
              </w:rPr>
              <w:t>Grit</w:t>
            </w:r>
          </w:p>
        </w:tc>
        <w:tc>
          <w:tcPr>
            <w:tcW w:w="5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CE9A0FF" w14:textId="77777777" w:rsidR="00A423A0" w:rsidRDefault="00000000">
            <w:r>
              <w:rPr>
                <w:b/>
                <w:bCs/>
                <w:color w:val="FFFFFF"/>
                <w:sz w:val="20"/>
                <w:szCs w:val="20"/>
              </w:rPr>
              <w:t>Purpose</w:t>
            </w:r>
          </w:p>
        </w:tc>
      </w:tr>
      <w:tr w:rsidR="00A423A0" w14:paraId="416BEA9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ABBA8" w14:textId="77777777" w:rsidR="00A423A0" w:rsidRDefault="00000000">
            <w:r>
              <w:rPr>
                <w:sz w:val="20"/>
                <w:szCs w:val="20"/>
              </w:rPr>
              <w:t>Initial Stripping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DD8A7" w14:textId="77777777" w:rsidR="00A423A0" w:rsidRDefault="00000000">
            <w:r>
              <w:rPr>
                <w:sz w:val="20"/>
                <w:szCs w:val="20"/>
              </w:rPr>
              <w:t>60-80</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D301F" w14:textId="77777777" w:rsidR="00A423A0" w:rsidRDefault="00000000">
            <w:r>
              <w:rPr>
                <w:sz w:val="20"/>
                <w:szCs w:val="20"/>
              </w:rPr>
              <w:t>Heavy removal of failed/peeling paint, thick varnish</w:t>
            </w:r>
          </w:p>
        </w:tc>
      </w:tr>
      <w:tr w:rsidR="00A423A0" w14:paraId="49337EC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1411E0" w14:textId="77777777" w:rsidR="00A423A0" w:rsidRDefault="00000000">
            <w:r>
              <w:rPr>
                <w:sz w:val="20"/>
                <w:szCs w:val="20"/>
              </w:rPr>
              <w:t>Smoothing</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FEA8D8" w14:textId="77777777" w:rsidR="00A423A0" w:rsidRDefault="00000000">
            <w:r>
              <w:rPr>
                <w:sz w:val="20"/>
                <w:szCs w:val="20"/>
              </w:rPr>
              <w:t>100-120</w:t>
            </w:r>
          </w:p>
        </w:tc>
        <w:tc>
          <w:tcPr>
            <w:tcW w:w="5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A06AF0" w14:textId="77777777" w:rsidR="00A423A0" w:rsidRDefault="00000000">
            <w:r>
              <w:rPr>
                <w:sz w:val="20"/>
                <w:szCs w:val="20"/>
              </w:rPr>
              <w:t>Leveling surface, removing post-strip imperfections</w:t>
            </w:r>
          </w:p>
        </w:tc>
      </w:tr>
      <w:tr w:rsidR="00A423A0" w14:paraId="383A881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93B9C3" w14:textId="77777777" w:rsidR="00A423A0" w:rsidRDefault="00000000">
            <w:r>
              <w:rPr>
                <w:sz w:val="20"/>
                <w:szCs w:val="20"/>
              </w:rPr>
              <w:t>Pre-Primer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4A5863" w14:textId="77777777" w:rsidR="00A423A0" w:rsidRDefault="00000000">
            <w:r>
              <w:rPr>
                <w:sz w:val="20"/>
                <w:szCs w:val="20"/>
              </w:rPr>
              <w:t>150-180</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2DB30C" w14:textId="77777777" w:rsidR="00A423A0" w:rsidRDefault="00000000">
            <w:r>
              <w:rPr>
                <w:sz w:val="20"/>
                <w:szCs w:val="20"/>
              </w:rPr>
              <w:t>Smoothing grain for initial coating (polyurethane/enamel)</w:t>
            </w:r>
          </w:p>
        </w:tc>
      </w:tr>
      <w:tr w:rsidR="00A423A0" w14:paraId="5ACACAA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846F37" w14:textId="77777777" w:rsidR="00A423A0" w:rsidRDefault="00000000">
            <w:r>
              <w:rPr>
                <w:sz w:val="20"/>
                <w:szCs w:val="20"/>
              </w:rPr>
              <w:t>Final Surface Prep</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AB710A" w14:textId="77777777" w:rsidR="00A423A0" w:rsidRDefault="00000000">
            <w:r>
              <w:rPr>
                <w:sz w:val="20"/>
                <w:szCs w:val="20"/>
              </w:rPr>
              <w:t>220</w:t>
            </w:r>
          </w:p>
        </w:tc>
        <w:tc>
          <w:tcPr>
            <w:tcW w:w="5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1C613B" w14:textId="5D375220" w:rsidR="00A423A0" w:rsidRDefault="00000000">
            <w:r>
              <w:rPr>
                <w:sz w:val="20"/>
                <w:szCs w:val="20"/>
              </w:rPr>
              <w:t>Final sand of bare wood before primer; ensures even absorption</w:t>
            </w:r>
            <w:r w:rsidR="00B92B5D">
              <w:rPr>
                <w:sz w:val="20"/>
                <w:szCs w:val="20"/>
              </w:rPr>
              <w:t xml:space="preserve"> (</w:t>
            </w:r>
            <w:r w:rsidR="00B92B5D" w:rsidRPr="00B92B5D">
              <w:rPr>
                <w:i/>
                <w:iCs/>
                <w:color w:val="EE0000"/>
                <w:sz w:val="20"/>
                <w:szCs w:val="20"/>
              </w:rPr>
              <w:t>QT-4 and up)</w:t>
            </w:r>
          </w:p>
        </w:tc>
      </w:tr>
      <w:tr w:rsidR="00A423A0" w14:paraId="152F63A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E6288" w14:textId="77777777" w:rsidR="00A423A0" w:rsidRDefault="00000000">
            <w:r>
              <w:rPr>
                <w:sz w:val="20"/>
                <w:szCs w:val="20"/>
              </w:rPr>
              <w:t>Between-Coat Scuff</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6D5C4" w14:textId="77777777" w:rsidR="00A423A0" w:rsidRDefault="00000000">
            <w:r>
              <w:rPr>
                <w:sz w:val="20"/>
                <w:szCs w:val="20"/>
              </w:rPr>
              <w:t>320</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3C2A8" w14:textId="3D34EFB2" w:rsidR="00A423A0" w:rsidRDefault="00000000">
            <w:r>
              <w:rPr>
                <w:sz w:val="20"/>
                <w:szCs w:val="20"/>
              </w:rPr>
              <w:t>Smoothing primer/first coat; removes raised fibers (nibs)</w:t>
            </w:r>
            <w:r w:rsidR="00B92B5D">
              <w:rPr>
                <w:sz w:val="20"/>
                <w:szCs w:val="20"/>
              </w:rPr>
              <w:t xml:space="preserve"> </w:t>
            </w:r>
            <w:r w:rsidR="00B92B5D" w:rsidRPr="00B92B5D">
              <w:rPr>
                <w:i/>
                <w:iCs/>
                <w:color w:val="EE0000"/>
                <w:sz w:val="20"/>
                <w:szCs w:val="20"/>
              </w:rPr>
              <w:t>(QT-4 and up)</w:t>
            </w:r>
          </w:p>
        </w:tc>
      </w:tr>
    </w:tbl>
    <w:p w14:paraId="560EAF1F" w14:textId="77777777" w:rsidR="00A423A0" w:rsidRDefault="00A423A0">
      <w:pPr>
        <w:spacing w:before="200"/>
      </w:pPr>
    </w:p>
    <w:p w14:paraId="0C610D9C" w14:textId="77777777" w:rsidR="00A423A0" w:rsidRDefault="00000000">
      <w:pPr>
        <w:pStyle w:val="Heading3"/>
      </w:pPr>
      <w:r>
        <w:t>3.2.1 Wood Species Considerations</w:t>
      </w:r>
    </w:p>
    <w:p w14:paraId="0253C8E1" w14:textId="77777777" w:rsidR="00A423A0" w:rsidRDefault="00000000">
      <w:pPr>
        <w:pStyle w:val="ListParagraph"/>
        <w:numPr>
          <w:ilvl w:val="0"/>
          <w:numId w:val="2"/>
        </w:numPr>
        <w:spacing w:after="80"/>
      </w:pPr>
      <w:r>
        <w:t xml:space="preserve">Softwoods (pine, alder): Start at 120 </w:t>
      </w:r>
      <w:proofErr w:type="gramStart"/>
      <w:r>
        <w:t>grit</w:t>
      </w:r>
      <w:proofErr w:type="gramEnd"/>
      <w:r>
        <w:t>, finish at 220 (water-based) or 180 (oil-based)</w:t>
      </w:r>
    </w:p>
    <w:p w14:paraId="634E23D9" w14:textId="77777777" w:rsidR="00A423A0" w:rsidRDefault="00000000">
      <w:pPr>
        <w:pStyle w:val="ListParagraph"/>
        <w:numPr>
          <w:ilvl w:val="0"/>
          <w:numId w:val="2"/>
        </w:numPr>
        <w:spacing w:after="120"/>
      </w:pPr>
      <w:r>
        <w:t>Hardwoods (oak, maple): Final sand at 150-180 grit to prevent burnishing</w:t>
      </w:r>
    </w:p>
    <w:p w14:paraId="47C219F2" w14:textId="77777777" w:rsidR="00A423A0" w:rsidRDefault="00000000">
      <w:r>
        <w:br w:type="page"/>
      </w:r>
    </w:p>
    <w:p w14:paraId="7C6A28C9" w14:textId="77777777" w:rsidR="00A423A0" w:rsidRDefault="00000000">
      <w:pPr>
        <w:pStyle w:val="Heading1"/>
      </w:pPr>
      <w:r>
        <w:lastRenderedPageBreak/>
        <w:t>4. Muntin and Glass Interface Techniques</w:t>
      </w:r>
    </w:p>
    <w:p w14:paraId="0FAB98FD" w14:textId="77777777" w:rsidR="00A423A0" w:rsidRDefault="00000000">
      <w:pPr>
        <w:spacing w:after="120"/>
      </w:pPr>
      <w:proofErr w:type="spellStart"/>
      <w:r>
        <w:t>Muntins</w:t>
      </w:r>
      <w:proofErr w:type="spellEnd"/>
      <w:r>
        <w:t xml:space="preserve"> (narrow wood strips separating panes) represent the most labor-intensive window painting component, requiring both precision and weather-sealing strategy.</w:t>
      </w:r>
    </w:p>
    <w:p w14:paraId="4518E007" w14:textId="77777777" w:rsidR="00A423A0" w:rsidRDefault="00000000">
      <w:pPr>
        <w:pStyle w:val="Heading2"/>
      </w:pPr>
      <w:r>
        <w:t>4.1 The 1/16-Inch Seal Technique</w:t>
      </w:r>
    </w:p>
    <w:p w14:paraId="66573645" w14:textId="77777777" w:rsidR="00A423A0" w:rsidRDefault="00000000">
      <w:pPr>
        <w:spacing w:after="120"/>
      </w:pPr>
      <w:r>
        <w:t>Professional contractors apply paint slightly onto the glass pane by approximately 1/16 inch. This is not a mistake but a functional requirement that creates an airtight seal between glass and wood/glazing putty, preventing moisture infiltration and premature rot.</w:t>
      </w:r>
    </w:p>
    <w:p w14:paraId="3AC9EB14" w14:textId="77777777" w:rsidR="00A423A0" w:rsidRDefault="00000000">
      <w:pPr>
        <w:pStyle w:val="Heading3"/>
      </w:pPr>
      <w:r>
        <w:t>4.1.1 Execution Protocol</w:t>
      </w:r>
    </w:p>
    <w:p w14:paraId="6F4C3B53" w14:textId="77777777" w:rsidR="00A423A0" w:rsidRDefault="00000000">
      <w:pPr>
        <w:pStyle w:val="ListParagraph"/>
        <w:numPr>
          <w:ilvl w:val="0"/>
          <w:numId w:val="3"/>
        </w:numPr>
        <w:spacing w:after="80"/>
      </w:pPr>
      <w:r>
        <w:t>Cut in paint overlapping glass by 1/16 inch</w:t>
      </w:r>
    </w:p>
    <w:p w14:paraId="5A8CCFEB" w14:textId="77777777" w:rsidR="00A423A0" w:rsidRDefault="00000000">
      <w:pPr>
        <w:pStyle w:val="ListParagraph"/>
        <w:numPr>
          <w:ilvl w:val="0"/>
          <w:numId w:val="3"/>
        </w:numPr>
        <w:spacing w:after="80"/>
      </w:pPr>
      <w:r>
        <w:t>Allow paint to fully dry</w:t>
      </w:r>
    </w:p>
    <w:p w14:paraId="67115272" w14:textId="77777777" w:rsidR="00A423A0" w:rsidRDefault="00000000">
      <w:pPr>
        <w:pStyle w:val="ListParagraph"/>
        <w:numPr>
          <w:ilvl w:val="0"/>
          <w:numId w:val="3"/>
        </w:numPr>
        <w:spacing w:after="80"/>
      </w:pPr>
      <w:r>
        <w:t>Score a straight line on glass using sharp razor blade with putty knife guide</w:t>
      </w:r>
    </w:p>
    <w:p w14:paraId="1E94C4B8" w14:textId="77777777" w:rsidR="00A423A0" w:rsidRDefault="00000000">
      <w:pPr>
        <w:pStyle w:val="ListParagraph"/>
        <w:numPr>
          <w:ilvl w:val="0"/>
          <w:numId w:val="3"/>
        </w:numPr>
        <w:spacing w:after="120"/>
      </w:pPr>
      <w:r>
        <w:t>Scrape away excess paint from glass</w:t>
      </w:r>
    </w:p>
    <w:p w14:paraId="4C4B907F" w14:textId="77777777" w:rsidR="00A423A0" w:rsidRDefault="00000000">
      <w:pPr>
        <w:pStyle w:val="Heading2"/>
      </w:pPr>
      <w:r>
        <w:t>4.2 Liquid Masking Technology</w:t>
      </w:r>
    </w:p>
    <w:p w14:paraId="09F3472F" w14:textId="77777777" w:rsidR="00A423A0" w:rsidRDefault="00000000">
      <w:pPr>
        <w:spacing w:after="120"/>
      </w:pPr>
      <w:r>
        <w:t>Liquid masking agents (e.</w:t>
      </w:r>
      <w:proofErr w:type="gramStart"/>
      <w:r>
        <w:t>g.,</w:t>
      </w:r>
      <w:proofErr w:type="gramEnd"/>
      <w:r>
        <w:t xml:space="preserve"> Masking Liquid H2O, Jasco Mask &amp; Peel) provide significant efficiency gains for multi-pane Colonial-style windows.</w:t>
      </w:r>
    </w:p>
    <w:p w14:paraId="54FE90E4" w14:textId="77777777" w:rsidR="00A423A0" w:rsidRDefault="00000000">
      <w:pPr>
        <w:pStyle w:val="Heading3"/>
      </w:pPr>
      <w:r>
        <w:t>4.2.1 Application Process</w:t>
      </w:r>
    </w:p>
    <w:p w14:paraId="45096B38" w14:textId="77777777" w:rsidR="00A423A0" w:rsidRDefault="00000000">
      <w:pPr>
        <w:pStyle w:val="ListParagraph"/>
        <w:numPr>
          <w:ilvl w:val="0"/>
          <w:numId w:val="3"/>
        </w:numPr>
        <w:spacing w:after="80"/>
      </w:pPr>
      <w:r>
        <w:t>Apply liquid mask liberally to glass and sash parts (acts as primer for wood, peelable film for glass)</w:t>
      </w:r>
    </w:p>
    <w:p w14:paraId="15632EDE" w14:textId="77777777" w:rsidR="00A423A0" w:rsidRDefault="00000000">
      <w:pPr>
        <w:pStyle w:val="ListParagraph"/>
        <w:numPr>
          <w:ilvl w:val="0"/>
          <w:numId w:val="3"/>
        </w:numPr>
        <w:spacing w:after="80"/>
      </w:pPr>
      <w:r>
        <w:t>Paint topcoats directly over mask and frame</w:t>
      </w:r>
    </w:p>
    <w:p w14:paraId="1909C73A" w14:textId="77777777" w:rsidR="00A423A0" w:rsidRDefault="00000000">
      <w:pPr>
        <w:pStyle w:val="ListParagraph"/>
        <w:numPr>
          <w:ilvl w:val="0"/>
          <w:numId w:val="3"/>
        </w:numPr>
        <w:spacing w:after="80"/>
      </w:pPr>
      <w:r>
        <w:t>Once dry, score edge of glass with utility knife</w:t>
      </w:r>
    </w:p>
    <w:p w14:paraId="272CC7F9" w14:textId="77777777" w:rsidR="00A423A0" w:rsidRDefault="00000000">
      <w:pPr>
        <w:pStyle w:val="ListParagraph"/>
        <w:numPr>
          <w:ilvl w:val="0"/>
          <w:numId w:val="3"/>
        </w:numPr>
        <w:spacing w:after="120"/>
      </w:pPr>
      <w:r>
        <w:t>Peel mask away for crisp line and clean glass</w:t>
      </w:r>
    </w:p>
    <w:p w14:paraId="7C00755E" w14:textId="77777777" w:rsidR="00A423A0" w:rsidRDefault="00000000">
      <w:pPr>
        <w:spacing w:after="120"/>
      </w:pPr>
      <w:r>
        <w:rPr>
          <w:b/>
          <w:bCs/>
        </w:rPr>
        <w:t xml:space="preserve">Limitation: </w:t>
      </w:r>
      <w:r>
        <w:t>Avoid liquid masks on weathered, dry wood which requires deep-penetrating oil-based primer.</w:t>
      </w:r>
    </w:p>
    <w:p w14:paraId="38A39627" w14:textId="77777777" w:rsidR="00A423A0" w:rsidRDefault="00000000">
      <w:r>
        <w:br w:type="page"/>
      </w:r>
    </w:p>
    <w:p w14:paraId="76C42B82" w14:textId="77777777" w:rsidR="00A423A0" w:rsidRDefault="00000000">
      <w:pPr>
        <w:pStyle w:val="Heading1"/>
      </w:pPr>
      <w:r>
        <w:lastRenderedPageBreak/>
        <w:t>5. Vinyl and PVC Window Systems</w:t>
      </w:r>
    </w:p>
    <w:p w14:paraId="5EC61628" w14:textId="77777777" w:rsidR="00A423A0" w:rsidRDefault="00000000">
      <w:pPr>
        <w:spacing w:after="120"/>
      </w:pPr>
      <w:r>
        <w:t>Vinyl (uPVC) is a thermoplastic sensitive to heat absorption. Dark exterior colors can cause warping, buckling, and insulated glass seal failure without proper coating technology.</w:t>
      </w:r>
    </w:p>
    <w:p w14:paraId="704CE727" w14:textId="77777777" w:rsidR="00A423A0" w:rsidRDefault="00000000">
      <w:pPr>
        <w:pStyle w:val="Heading2"/>
      </w:pPr>
      <w:r>
        <w:t>5.1 Light Reflectance Value (LRV) Requirements</w:t>
      </w:r>
    </w:p>
    <w:p w14:paraId="514CAF37" w14:textId="77777777" w:rsidR="00A423A0" w:rsidRDefault="00000000">
      <w:pPr>
        <w:spacing w:after="120"/>
      </w:pPr>
      <w:r>
        <w:rPr>
          <w:b/>
          <w:bCs/>
        </w:rPr>
        <w:t xml:space="preserve">Standard Practice: </w:t>
      </w:r>
      <w:r>
        <w:t>Only colors with LRV ≥ 55 should be applied to vinyl frames</w:t>
      </w:r>
    </w:p>
    <w:p w14:paraId="05EAA820" w14:textId="77777777" w:rsidR="00A423A0" w:rsidRDefault="00000000">
      <w:pPr>
        <w:spacing w:after="120"/>
      </w:pPr>
      <w:r>
        <w:t>Dark colors (low LRV) absorb solar energy, raising substrate temperature beyond structural limits.</w:t>
      </w:r>
    </w:p>
    <w:p w14:paraId="1640909F" w14:textId="77777777" w:rsidR="00A423A0" w:rsidRDefault="00000000">
      <w:pPr>
        <w:pStyle w:val="Heading3"/>
      </w:pPr>
      <w:r>
        <w:t>5.1.1 Vinyl-Safe Technology</w:t>
      </w:r>
    </w:p>
    <w:p w14:paraId="45F8D1B1" w14:textId="77777777" w:rsidR="00A423A0" w:rsidRDefault="00000000">
      <w:pPr>
        <w:spacing w:after="120"/>
      </w:pPr>
      <w:r>
        <w:t>For dark colors (black, deep bronze), use vinyl-safe paint lines with heat-reflective pigments that reflect infrared radiation while appearing dark to visible spectrum.</w:t>
      </w:r>
    </w:p>
    <w:p w14:paraId="75915A66" w14:textId="77777777" w:rsidR="00A423A0" w:rsidRDefault="00000000">
      <w:pPr>
        <w:pStyle w:val="ListParagraph"/>
        <w:numPr>
          <w:ilvl w:val="0"/>
          <w:numId w:val="2"/>
        </w:numPr>
        <w:spacing w:after="80"/>
      </w:pPr>
      <w:r>
        <w:t>Sherwin-Williams Emerald Urethane Trim Enamel (vinyl-safe color deck)</w:t>
      </w:r>
    </w:p>
    <w:p w14:paraId="6445F8DB" w14:textId="77777777" w:rsidR="00A423A0" w:rsidRDefault="00000000">
      <w:pPr>
        <w:pStyle w:val="ListParagraph"/>
        <w:numPr>
          <w:ilvl w:val="0"/>
          <w:numId w:val="2"/>
        </w:numPr>
        <w:spacing w:after="120"/>
      </w:pPr>
      <w:r>
        <w:t>Benjamin Moore Aura Exterior (vinyl-safe colors)</w:t>
      </w:r>
    </w:p>
    <w:p w14:paraId="6B68E8DC" w14:textId="77777777" w:rsidR="00A423A0" w:rsidRDefault="00000000">
      <w:pPr>
        <w:pStyle w:val="Heading2"/>
      </w:pPr>
      <w:r>
        <w:t>5.2 Adhesion Protocol for Non-Porous Polymers</w:t>
      </w:r>
    </w:p>
    <w:p w14:paraId="32BA3111" w14:textId="77777777" w:rsidR="00A423A0" w:rsidRDefault="00000000">
      <w:pPr>
        <w:pStyle w:val="ListParagraph"/>
        <w:numPr>
          <w:ilvl w:val="0"/>
          <w:numId w:val="3"/>
        </w:numPr>
        <w:spacing w:after="80"/>
      </w:pPr>
      <w:r>
        <w:rPr>
          <w:b/>
          <w:bCs/>
        </w:rPr>
        <w:t xml:space="preserve">Cleaning: </w:t>
      </w:r>
      <w:r>
        <w:t>TSP substitute or mild detergent, followed by 70%-91% isopropyl alcohol wipe to eliminate silicone residues</w:t>
      </w:r>
    </w:p>
    <w:p w14:paraId="2BF91771" w14:textId="77777777" w:rsidR="00A423A0" w:rsidRDefault="00000000">
      <w:pPr>
        <w:pStyle w:val="ListParagraph"/>
        <w:numPr>
          <w:ilvl w:val="0"/>
          <w:numId w:val="3"/>
        </w:numPr>
        <w:spacing w:after="80"/>
      </w:pPr>
      <w:r>
        <w:rPr>
          <w:b/>
          <w:bCs/>
        </w:rPr>
        <w:t xml:space="preserve">Etching: </w:t>
      </w:r>
      <w:r>
        <w:t>Light scuff-sand with 220-grit to create micro-tooth for primer</w:t>
      </w:r>
    </w:p>
    <w:p w14:paraId="0E0521B8" w14:textId="77777777" w:rsidR="00A423A0" w:rsidRDefault="00000000">
      <w:pPr>
        <w:pStyle w:val="ListParagraph"/>
        <w:numPr>
          <w:ilvl w:val="0"/>
          <w:numId w:val="3"/>
        </w:numPr>
        <w:spacing w:after="120"/>
      </w:pPr>
      <w:r>
        <w:rPr>
          <w:b/>
          <w:bCs/>
        </w:rPr>
        <w:t xml:space="preserve">Priming: </w:t>
      </w:r>
      <w:r>
        <w:t>Adhesive bonding primer rated for vinyl/PVC (INSL-X STIX, Sherwin-Williams Extreme Bond)</w:t>
      </w:r>
    </w:p>
    <w:p w14:paraId="75EB573F" w14:textId="77777777" w:rsidR="00A423A0" w:rsidRDefault="00000000">
      <w:r>
        <w:br w:type="page"/>
      </w:r>
    </w:p>
    <w:p w14:paraId="607F100F" w14:textId="77777777" w:rsidR="00A423A0" w:rsidRDefault="00000000">
      <w:pPr>
        <w:pStyle w:val="Heading1"/>
      </w:pPr>
      <w:r>
        <w:lastRenderedPageBreak/>
        <w:t>6. Aluminum Window Systems</w:t>
      </w:r>
    </w:p>
    <w:p w14:paraId="0597F92D" w14:textId="77777777" w:rsidR="00A423A0" w:rsidRDefault="00000000">
      <w:pPr>
        <w:spacing w:after="120"/>
      </w:pPr>
      <w:r>
        <w:t>Aluminum windows require industrial-grade preparation to manage oxidation and ensure long-term durability.</w:t>
      </w:r>
    </w:p>
    <w:p w14:paraId="323EF224" w14:textId="77777777" w:rsidR="00A423A0" w:rsidRDefault="00000000">
      <w:pPr>
        <w:pStyle w:val="Heading2"/>
      </w:pPr>
      <w:r>
        <w:t>6.1 Chemical Pre-treatment</w:t>
      </w:r>
    </w:p>
    <w:p w14:paraId="33DC0ACC" w14:textId="77777777" w:rsidR="00A423A0" w:rsidRDefault="00000000">
      <w:pPr>
        <w:pStyle w:val="ListParagraph"/>
        <w:numPr>
          <w:ilvl w:val="0"/>
          <w:numId w:val="2"/>
        </w:numPr>
        <w:spacing w:after="80"/>
      </w:pPr>
      <w:r>
        <w:t>BC-7000 or equivalent heavy-duty alkaline cleaner for degreasing</w:t>
      </w:r>
    </w:p>
    <w:p w14:paraId="1B970509" w14:textId="77777777" w:rsidR="00A423A0" w:rsidRDefault="00000000">
      <w:pPr>
        <w:pStyle w:val="ListParagraph"/>
        <w:numPr>
          <w:ilvl w:val="0"/>
          <w:numId w:val="2"/>
        </w:numPr>
        <w:spacing w:after="80"/>
      </w:pPr>
      <w:r>
        <w:t>Concentrated solutions may act as etchants for primer adhesion</w:t>
      </w:r>
    </w:p>
    <w:p w14:paraId="0BA8E458" w14:textId="77777777" w:rsidR="00A423A0" w:rsidRDefault="00000000">
      <w:pPr>
        <w:pStyle w:val="ListParagraph"/>
        <w:numPr>
          <w:ilvl w:val="0"/>
          <w:numId w:val="2"/>
        </w:numPr>
        <w:spacing w:after="120"/>
      </w:pPr>
      <w:r>
        <w:t>Organofunctional silanes and organometallic compounds (zirconium/titanium-based) create chemical bonds between metal surface and paint resin</w:t>
      </w:r>
    </w:p>
    <w:p w14:paraId="694CAEAD" w14:textId="77777777" w:rsidR="00A423A0" w:rsidRDefault="00000000">
      <w:pPr>
        <w:pStyle w:val="Heading2"/>
      </w:pPr>
      <w:r>
        <w:t>6.2 AAMA Performance Specifications</w:t>
      </w:r>
    </w:p>
    <w:p w14:paraId="3DD61138" w14:textId="77777777" w:rsidR="00A423A0" w:rsidRDefault="00000000">
      <w:pPr>
        <w:spacing w:after="120"/>
      </w:pPr>
      <w:r>
        <w:t>Industry standards for aluminum window coatings are set by AAMA (now part of Fenestration and Glazing Industry Alliance).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2499"/>
        <w:gridCol w:w="2429"/>
        <w:gridCol w:w="2429"/>
      </w:tblGrid>
      <w:tr w:rsidR="00A423A0" w14:paraId="2F1BC04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5F5A2C" w14:textId="77777777" w:rsidR="00A423A0" w:rsidRDefault="00000000">
            <w:r>
              <w:rPr>
                <w:b/>
                <w:bCs/>
                <w:color w:val="FFFFFF"/>
                <w:sz w:val="20"/>
                <w:szCs w:val="20"/>
              </w:rPr>
              <w:t>Specification</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D13391A" w14:textId="77777777" w:rsidR="00A423A0" w:rsidRDefault="00000000">
            <w:r>
              <w:rPr>
                <w:b/>
                <w:bCs/>
                <w:color w:val="FFFFFF"/>
                <w:sz w:val="20"/>
                <w:szCs w:val="20"/>
              </w:rPr>
              <w:t>Target Use</w:t>
            </w:r>
          </w:p>
        </w:tc>
        <w:tc>
          <w:tcPr>
            <w:tcW w:w="243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828298" w14:textId="77777777" w:rsidR="00A423A0" w:rsidRDefault="00000000">
            <w:r>
              <w:rPr>
                <w:b/>
                <w:bCs/>
                <w:color w:val="FFFFFF"/>
                <w:sz w:val="20"/>
                <w:szCs w:val="20"/>
              </w:rPr>
              <w:t>Weathering</w:t>
            </w:r>
          </w:p>
        </w:tc>
        <w:tc>
          <w:tcPr>
            <w:tcW w:w="243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AD8ED7E" w14:textId="77777777" w:rsidR="00A423A0" w:rsidRDefault="00000000">
            <w:r>
              <w:rPr>
                <w:b/>
                <w:bCs/>
                <w:color w:val="FFFFFF"/>
                <w:sz w:val="20"/>
                <w:szCs w:val="20"/>
              </w:rPr>
              <w:t>Performance</w:t>
            </w:r>
          </w:p>
        </w:tc>
      </w:tr>
      <w:tr w:rsidR="00A423A0" w14:paraId="25B842B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D5FC1" w14:textId="77777777" w:rsidR="00A423A0" w:rsidRDefault="00000000">
            <w:r>
              <w:rPr>
                <w:b/>
                <w:bCs/>
                <w:sz w:val="20"/>
                <w:szCs w:val="20"/>
              </w:rPr>
              <w:t>AAMA 2603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F4CC6" w14:textId="77777777" w:rsidR="00A423A0" w:rsidRDefault="00000000">
            <w:r>
              <w:rPr>
                <w:sz w:val="20"/>
                <w:szCs w:val="20"/>
              </w:rPr>
              <w:t>Interior/Low-Exposure</w:t>
            </w: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7123B8" w14:textId="77777777" w:rsidR="00A423A0" w:rsidRDefault="00000000">
            <w:r>
              <w:rPr>
                <w:sz w:val="20"/>
                <w:szCs w:val="20"/>
              </w:rPr>
              <w:t>1 Year South FL</w:t>
            </w: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410E0" w14:textId="77777777" w:rsidR="00A423A0" w:rsidRDefault="00000000">
            <w:r>
              <w:rPr>
                <w:sz w:val="20"/>
                <w:szCs w:val="20"/>
              </w:rPr>
              <w:t>Slight fade/chalk resistance</w:t>
            </w:r>
          </w:p>
        </w:tc>
      </w:tr>
      <w:tr w:rsidR="00A423A0" w14:paraId="12BB4D9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E3F1B9" w14:textId="77777777" w:rsidR="00A423A0" w:rsidRDefault="00000000">
            <w:r>
              <w:rPr>
                <w:b/>
                <w:bCs/>
                <w:sz w:val="20"/>
                <w:szCs w:val="20"/>
              </w:rPr>
              <w:t>AAMA 2604</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BD0320" w14:textId="77777777" w:rsidR="00A423A0" w:rsidRDefault="00000000">
            <w:r>
              <w:rPr>
                <w:sz w:val="20"/>
                <w:szCs w:val="20"/>
              </w:rPr>
              <w:t>High-Performance</w:t>
            </w:r>
          </w:p>
        </w:tc>
        <w:tc>
          <w:tcPr>
            <w:tcW w:w="243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2DAFF4" w14:textId="77777777" w:rsidR="00A423A0" w:rsidRDefault="00000000">
            <w:r>
              <w:rPr>
                <w:sz w:val="20"/>
                <w:szCs w:val="20"/>
              </w:rPr>
              <w:t>5 Year South FL</w:t>
            </w:r>
          </w:p>
        </w:tc>
        <w:tc>
          <w:tcPr>
            <w:tcW w:w="243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C3E880" w14:textId="77777777" w:rsidR="00A423A0" w:rsidRDefault="00000000">
            <w:r>
              <w:rPr>
                <w:sz w:val="20"/>
                <w:szCs w:val="20"/>
              </w:rPr>
              <w:t>30% gloss; &lt;5 Delta E fade</w:t>
            </w:r>
          </w:p>
        </w:tc>
      </w:tr>
      <w:tr w:rsidR="00A423A0" w14:paraId="7F1F8E0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9B9010" w14:textId="77777777" w:rsidR="00A423A0" w:rsidRDefault="00000000">
            <w:r>
              <w:rPr>
                <w:b/>
                <w:bCs/>
                <w:sz w:val="20"/>
                <w:szCs w:val="20"/>
              </w:rPr>
              <w:t>AAMA 2605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F28E3B" w14:textId="77777777" w:rsidR="00A423A0" w:rsidRDefault="00000000">
            <w:r>
              <w:rPr>
                <w:sz w:val="20"/>
                <w:szCs w:val="20"/>
              </w:rPr>
              <w:t>Superior Performance</w:t>
            </w: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472DCC" w14:textId="77777777" w:rsidR="00A423A0" w:rsidRDefault="00000000">
            <w:r>
              <w:rPr>
                <w:sz w:val="20"/>
                <w:szCs w:val="20"/>
              </w:rPr>
              <w:t>10 Year South FL</w:t>
            </w: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4C613" w14:textId="77777777" w:rsidR="00A423A0" w:rsidRDefault="00000000">
            <w:r>
              <w:rPr>
                <w:sz w:val="20"/>
                <w:szCs w:val="20"/>
              </w:rPr>
              <w:t>50% gloss; &lt;5 Delta E fade</w:t>
            </w:r>
          </w:p>
        </w:tc>
      </w:tr>
    </w:tbl>
    <w:p w14:paraId="7897CB06" w14:textId="77777777" w:rsidR="00A423A0" w:rsidRDefault="00A423A0">
      <w:pPr>
        <w:spacing w:before="200"/>
      </w:pPr>
    </w:p>
    <w:p w14:paraId="72549F63" w14:textId="77777777" w:rsidR="00A423A0" w:rsidRDefault="00000000">
      <w:pPr>
        <w:spacing w:after="120"/>
      </w:pPr>
      <w:r>
        <w:rPr>
          <w:b/>
          <w:bCs/>
        </w:rPr>
        <w:t xml:space="preserve">Recommended Product: </w:t>
      </w:r>
      <w:r>
        <w:t>Polane Solar Reflective Polyurethane Enamel for industrial-grade UV and mar resistance.</w:t>
      </w:r>
    </w:p>
    <w:p w14:paraId="33737CB2" w14:textId="77777777" w:rsidR="00A423A0" w:rsidRDefault="00000000">
      <w:r>
        <w:br w:type="page"/>
      </w:r>
    </w:p>
    <w:p w14:paraId="70838982" w14:textId="77777777" w:rsidR="00A423A0" w:rsidRDefault="00000000">
      <w:pPr>
        <w:pStyle w:val="Heading1"/>
      </w:pPr>
      <w:r>
        <w:lastRenderedPageBreak/>
        <w:t>7. Window Estimation: Opening Count Method</w:t>
      </w:r>
    </w:p>
    <w:p w14:paraId="013F400F" w14:textId="77777777" w:rsidR="00A423A0" w:rsidRDefault="00000000">
      <w:pPr>
        <w:spacing w:after="120"/>
      </w:pPr>
      <w:r>
        <w:t xml:space="preserve">The Opening Count Method simplifies window estimation but requires dimensional adjustments and </w:t>
      </w:r>
      <w:proofErr w:type="gramStart"/>
      <w:r>
        <w:t>complexity</w:t>
      </w:r>
      <w:proofErr w:type="gramEnd"/>
      <w:r>
        <w:t xml:space="preserve"> multipliers.</w:t>
      </w:r>
    </w:p>
    <w:p w14:paraId="72892E6D" w14:textId="77777777" w:rsidR="00A423A0" w:rsidRDefault="00000000">
      <w:pPr>
        <w:pStyle w:val="Heading2"/>
      </w:pPr>
      <w:r>
        <w:t>7.1 Core Principles</w:t>
      </w:r>
    </w:p>
    <w:p w14:paraId="13C70789" w14:textId="77777777" w:rsidR="00A423A0" w:rsidRDefault="00000000">
      <w:pPr>
        <w:pStyle w:val="Heading3"/>
      </w:pPr>
      <w:proofErr w:type="gramStart"/>
      <w:r>
        <w:t>7.1.1 Dimensional</w:t>
      </w:r>
      <w:proofErr w:type="gramEnd"/>
      <w:r>
        <w:t xml:space="preserve"> Adjustments</w:t>
      </w:r>
    </w:p>
    <w:p w14:paraId="5578BC0E" w14:textId="77777777" w:rsidR="00A423A0" w:rsidRDefault="00000000">
      <w:pPr>
        <w:spacing w:after="120"/>
      </w:pPr>
      <w:r>
        <w:t>Windows are not counted as simple "1 opening" units. For wood windows: count 1 opening per 6 square feet of window area.</w:t>
      </w:r>
    </w:p>
    <w:p w14:paraId="13D34226" w14:textId="77777777" w:rsidR="00A423A0" w:rsidRDefault="00000000">
      <w:pPr>
        <w:spacing w:after="120"/>
      </w:pPr>
      <w:r>
        <w:rPr>
          <w:b/>
          <w:bCs/>
        </w:rPr>
        <w:t xml:space="preserve">Example: </w:t>
      </w:r>
      <w:r>
        <w:t>A standard 6 SF window = 1 opening; a 24 SF picture window = 4 openings</w:t>
      </w:r>
    </w:p>
    <w:p w14:paraId="2A9D7636" w14:textId="77777777" w:rsidR="00A423A0" w:rsidRDefault="00000000">
      <w:pPr>
        <w:pStyle w:val="Heading3"/>
      </w:pPr>
      <w:r>
        <w:t>7.1.2 Complexity Multipliers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9"/>
        <w:gridCol w:w="2679"/>
        <w:gridCol w:w="2680"/>
      </w:tblGrid>
      <w:tr w:rsidR="00A423A0" w14:paraId="75695F42"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5CCB740" w14:textId="77777777" w:rsidR="00A423A0" w:rsidRDefault="00000000">
            <w:r>
              <w:rPr>
                <w:b/>
                <w:bCs/>
                <w:color w:val="FFFFFF"/>
                <w:sz w:val="20"/>
                <w:szCs w:val="20"/>
              </w:rPr>
              <w:t>Window Type</w:t>
            </w:r>
          </w:p>
        </w:tc>
        <w:tc>
          <w:tcPr>
            <w:tcW w:w="2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9F16F3" w14:textId="77777777" w:rsidR="00A423A0" w:rsidRDefault="00000000">
            <w:r>
              <w:rPr>
                <w:b/>
                <w:bCs/>
                <w:color w:val="FFFFFF"/>
                <w:sz w:val="20"/>
                <w:szCs w:val="20"/>
              </w:rPr>
              <w:t>Opening Value</w:t>
            </w:r>
          </w:p>
        </w:tc>
        <w:tc>
          <w:tcPr>
            <w:tcW w:w="2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7403620" w14:textId="77777777" w:rsidR="00A423A0" w:rsidRDefault="00000000">
            <w:r>
              <w:rPr>
                <w:b/>
                <w:bCs/>
                <w:color w:val="FFFFFF"/>
                <w:sz w:val="20"/>
                <w:szCs w:val="20"/>
              </w:rPr>
              <w:t>Rationale</w:t>
            </w:r>
          </w:p>
        </w:tc>
      </w:tr>
      <w:tr w:rsidR="00A423A0" w14:paraId="37C06C0B"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86E12" w14:textId="77777777" w:rsidR="00A423A0" w:rsidRDefault="00000000">
            <w:r>
              <w:rPr>
                <w:sz w:val="20"/>
                <w:szCs w:val="20"/>
              </w:rPr>
              <w:t>French Doors/Windows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39590" w14:textId="77777777" w:rsidR="00A423A0" w:rsidRDefault="00000000">
            <w:r>
              <w:rPr>
                <w:sz w:val="20"/>
                <w:szCs w:val="20"/>
              </w:rPr>
              <w:t>1.5 openings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2D73CE" w14:textId="77777777" w:rsidR="00A423A0" w:rsidRDefault="00000000">
            <w:r>
              <w:rPr>
                <w:sz w:val="20"/>
                <w:szCs w:val="20"/>
              </w:rPr>
              <w:t>Divided lights</w:t>
            </w:r>
          </w:p>
        </w:tc>
      </w:tr>
      <w:tr w:rsidR="00A423A0" w14:paraId="53619B21"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FDC367" w14:textId="77777777" w:rsidR="00A423A0" w:rsidRDefault="00000000">
            <w:r>
              <w:rPr>
                <w:sz w:val="20"/>
                <w:szCs w:val="20"/>
              </w:rPr>
              <w:t>Dutch Doors</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3E255B" w14:textId="77777777" w:rsidR="00A423A0" w:rsidRDefault="00000000">
            <w:r>
              <w:rPr>
                <w:sz w:val="20"/>
                <w:szCs w:val="20"/>
              </w:rPr>
              <w:t>2.0 openings</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2BCCEE" w14:textId="77777777" w:rsidR="00A423A0" w:rsidRDefault="00000000">
            <w:r>
              <w:rPr>
                <w:sz w:val="20"/>
                <w:szCs w:val="20"/>
              </w:rPr>
              <w:t>Split configuration</w:t>
            </w:r>
          </w:p>
        </w:tc>
      </w:tr>
      <w:tr w:rsidR="00A423A0" w14:paraId="11E90B20"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893008" w14:textId="77777777" w:rsidR="00A423A0" w:rsidRDefault="00000000">
            <w:r>
              <w:rPr>
                <w:sz w:val="20"/>
                <w:szCs w:val="20"/>
              </w:rPr>
              <w:t>Paneled (vs. Flush)</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048417" w14:textId="77777777" w:rsidR="00A423A0" w:rsidRDefault="00000000">
            <w:r>
              <w:rPr>
                <w:sz w:val="20"/>
                <w:szCs w:val="20"/>
              </w:rPr>
              <w:t>1.25 openings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C3062" w14:textId="77777777" w:rsidR="00A423A0" w:rsidRDefault="00000000">
            <w:r>
              <w:rPr>
                <w:sz w:val="20"/>
                <w:szCs w:val="20"/>
              </w:rPr>
              <w:t>Panel detailing</w:t>
            </w:r>
          </w:p>
        </w:tc>
      </w:tr>
    </w:tbl>
    <w:p w14:paraId="345C9747" w14:textId="77777777" w:rsidR="00A423A0" w:rsidRDefault="00A423A0">
      <w:pPr>
        <w:spacing w:before="200"/>
      </w:pPr>
    </w:p>
    <w:p w14:paraId="5F2451A9" w14:textId="77777777" w:rsidR="00A423A0" w:rsidRDefault="00000000">
      <w:pPr>
        <w:pStyle w:val="Heading3"/>
      </w:pPr>
      <w:r>
        <w:t>7.1.3 Method Limitations</w:t>
      </w:r>
    </w:p>
    <w:p w14:paraId="0F5DBC8E" w14:textId="77777777" w:rsidR="00A423A0" w:rsidRDefault="00000000">
      <w:pPr>
        <w:pStyle w:val="ListParagraph"/>
        <w:numPr>
          <w:ilvl w:val="0"/>
          <w:numId w:val="2"/>
        </w:numPr>
        <w:spacing w:after="80"/>
      </w:pPr>
      <w:r>
        <w:t>Designed primarily for interior paint-grade work</w:t>
      </w:r>
    </w:p>
    <w:p w14:paraId="1A17463D" w14:textId="77777777" w:rsidR="00A423A0" w:rsidRDefault="00000000">
      <w:pPr>
        <w:pStyle w:val="ListParagraph"/>
        <w:numPr>
          <w:ilvl w:val="0"/>
          <w:numId w:val="2"/>
        </w:numPr>
        <w:spacing w:after="80"/>
      </w:pPr>
      <w:r>
        <w:t>Exterior doors require separate per-door method for weatherproofing systems</w:t>
      </w:r>
    </w:p>
    <w:p w14:paraId="09EE63E9" w14:textId="77777777" w:rsidR="00A423A0" w:rsidRDefault="00000000">
      <w:pPr>
        <w:pStyle w:val="ListParagraph"/>
        <w:numPr>
          <w:ilvl w:val="0"/>
          <w:numId w:val="2"/>
        </w:numPr>
        <w:spacing w:after="120"/>
      </w:pPr>
      <w:r>
        <w:t>Oddly shaped windows or window walls may require reversion to SF calculations</w:t>
      </w:r>
    </w:p>
    <w:p w14:paraId="197B9BA4" w14:textId="77777777" w:rsidR="00A423A0" w:rsidRDefault="00000000">
      <w:r>
        <w:br w:type="page"/>
      </w:r>
    </w:p>
    <w:p w14:paraId="360EACAF" w14:textId="77777777" w:rsidR="00A423A0" w:rsidRDefault="00000000">
      <w:pPr>
        <w:pStyle w:val="Heading1"/>
      </w:pPr>
      <w:r>
        <w:lastRenderedPageBreak/>
        <w:t>8. Application Methodology</w:t>
      </w:r>
    </w:p>
    <w:p w14:paraId="6C0381B3" w14:textId="77777777" w:rsidR="00A423A0" w:rsidRDefault="00000000">
      <w:pPr>
        <w:pStyle w:val="Heading2"/>
      </w:pPr>
      <w:r>
        <w:t>8.1 Brush vs. Spray Decision Framework</w:t>
      </w:r>
    </w:p>
    <w:p w14:paraId="5D939ED8" w14:textId="77777777" w:rsidR="00A423A0" w:rsidRDefault="00000000">
      <w:pPr>
        <w:pStyle w:val="Heading3"/>
      </w:pPr>
      <w:r>
        <w:t>8.1.1 Manual Brushing</w:t>
      </w:r>
    </w:p>
    <w:p w14:paraId="0341B730" w14:textId="77777777" w:rsidR="00A423A0" w:rsidRDefault="00000000">
      <w:pPr>
        <w:pStyle w:val="ListParagraph"/>
        <w:numPr>
          <w:ilvl w:val="0"/>
          <w:numId w:val="2"/>
        </w:numPr>
        <w:spacing w:after="80"/>
      </w:pPr>
      <w:r>
        <w:t xml:space="preserve">Provides unparalleled control for detailed trim and </w:t>
      </w:r>
      <w:proofErr w:type="spellStart"/>
      <w:r>
        <w:t>muntins</w:t>
      </w:r>
      <w:proofErr w:type="spellEnd"/>
    </w:p>
    <w:p w14:paraId="0B1D6370" w14:textId="77777777" w:rsidR="00A423A0" w:rsidRDefault="00000000">
      <w:pPr>
        <w:pStyle w:val="ListParagraph"/>
        <w:numPr>
          <w:ilvl w:val="0"/>
          <w:numId w:val="2"/>
        </w:numPr>
        <w:spacing w:after="80"/>
      </w:pPr>
      <w:r>
        <w:t>1.5-inch angled sash brush works paint into grain and complex profiles</w:t>
      </w:r>
    </w:p>
    <w:p w14:paraId="017C7F9C" w14:textId="77777777" w:rsidR="00A423A0" w:rsidRDefault="00000000">
      <w:pPr>
        <w:pStyle w:val="ListParagraph"/>
        <w:numPr>
          <w:ilvl w:val="0"/>
          <w:numId w:val="2"/>
        </w:numPr>
        <w:spacing w:after="120"/>
      </w:pPr>
      <w:r>
        <w:t>Labor-intensive; may leave brush marks/texture</w:t>
      </w:r>
    </w:p>
    <w:p w14:paraId="20382575" w14:textId="77777777" w:rsidR="00A423A0" w:rsidRDefault="00000000">
      <w:pPr>
        <w:pStyle w:val="Heading3"/>
      </w:pPr>
      <w:r>
        <w:t>8.1.2 Spray Systems (HVLP/Air-Assisted Airless)</w:t>
      </w:r>
    </w:p>
    <w:p w14:paraId="2501C104" w14:textId="77777777" w:rsidR="00A423A0" w:rsidRDefault="00000000">
      <w:pPr>
        <w:pStyle w:val="ListParagraph"/>
        <w:numPr>
          <w:ilvl w:val="0"/>
          <w:numId w:val="2"/>
        </w:numPr>
        <w:spacing w:after="80"/>
      </w:pPr>
      <w:r>
        <w:t>Factory-like smooth finish; significantly faster for large surfaces</w:t>
      </w:r>
    </w:p>
    <w:p w14:paraId="4F5687CA" w14:textId="77777777" w:rsidR="00A423A0" w:rsidRDefault="00000000">
      <w:pPr>
        <w:pStyle w:val="ListParagraph"/>
        <w:numPr>
          <w:ilvl w:val="0"/>
          <w:numId w:val="2"/>
        </w:numPr>
        <w:spacing w:after="80"/>
      </w:pPr>
      <w:r>
        <w:t>15-Square-Meter Rule: Spraying becomes more efficient above 15 m² despite setup time</w:t>
      </w:r>
    </w:p>
    <w:p w14:paraId="45A41D99" w14:textId="77777777" w:rsidR="00A423A0" w:rsidRDefault="00000000">
      <w:pPr>
        <w:pStyle w:val="ListParagraph"/>
        <w:numPr>
          <w:ilvl w:val="0"/>
          <w:numId w:val="2"/>
        </w:numPr>
        <w:spacing w:after="80"/>
      </w:pPr>
      <w:r>
        <w:t>Waste Factor: 20%-40% material waste from overspray and box method (50% overlap)</w:t>
      </w:r>
    </w:p>
    <w:p w14:paraId="44104435" w14:textId="77777777" w:rsidR="00A423A0" w:rsidRDefault="00000000">
      <w:pPr>
        <w:pStyle w:val="ListParagraph"/>
        <w:numPr>
          <w:ilvl w:val="0"/>
          <w:numId w:val="2"/>
        </w:numPr>
        <w:spacing w:after="120"/>
      </w:pPr>
      <w:r>
        <w:t>Requires extensive masking and containment</w:t>
      </w:r>
    </w:p>
    <w:p w14:paraId="3F1585FD" w14:textId="77777777" w:rsidR="00A423A0" w:rsidRDefault="00000000">
      <w:pPr>
        <w:pStyle w:val="Heading2"/>
      </w:pPr>
      <w:r>
        <w:t>8.2 Productivity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9"/>
        <w:gridCol w:w="2200"/>
        <w:gridCol w:w="3959"/>
      </w:tblGrid>
      <w:tr w:rsidR="00A423A0" w14:paraId="57D11F3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7C2017E" w14:textId="77777777" w:rsidR="00A423A0" w:rsidRDefault="00000000">
            <w:r>
              <w:rPr>
                <w:b/>
                <w:bCs/>
                <w:color w:val="FFFFFF"/>
                <w:sz w:val="20"/>
                <w:szCs w:val="20"/>
              </w:rPr>
              <w:t>Window Type</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8C01CA9" w14:textId="77777777" w:rsidR="00A423A0" w:rsidRDefault="00000000">
            <w:r>
              <w:rPr>
                <w:b/>
                <w:bCs/>
                <w:color w:val="FFFFFF"/>
                <w:sz w:val="20"/>
                <w:szCs w:val="20"/>
              </w:rPr>
              <w:t>Labor Factor</w:t>
            </w:r>
          </w:p>
        </w:tc>
        <w:tc>
          <w:tcPr>
            <w:tcW w:w="3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D1849B9" w14:textId="77777777" w:rsidR="00A423A0" w:rsidRDefault="00000000">
            <w:r>
              <w:rPr>
                <w:b/>
                <w:bCs/>
                <w:color w:val="FFFFFF"/>
                <w:sz w:val="20"/>
                <w:szCs w:val="20"/>
              </w:rPr>
              <w:t>Notes</w:t>
            </w:r>
          </w:p>
        </w:tc>
      </w:tr>
      <w:tr w:rsidR="00A423A0" w14:paraId="19D2D82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849B2" w14:textId="77777777" w:rsidR="00A423A0" w:rsidRDefault="00000000">
            <w:r>
              <w:rPr>
                <w:sz w:val="20"/>
                <w:szCs w:val="20"/>
              </w:rPr>
              <w:t>Double-Hung (Basic)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FDFAC" w14:textId="77777777" w:rsidR="00A423A0" w:rsidRDefault="00000000">
            <w:r>
              <w:rPr>
                <w:sz w:val="20"/>
                <w:szCs w:val="20"/>
              </w:rPr>
              <w:t xml:space="preserve">1.10-1.25 </w:t>
            </w:r>
            <w:proofErr w:type="spellStart"/>
            <w:r>
              <w:rPr>
                <w:sz w:val="20"/>
                <w:szCs w:val="20"/>
              </w:rPr>
              <w:t>hrs</w:t>
            </w:r>
            <w:proofErr w:type="spellEnd"/>
            <w:r>
              <w:rPr>
                <w:sz w:val="20"/>
                <w:szCs w:val="20"/>
              </w:rPr>
              <w:t>/</w:t>
            </w:r>
            <w:proofErr w:type="spellStart"/>
            <w:r>
              <w:rPr>
                <w:sz w:val="20"/>
                <w:szCs w:val="20"/>
              </w:rPr>
              <w:t>ea</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49130" w14:textId="77777777" w:rsidR="00A423A0" w:rsidRDefault="00000000">
            <w:r>
              <w:rPr>
                <w:sz w:val="20"/>
                <w:szCs w:val="20"/>
              </w:rPr>
              <w:t>Standard prep and two coats</w:t>
            </w:r>
          </w:p>
        </w:tc>
      </w:tr>
      <w:tr w:rsidR="00A423A0" w14:paraId="52E6DD7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B9F680" w14:textId="77777777" w:rsidR="00A423A0" w:rsidRDefault="00000000">
            <w:r>
              <w:rPr>
                <w:sz w:val="20"/>
                <w:szCs w:val="20"/>
              </w:rPr>
              <w:t>Casement</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327327" w14:textId="77777777" w:rsidR="00A423A0" w:rsidRDefault="00000000">
            <w:r>
              <w:rPr>
                <w:sz w:val="20"/>
                <w:szCs w:val="20"/>
              </w:rPr>
              <w:t xml:space="preserve">1.10 </w:t>
            </w:r>
            <w:proofErr w:type="spellStart"/>
            <w:r>
              <w:rPr>
                <w:sz w:val="20"/>
                <w:szCs w:val="20"/>
              </w:rPr>
              <w:t>hrs</w:t>
            </w:r>
            <w:proofErr w:type="spellEnd"/>
            <w:r>
              <w:rPr>
                <w:sz w:val="20"/>
                <w:szCs w:val="20"/>
              </w:rPr>
              <w:t>/</w:t>
            </w:r>
            <w:proofErr w:type="spellStart"/>
            <w:r>
              <w:rPr>
                <w:sz w:val="20"/>
                <w:szCs w:val="20"/>
              </w:rPr>
              <w:t>ea</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78732A" w14:textId="77777777" w:rsidR="00A423A0" w:rsidRDefault="00000000">
            <w:proofErr w:type="gramStart"/>
            <w:r>
              <w:rPr>
                <w:sz w:val="20"/>
                <w:szCs w:val="20"/>
              </w:rPr>
              <w:t>Similar to</w:t>
            </w:r>
            <w:proofErr w:type="gramEnd"/>
            <w:r>
              <w:rPr>
                <w:sz w:val="20"/>
                <w:szCs w:val="20"/>
              </w:rPr>
              <w:t xml:space="preserve"> DH; easier access</w:t>
            </w:r>
          </w:p>
        </w:tc>
      </w:tr>
      <w:tr w:rsidR="00A423A0" w14:paraId="12FAD0E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BC5F8" w14:textId="77777777" w:rsidR="00A423A0" w:rsidRDefault="00000000">
            <w:r>
              <w:rPr>
                <w:sz w:val="20"/>
                <w:szCs w:val="20"/>
              </w:rPr>
              <w:t>Colonial (</w:t>
            </w:r>
            <w:proofErr w:type="gramStart"/>
            <w:r>
              <w:rPr>
                <w:sz w:val="20"/>
                <w:szCs w:val="20"/>
              </w:rPr>
              <w:t>Multi-pane</w:t>
            </w:r>
            <w:proofErr w:type="gramEnd"/>
            <w:r>
              <w:rPr>
                <w:sz w:val="20"/>
                <w:szCs w:val="20"/>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6B8D4" w14:textId="77777777" w:rsidR="00A423A0" w:rsidRDefault="00000000">
            <w:r>
              <w:rPr>
                <w:sz w:val="20"/>
                <w:szCs w:val="20"/>
              </w:rPr>
              <w:t>1.10 × 1.20</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9D48B4" w14:textId="77777777" w:rsidR="00A423A0" w:rsidRDefault="00000000">
            <w:r>
              <w:rPr>
                <w:sz w:val="20"/>
                <w:szCs w:val="20"/>
              </w:rPr>
              <w:t>+20% for muntin complexity</w:t>
            </w:r>
          </w:p>
        </w:tc>
      </w:tr>
      <w:tr w:rsidR="00A423A0" w14:paraId="0634D36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2CC12D" w14:textId="77777777" w:rsidR="00A423A0" w:rsidRDefault="00000000">
            <w:r>
              <w:rPr>
                <w:sz w:val="20"/>
                <w:szCs w:val="20"/>
              </w:rPr>
              <w:t>Windowsills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FBA8F9" w14:textId="77777777" w:rsidR="00A423A0" w:rsidRDefault="00000000">
            <w:r>
              <w:rPr>
                <w:sz w:val="20"/>
                <w:szCs w:val="20"/>
              </w:rPr>
              <w:t xml:space="preserve">0.06 </w:t>
            </w:r>
            <w:proofErr w:type="spellStart"/>
            <w:r>
              <w:rPr>
                <w:sz w:val="20"/>
                <w:szCs w:val="20"/>
              </w:rPr>
              <w:t>hrs</w:t>
            </w:r>
            <w:proofErr w:type="spellEnd"/>
            <w:r>
              <w:rPr>
                <w:sz w:val="20"/>
                <w:szCs w:val="20"/>
              </w:rPr>
              <w:t>/LM</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8E3930" w14:textId="77777777" w:rsidR="00A423A0" w:rsidRDefault="00000000">
            <w:r>
              <w:rPr>
                <w:sz w:val="20"/>
                <w:szCs w:val="20"/>
              </w:rPr>
              <w:t>Linear measurement for horizontals</w:t>
            </w:r>
          </w:p>
        </w:tc>
      </w:tr>
    </w:tbl>
    <w:p w14:paraId="339E347D" w14:textId="77777777" w:rsidR="00A423A0" w:rsidRDefault="00A423A0">
      <w:pPr>
        <w:spacing w:before="200"/>
      </w:pPr>
    </w:p>
    <w:p w14:paraId="575069BD" w14:textId="77777777" w:rsidR="00A423A0" w:rsidRDefault="00000000">
      <w:pPr>
        <w:spacing w:after="120"/>
      </w:pPr>
      <w:r>
        <w:rPr>
          <w:b/>
          <w:bCs/>
        </w:rPr>
        <w:t xml:space="preserve">Height Factor: </w:t>
      </w:r>
      <w:r>
        <w:t>Second-story windows requiring scaffolding can double or triple labor hours.</w:t>
      </w:r>
    </w:p>
    <w:p w14:paraId="42F558B1" w14:textId="77777777" w:rsidR="00A423A0" w:rsidRDefault="00000000">
      <w:r>
        <w:br w:type="page"/>
      </w:r>
    </w:p>
    <w:p w14:paraId="595860C1" w14:textId="77777777" w:rsidR="00A423A0" w:rsidRDefault="00000000">
      <w:pPr>
        <w:pStyle w:val="Heading1"/>
      </w:pPr>
      <w:r>
        <w:lastRenderedPageBreak/>
        <w:t>9. Film Thickness and Curing</w:t>
      </w:r>
    </w:p>
    <w:p w14:paraId="2E84BFE1" w14:textId="77777777" w:rsidR="00A423A0" w:rsidRDefault="00000000">
      <w:pPr>
        <w:pStyle w:val="Heading2"/>
      </w:pPr>
      <w:r>
        <w:t>9.1 Film Build Requirements</w:t>
      </w:r>
    </w:p>
    <w:p w14:paraId="35C1E691" w14:textId="77777777" w:rsidR="00A423A0" w:rsidRDefault="00000000">
      <w:pPr>
        <w:spacing w:after="120"/>
      </w:pPr>
      <w:r>
        <w:t>Coating performance is fundamentally tied to film build. Too thin: insufficient UV blockers and protective resins. Too thick: curing failure leading to blocking or softness.</w:t>
      </w:r>
    </w:p>
    <w:p w14:paraId="6AB71B9E" w14:textId="77777777" w:rsidR="00A423A0" w:rsidRDefault="00000000">
      <w:pPr>
        <w:pStyle w:val="Heading3"/>
      </w:pPr>
      <w:r>
        <w:t>9.1.1 DFT Calculation</w:t>
      </w:r>
    </w:p>
    <w:p w14:paraId="0DAB7F87" w14:textId="77777777" w:rsidR="00A423A0" w:rsidRDefault="00000000">
      <w:pPr>
        <w:spacing w:before="150" w:after="150"/>
        <w:jc w:val="center"/>
      </w:pPr>
      <w:r>
        <w:rPr>
          <w:b/>
          <w:bCs/>
          <w:i/>
          <w:iCs/>
          <w:sz w:val="24"/>
          <w:szCs w:val="24"/>
        </w:rPr>
        <w:t>DFT = WFT × (% Volume Solids)</w:t>
      </w:r>
    </w:p>
    <w:p w14:paraId="07480C94" w14:textId="77777777" w:rsidR="00A423A0" w:rsidRDefault="00000000">
      <w:pPr>
        <w:spacing w:after="120"/>
      </w:pPr>
      <w:r>
        <w:rPr>
          <w:b/>
          <w:bCs/>
        </w:rPr>
        <w:t xml:space="preserve">Example: </w:t>
      </w:r>
      <w:r>
        <w:t xml:space="preserve">34% volume solids at 3 </w:t>
      </w:r>
      <w:proofErr w:type="gramStart"/>
      <w:r>
        <w:t>mils</w:t>
      </w:r>
      <w:proofErr w:type="gramEnd"/>
      <w:r>
        <w:t xml:space="preserve"> WFT = 1.02 </w:t>
      </w:r>
      <w:proofErr w:type="gramStart"/>
      <w:r>
        <w:t>mils</w:t>
      </w:r>
      <w:proofErr w:type="gramEnd"/>
      <w:r>
        <w:t xml:space="preserve"> DFT</w:t>
      </w:r>
    </w:p>
    <w:p w14:paraId="72173585" w14:textId="77777777" w:rsidR="00A423A0" w:rsidRDefault="00000000">
      <w:pPr>
        <w:spacing w:after="120"/>
      </w:pPr>
      <w:r>
        <w:rPr>
          <w:b/>
          <w:bCs/>
        </w:rPr>
        <w:t xml:space="preserve">Target System DFT: </w:t>
      </w:r>
      <w:r>
        <w:t xml:space="preserve">Minimum 2.5 </w:t>
      </w:r>
      <w:proofErr w:type="gramStart"/>
      <w:r>
        <w:t>mils</w:t>
      </w:r>
      <w:proofErr w:type="gramEnd"/>
      <w:r>
        <w:t xml:space="preserve">; maximum 5 </w:t>
      </w:r>
      <w:proofErr w:type="gramStart"/>
      <w:r>
        <w:t>mils</w:t>
      </w:r>
      <w:proofErr w:type="gramEnd"/>
      <w:r>
        <w:t xml:space="preserve"> (to prevent internal stress/cracking)</w:t>
      </w:r>
    </w:p>
    <w:p w14:paraId="7F6D3283" w14:textId="77777777" w:rsidR="00A423A0" w:rsidRDefault="00000000">
      <w:pPr>
        <w:pStyle w:val="Heading2"/>
      </w:pPr>
      <w:r>
        <w:t>9.2 Measurement Tools by Substrate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2500"/>
        <w:gridCol w:w="4359"/>
      </w:tblGrid>
      <w:tr w:rsidR="00A423A0" w14:paraId="3C6AFE2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B37CDE5" w14:textId="77777777" w:rsidR="00A423A0" w:rsidRDefault="00000000">
            <w:r>
              <w:rPr>
                <w:b/>
                <w:bCs/>
                <w:color w:val="FFFFFF"/>
                <w:sz w:val="20"/>
                <w:szCs w:val="20"/>
              </w:rPr>
              <w:t>Tool</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E278DF" w14:textId="77777777" w:rsidR="00A423A0" w:rsidRDefault="00000000">
            <w:r>
              <w:rPr>
                <w:b/>
                <w:bCs/>
                <w:color w:val="FFFFFF"/>
                <w:sz w:val="20"/>
                <w:szCs w:val="20"/>
              </w:rPr>
              <w:t>Substrate</w:t>
            </w:r>
          </w:p>
        </w:tc>
        <w:tc>
          <w:tcPr>
            <w:tcW w:w="4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943E311" w14:textId="77777777" w:rsidR="00A423A0" w:rsidRDefault="00000000">
            <w:r>
              <w:rPr>
                <w:b/>
                <w:bCs/>
                <w:color w:val="FFFFFF"/>
                <w:sz w:val="20"/>
                <w:szCs w:val="20"/>
              </w:rPr>
              <w:t>Mechanism</w:t>
            </w:r>
          </w:p>
        </w:tc>
      </w:tr>
      <w:tr w:rsidR="00A423A0" w14:paraId="69FF844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A43B09" w14:textId="77777777" w:rsidR="00A423A0" w:rsidRDefault="00000000">
            <w:r>
              <w:rPr>
                <w:sz w:val="20"/>
                <w:szCs w:val="20"/>
              </w:rPr>
              <w:t>WFT Gauge (Comb)</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79BC90" w14:textId="77777777" w:rsidR="00A423A0" w:rsidRDefault="00000000">
            <w:r>
              <w:rPr>
                <w:sz w:val="20"/>
                <w:szCs w:val="20"/>
              </w:rPr>
              <w:t>All (while wet)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39030" w14:textId="77777777" w:rsidR="00A423A0" w:rsidRDefault="00000000">
            <w:r>
              <w:rPr>
                <w:sz w:val="20"/>
                <w:szCs w:val="20"/>
              </w:rPr>
              <w:t>Measures liquid depth immediately after application</w:t>
            </w:r>
          </w:p>
        </w:tc>
      </w:tr>
      <w:tr w:rsidR="00A423A0" w14:paraId="4C2C33E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81DDE1" w14:textId="77777777" w:rsidR="00A423A0" w:rsidRDefault="00000000">
            <w:r>
              <w:rPr>
                <w:sz w:val="20"/>
                <w:szCs w:val="20"/>
              </w:rPr>
              <w:t>Magnetic Induction</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29A48E" w14:textId="77777777" w:rsidR="00A423A0" w:rsidRDefault="00000000">
            <w:r>
              <w:rPr>
                <w:sz w:val="20"/>
                <w:szCs w:val="20"/>
              </w:rPr>
              <w:t>Ferrous Metal (Steel)</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9AAEAE" w14:textId="77777777" w:rsidR="00A423A0" w:rsidRDefault="00000000">
            <w:r>
              <w:rPr>
                <w:sz w:val="20"/>
                <w:szCs w:val="20"/>
              </w:rPr>
              <w:t>Magnetic flux change measures non-magnetic coating</w:t>
            </w:r>
          </w:p>
        </w:tc>
      </w:tr>
      <w:tr w:rsidR="00A423A0" w14:paraId="05F4715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D03E4C" w14:textId="77777777" w:rsidR="00A423A0" w:rsidRDefault="00000000">
            <w:r>
              <w:rPr>
                <w:sz w:val="20"/>
                <w:szCs w:val="20"/>
              </w:rPr>
              <w:t>Eddy Current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2BC7C" w14:textId="77777777" w:rsidR="00A423A0" w:rsidRDefault="00000000">
            <w:r>
              <w:rPr>
                <w:sz w:val="20"/>
                <w:szCs w:val="20"/>
              </w:rPr>
              <w:t>Non-Ferrous (Aluminum)</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5907A" w14:textId="77777777" w:rsidR="00A423A0" w:rsidRDefault="00000000">
            <w:r>
              <w:rPr>
                <w:sz w:val="20"/>
                <w:szCs w:val="20"/>
              </w:rPr>
              <w:t>Electromagnetic induction on conductive metal</w:t>
            </w:r>
          </w:p>
        </w:tc>
      </w:tr>
      <w:tr w:rsidR="00A423A0" w14:paraId="3F8AC01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ACC1FE" w14:textId="77777777" w:rsidR="00A423A0" w:rsidRDefault="00000000">
            <w:r>
              <w:rPr>
                <w:sz w:val="20"/>
                <w:szCs w:val="20"/>
              </w:rPr>
              <w:t>Ultrasonic (</w:t>
            </w:r>
            <w:proofErr w:type="spellStart"/>
            <w:r>
              <w:rPr>
                <w:sz w:val="20"/>
                <w:szCs w:val="20"/>
              </w:rPr>
              <w:t>PosiTector</w:t>
            </w:r>
            <w:proofErr w:type="spellEnd"/>
            <w:r>
              <w:rPr>
                <w:sz w:val="20"/>
                <w:szCs w:val="20"/>
              </w:rPr>
              <w:t>)</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9AE745" w14:textId="77777777" w:rsidR="00A423A0" w:rsidRDefault="00000000">
            <w:r>
              <w:rPr>
                <w:sz w:val="20"/>
                <w:szCs w:val="20"/>
              </w:rPr>
              <w:t>Wood / Vinyl</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A70C2C" w14:textId="77777777" w:rsidR="00A423A0" w:rsidRDefault="00000000">
            <w:r>
              <w:rPr>
                <w:sz w:val="20"/>
                <w:szCs w:val="20"/>
              </w:rPr>
              <w:t>Times ultrasonic pulse reflections from substrate</w:t>
            </w:r>
          </w:p>
        </w:tc>
      </w:tr>
    </w:tbl>
    <w:p w14:paraId="48F8E0FE" w14:textId="77777777" w:rsidR="00A423A0" w:rsidRDefault="00000000">
      <w:r>
        <w:br w:type="page"/>
      </w:r>
    </w:p>
    <w:p w14:paraId="0EDC3C8E" w14:textId="77777777" w:rsidR="00A423A0" w:rsidRDefault="00000000">
      <w:pPr>
        <w:pStyle w:val="Heading1"/>
      </w:pPr>
      <w:r>
        <w:lastRenderedPageBreak/>
        <w:t>10. Common Defects and Remediation</w:t>
      </w:r>
    </w:p>
    <w:p w14:paraId="320BC39E" w14:textId="77777777" w:rsidR="00A423A0" w:rsidRDefault="00000000">
      <w:pPr>
        <w:pStyle w:val="Heading2"/>
      </w:pPr>
      <w:r>
        <w:t>10.1 Blocking and Sticking</w:t>
      </w:r>
    </w:p>
    <w:p w14:paraId="085C4870" w14:textId="77777777" w:rsidR="00A423A0" w:rsidRDefault="00000000">
      <w:pPr>
        <w:spacing w:after="120"/>
      </w:pPr>
      <w:r>
        <w:t>Occurs when freshly painted surfaces stick together when pressed (closing window before full cure).</w:t>
      </w:r>
    </w:p>
    <w:p w14:paraId="5753A177" w14:textId="77777777" w:rsidR="00A423A0" w:rsidRDefault="00000000">
      <w:pPr>
        <w:pStyle w:val="Heading3"/>
      </w:pPr>
      <w:r>
        <w:t>10.1.1 Causes</w:t>
      </w:r>
    </w:p>
    <w:p w14:paraId="3E663596" w14:textId="77777777" w:rsidR="00A423A0" w:rsidRDefault="00000000">
      <w:pPr>
        <w:pStyle w:val="ListParagraph"/>
        <w:numPr>
          <w:ilvl w:val="0"/>
          <w:numId w:val="2"/>
        </w:numPr>
        <w:spacing w:after="80"/>
      </w:pPr>
      <w:r>
        <w:t>Application in high humidity</w:t>
      </w:r>
    </w:p>
    <w:p w14:paraId="72228FC9" w14:textId="77777777" w:rsidR="00A423A0" w:rsidRDefault="00000000">
      <w:pPr>
        <w:pStyle w:val="ListParagraph"/>
        <w:numPr>
          <w:ilvl w:val="0"/>
          <w:numId w:val="2"/>
        </w:numPr>
        <w:spacing w:after="80"/>
      </w:pPr>
      <w:r>
        <w:t>Low-quality vinyl-acrylic latex</w:t>
      </w:r>
    </w:p>
    <w:p w14:paraId="32F2F91F" w14:textId="77777777" w:rsidR="00A423A0" w:rsidRDefault="00000000">
      <w:pPr>
        <w:pStyle w:val="ListParagraph"/>
        <w:numPr>
          <w:ilvl w:val="0"/>
          <w:numId w:val="2"/>
        </w:numPr>
        <w:spacing w:after="120"/>
      </w:pPr>
      <w:r>
        <w:t>Insufficient cure time (often 3-7 days for enamels)</w:t>
      </w:r>
    </w:p>
    <w:p w14:paraId="2E4BF1B4" w14:textId="77777777" w:rsidR="00A423A0" w:rsidRDefault="00000000">
      <w:pPr>
        <w:pStyle w:val="Heading3"/>
      </w:pPr>
      <w:r>
        <w:t>10.1.2 Prevention</w:t>
      </w:r>
    </w:p>
    <w:p w14:paraId="32845F42" w14:textId="77777777" w:rsidR="00A423A0" w:rsidRDefault="00000000">
      <w:pPr>
        <w:pStyle w:val="ListParagraph"/>
        <w:numPr>
          <w:ilvl w:val="0"/>
          <w:numId w:val="2"/>
        </w:numPr>
        <w:spacing w:after="80"/>
      </w:pPr>
      <w:r>
        <w:t>Use 100% acrylic or urethane-enriched enamels</w:t>
      </w:r>
    </w:p>
    <w:p w14:paraId="1B472ACA" w14:textId="77777777" w:rsidR="00A423A0" w:rsidRDefault="00000000">
      <w:pPr>
        <w:pStyle w:val="ListParagraph"/>
        <w:numPr>
          <w:ilvl w:val="0"/>
          <w:numId w:val="2"/>
        </w:numPr>
        <w:spacing w:after="80"/>
      </w:pPr>
      <w:r>
        <w:t>Paint sashes in "ajar" position</w:t>
      </w:r>
    </w:p>
    <w:p w14:paraId="1441499F" w14:textId="77777777" w:rsidR="00A423A0" w:rsidRDefault="00000000">
      <w:pPr>
        <w:pStyle w:val="ListParagraph"/>
        <w:numPr>
          <w:ilvl w:val="0"/>
          <w:numId w:val="2"/>
        </w:numPr>
        <w:spacing w:after="120"/>
      </w:pPr>
      <w:r>
        <w:t>Avoid painting sliding pulley stiles or meeting rails</w:t>
      </w:r>
    </w:p>
    <w:p w14:paraId="27B2221E" w14:textId="77777777" w:rsidR="00A423A0" w:rsidRDefault="00000000">
      <w:pPr>
        <w:pStyle w:val="Heading3"/>
      </w:pPr>
      <w:r>
        <w:t>10.1.3 Remediation</w:t>
      </w:r>
    </w:p>
    <w:p w14:paraId="77D3AC11" w14:textId="77777777" w:rsidR="00A423A0" w:rsidRDefault="00000000">
      <w:pPr>
        <w:spacing w:after="120"/>
      </w:pPr>
      <w:r>
        <w:t>Sand to dull finish, prime with high-block-resistant primer, repaint.</w:t>
      </w:r>
    </w:p>
    <w:p w14:paraId="0E7CF9D8" w14:textId="77777777" w:rsidR="00A423A0" w:rsidRDefault="00000000">
      <w:pPr>
        <w:pStyle w:val="Heading2"/>
      </w:pPr>
      <w:r>
        <w:t xml:space="preserve">10.2 Bridging and </w:t>
      </w:r>
      <w:proofErr w:type="spellStart"/>
      <w:r>
        <w:t>Pinholing</w:t>
      </w:r>
      <w:proofErr w:type="spellEnd"/>
    </w:p>
    <w:p w14:paraId="6B899C12" w14:textId="77777777" w:rsidR="00A423A0" w:rsidRDefault="00000000">
      <w:pPr>
        <w:spacing w:after="120"/>
      </w:pPr>
      <w:r>
        <w:rPr>
          <w:b/>
          <w:bCs/>
        </w:rPr>
        <w:t xml:space="preserve">Bridging: </w:t>
      </w:r>
      <w:r>
        <w:t>Coating spans a gap without filling it, creating hollow void that eventually cracks. Caused by excessive paint viscosity or improper technique.</w:t>
      </w:r>
    </w:p>
    <w:p w14:paraId="19355F1E" w14:textId="77777777" w:rsidR="00A423A0" w:rsidRDefault="00000000">
      <w:pPr>
        <w:spacing w:after="120"/>
      </w:pPr>
      <w:proofErr w:type="spellStart"/>
      <w:r>
        <w:rPr>
          <w:b/>
          <w:bCs/>
        </w:rPr>
        <w:t>Pinholing</w:t>
      </w:r>
      <w:proofErr w:type="spellEnd"/>
      <w:r>
        <w:rPr>
          <w:b/>
          <w:bCs/>
        </w:rPr>
        <w:t xml:space="preserve">: </w:t>
      </w:r>
      <w:r>
        <w:t>Tiny blisters from trapped air, solvent, or moisture escaping during cure. Caused by inadequate substrate cleaning, ignoring flash-off times, or application in direct intense sunlight.</w:t>
      </w:r>
    </w:p>
    <w:p w14:paraId="2F8ED00D" w14:textId="77777777" w:rsidR="00A423A0" w:rsidRDefault="00000000">
      <w:pPr>
        <w:pStyle w:val="Heading2"/>
      </w:pPr>
      <w:r>
        <w:t>10.3 Metallic Coating Defects</w:t>
      </w:r>
    </w:p>
    <w:p w14:paraId="14D04783" w14:textId="77777777" w:rsidR="00A423A0" w:rsidRDefault="00000000">
      <w:pPr>
        <w:spacing w:after="120"/>
      </w:pPr>
      <w:r>
        <w:t>Bleeding or shading in metallic/pearlescent finishes caused by uneven orientation of aluminum flakes.</w:t>
      </w:r>
    </w:p>
    <w:p w14:paraId="15541654" w14:textId="77777777" w:rsidR="00A423A0" w:rsidRDefault="00000000">
      <w:pPr>
        <w:pStyle w:val="Heading3"/>
      </w:pPr>
      <w:r>
        <w:t>10.3.1 Solutions</w:t>
      </w:r>
    </w:p>
    <w:p w14:paraId="55E94EA9" w14:textId="77777777" w:rsidR="00A423A0" w:rsidRDefault="00000000">
      <w:pPr>
        <w:pStyle w:val="ListParagraph"/>
        <w:numPr>
          <w:ilvl w:val="0"/>
          <w:numId w:val="2"/>
        </w:numPr>
        <w:spacing w:after="80"/>
      </w:pPr>
      <w:r>
        <w:t>Maintain consistent spray distance</w:t>
      </w:r>
    </w:p>
    <w:p w14:paraId="727B816F" w14:textId="77777777" w:rsidR="00A423A0" w:rsidRDefault="00000000">
      <w:pPr>
        <w:pStyle w:val="ListParagraph"/>
        <w:numPr>
          <w:ilvl w:val="0"/>
          <w:numId w:val="2"/>
        </w:numPr>
        <w:spacing w:after="80"/>
      </w:pPr>
      <w:r>
        <w:t>Use faster-evaporating thinners in cold conditions</w:t>
      </w:r>
    </w:p>
    <w:p w14:paraId="07216994" w14:textId="77777777" w:rsidR="00A423A0" w:rsidRDefault="00000000">
      <w:pPr>
        <w:pStyle w:val="ListParagraph"/>
        <w:numPr>
          <w:ilvl w:val="0"/>
          <w:numId w:val="2"/>
        </w:numPr>
        <w:spacing w:after="120"/>
      </w:pPr>
      <w:r>
        <w:t>Thoroughly mix metallic pigments</w:t>
      </w:r>
    </w:p>
    <w:p w14:paraId="27DBF5C2" w14:textId="77777777" w:rsidR="00A423A0" w:rsidRDefault="00000000">
      <w:r>
        <w:br w:type="page"/>
      </w:r>
    </w:p>
    <w:p w14:paraId="3C6FE6A6" w14:textId="77777777" w:rsidR="00A423A0" w:rsidRDefault="00000000">
      <w:pPr>
        <w:pStyle w:val="Heading1"/>
      </w:pPr>
      <w:r>
        <w:lastRenderedPageBreak/>
        <w:t>11. Lead RRP Compliance</w:t>
      </w:r>
    </w:p>
    <w:p w14:paraId="2BF0399C" w14:textId="77777777" w:rsidR="00A423A0" w:rsidRDefault="00000000">
      <w:pPr>
        <w:spacing w:after="120"/>
      </w:pPr>
      <w:r>
        <w:t>For residential structures built before 1978, the EPA Renovation, Repair, and Painting (RRP) Rule governs window projects. Window work is categorized as high-risk due to friction surfaces (sashes sliding in frames) being major lead dust generators.</w:t>
      </w:r>
    </w:p>
    <w:p w14:paraId="39DEDE34" w14:textId="77777777" w:rsidR="00A423A0" w:rsidRDefault="00000000">
      <w:pPr>
        <w:pStyle w:val="Heading2"/>
      </w:pPr>
      <w:r>
        <w:t>11.1 Lead-Safe Work Practices</w:t>
      </w:r>
    </w:p>
    <w:p w14:paraId="35FF4423" w14:textId="77777777" w:rsidR="00A423A0" w:rsidRDefault="00000000">
      <w:pPr>
        <w:pStyle w:val="Heading3"/>
      </w:pPr>
      <w:r>
        <w:t>11.1.1 Required Protocols</w:t>
      </w:r>
    </w:p>
    <w:p w14:paraId="1CE5C4FD" w14:textId="77777777" w:rsidR="00A423A0" w:rsidRDefault="00000000">
      <w:pPr>
        <w:pStyle w:val="ListParagraph"/>
        <w:numPr>
          <w:ilvl w:val="0"/>
          <w:numId w:val="3"/>
        </w:numPr>
        <w:spacing w:after="80"/>
      </w:pPr>
      <w:r>
        <w:rPr>
          <w:b/>
          <w:bCs/>
        </w:rPr>
        <w:t xml:space="preserve">Notification: </w:t>
      </w:r>
      <w:r>
        <w:t>Provide "Renovate Right" pamphlet to owner at least 7 days prior to work</w:t>
      </w:r>
    </w:p>
    <w:p w14:paraId="35C2E252" w14:textId="77777777" w:rsidR="00A423A0" w:rsidRDefault="00000000">
      <w:pPr>
        <w:pStyle w:val="ListParagraph"/>
        <w:numPr>
          <w:ilvl w:val="0"/>
          <w:numId w:val="3"/>
        </w:numPr>
        <w:spacing w:after="80"/>
      </w:pPr>
      <w:r>
        <w:rPr>
          <w:b/>
          <w:bCs/>
        </w:rPr>
        <w:t xml:space="preserve">Containment: </w:t>
      </w:r>
      <w:r>
        <w:t>Interior areas sealed with plastic; exterior protection extends 10 feet from building with wind protection</w:t>
      </w:r>
    </w:p>
    <w:p w14:paraId="1071376A" w14:textId="77777777" w:rsidR="00A423A0" w:rsidRDefault="00000000">
      <w:pPr>
        <w:pStyle w:val="ListParagraph"/>
        <w:numPr>
          <w:ilvl w:val="0"/>
          <w:numId w:val="3"/>
        </w:numPr>
        <w:spacing w:after="120"/>
      </w:pPr>
      <w:r>
        <w:rPr>
          <w:b/>
          <w:bCs/>
        </w:rPr>
        <w:t xml:space="preserve">Cleanup: </w:t>
      </w:r>
      <w:r>
        <w:t>HEPA vacuum and wet-mop sequence, followed by clearance dust-wipe test by licensed inspector</w:t>
      </w:r>
    </w:p>
    <w:p w14:paraId="626785E4" w14:textId="77777777" w:rsidR="00A423A0" w:rsidRDefault="00000000">
      <w:pPr>
        <w:pStyle w:val="Heading3"/>
      </w:pPr>
      <w:r>
        <w:t>11.1.2 Prohibited Acts</w:t>
      </w:r>
    </w:p>
    <w:p w14:paraId="3888785C" w14:textId="77777777" w:rsidR="00A423A0" w:rsidRDefault="00000000">
      <w:pPr>
        <w:pStyle w:val="ListParagraph"/>
        <w:numPr>
          <w:ilvl w:val="0"/>
          <w:numId w:val="2"/>
        </w:numPr>
        <w:spacing w:after="80"/>
      </w:pPr>
      <w:r>
        <w:t>Open-flame torches</w:t>
      </w:r>
    </w:p>
    <w:p w14:paraId="667E36EA" w14:textId="77777777" w:rsidR="00A423A0" w:rsidRDefault="00000000">
      <w:pPr>
        <w:pStyle w:val="ListParagraph"/>
        <w:numPr>
          <w:ilvl w:val="0"/>
          <w:numId w:val="2"/>
        </w:numPr>
        <w:spacing w:after="80"/>
      </w:pPr>
      <w:r>
        <w:t>Heat guns above 1100°F</w:t>
      </w:r>
    </w:p>
    <w:p w14:paraId="130D9284" w14:textId="77777777" w:rsidR="00A423A0" w:rsidRDefault="00000000">
      <w:pPr>
        <w:pStyle w:val="ListParagraph"/>
        <w:numPr>
          <w:ilvl w:val="0"/>
          <w:numId w:val="2"/>
        </w:numPr>
        <w:spacing w:after="120"/>
      </w:pPr>
      <w:r>
        <w:t>Power-sanding without HEPA vacuum attachment</w:t>
      </w:r>
    </w:p>
    <w:p w14:paraId="0ABA8DD3" w14:textId="77777777" w:rsidR="00A423A0" w:rsidRDefault="00000000">
      <w:pPr>
        <w:pStyle w:val="Heading2"/>
      </w:pPr>
      <w:r>
        <w:t>11.2 VOC Compliance</w:t>
      </w:r>
    </w:p>
    <w:p w14:paraId="31DF9026" w14:textId="77777777" w:rsidR="00A423A0" w:rsidRDefault="00000000">
      <w:pPr>
        <w:spacing w:after="120"/>
      </w:pPr>
      <w:r>
        <w:t>Modern window coatings must comply with regional VOC regulations (e.g., SCAQMD in California). High-performance water-based urethanes provide alkyd durability with lower environmental impact and faster return-to-service times.</w:t>
      </w:r>
    </w:p>
    <w:p w14:paraId="68A9D9FE" w14:textId="77777777" w:rsidR="00A423A0" w:rsidRDefault="00000000">
      <w:r>
        <w:br w:type="page"/>
      </w:r>
    </w:p>
    <w:p w14:paraId="571CDD75" w14:textId="77777777" w:rsidR="00A423A0" w:rsidRDefault="00000000">
      <w:pPr>
        <w:pStyle w:val="Heading1"/>
      </w:pPr>
      <w:r>
        <w:lastRenderedPageBreak/>
        <w:t>12. Lifecycle Management</w:t>
      </w:r>
    </w:p>
    <w:p w14:paraId="0968B8D5" w14:textId="77777777" w:rsidR="00A423A0" w:rsidRDefault="00000000">
      <w:pPr>
        <w:pStyle w:val="Heading2"/>
      </w:pPr>
      <w:r>
        <w:t>12.1 Climate-Based Considerations</w:t>
      </w:r>
    </w:p>
    <w:p w14:paraId="1187895D" w14:textId="77777777" w:rsidR="00A423A0" w:rsidRDefault="00000000">
      <w:pPr>
        <w:pStyle w:val="Heading3"/>
      </w:pPr>
      <w:r>
        <w:t>12.1.1 Coastal Environments</w:t>
      </w:r>
    </w:p>
    <w:p w14:paraId="17AD814A" w14:textId="77777777" w:rsidR="00A423A0" w:rsidRDefault="00000000">
      <w:pPr>
        <w:pStyle w:val="ListParagraph"/>
        <w:numPr>
          <w:ilvl w:val="0"/>
          <w:numId w:val="2"/>
        </w:numPr>
        <w:spacing w:after="80"/>
      </w:pPr>
      <w:r>
        <w:t>Most severe conditions: salt spray, high humidity, UV exposure</w:t>
      </w:r>
    </w:p>
    <w:p w14:paraId="7645B8D0" w14:textId="77777777" w:rsidR="00A423A0" w:rsidRDefault="00000000">
      <w:pPr>
        <w:pStyle w:val="ListParagraph"/>
        <w:numPr>
          <w:ilvl w:val="0"/>
          <w:numId w:val="2"/>
        </w:numPr>
        <w:spacing w:after="80"/>
      </w:pPr>
      <w:r>
        <w:t>Application window: late spring through early fall only</w:t>
      </w:r>
    </w:p>
    <w:p w14:paraId="6BD007F5" w14:textId="77777777" w:rsidR="00A423A0" w:rsidRDefault="00000000">
      <w:pPr>
        <w:pStyle w:val="ListParagraph"/>
        <w:numPr>
          <w:ilvl w:val="0"/>
          <w:numId w:val="2"/>
        </w:numPr>
        <w:spacing w:after="120"/>
      </w:pPr>
      <w:r>
        <w:t xml:space="preserve">Inspect every 2 </w:t>
      </w:r>
      <w:proofErr w:type="gramStart"/>
      <w:r>
        <w:t>years;</w:t>
      </w:r>
      <w:proofErr w:type="gramEnd"/>
      <w:r>
        <w:t xml:space="preserve"> rinse annually with fresh water</w:t>
      </w:r>
    </w:p>
    <w:p w14:paraId="26CE40B6" w14:textId="77777777" w:rsidR="00A423A0" w:rsidRDefault="00000000">
      <w:pPr>
        <w:pStyle w:val="Heading3"/>
      </w:pPr>
      <w:r>
        <w:t>12.1.2 Southwest/Desert</w:t>
      </w:r>
    </w:p>
    <w:p w14:paraId="51953F96" w14:textId="77777777" w:rsidR="00A423A0" w:rsidRDefault="00000000">
      <w:pPr>
        <w:pStyle w:val="ListParagraph"/>
        <w:numPr>
          <w:ilvl w:val="0"/>
          <w:numId w:val="2"/>
        </w:numPr>
        <w:spacing w:after="80"/>
      </w:pPr>
      <w:r>
        <w:t>Extreme thermal cycling (10°F-20°F swings in hours)</w:t>
      </w:r>
    </w:p>
    <w:p w14:paraId="65B5438B" w14:textId="77777777" w:rsidR="00A423A0" w:rsidRDefault="00000000">
      <w:pPr>
        <w:pStyle w:val="ListParagraph"/>
        <w:numPr>
          <w:ilvl w:val="0"/>
          <w:numId w:val="2"/>
        </w:numPr>
        <w:spacing w:after="120"/>
      </w:pPr>
      <w:r>
        <w:t>Requires flexible or elastomeric topcoats that expand/contract without micro-cracking</w:t>
      </w:r>
    </w:p>
    <w:p w14:paraId="75ED1478" w14:textId="77777777" w:rsidR="00A423A0" w:rsidRDefault="00000000">
      <w:pPr>
        <w:pStyle w:val="Heading2"/>
      </w:pPr>
      <w:r>
        <w:t>12.2 Warranty and Recoat Intervals</w:t>
      </w:r>
    </w:p>
    <w:p w14:paraId="23372BCB" w14:textId="77777777" w:rsidR="00A423A0" w:rsidRDefault="00000000">
      <w:pPr>
        <w:pStyle w:val="ListParagraph"/>
        <w:numPr>
          <w:ilvl w:val="0"/>
          <w:numId w:val="2"/>
        </w:numPr>
        <w:spacing w:after="80"/>
      </w:pPr>
      <w:r>
        <w:t>Manufacturer recommendation: exterior recoat every 2-3 years for warranty validity</w:t>
      </w:r>
    </w:p>
    <w:p w14:paraId="1697C950" w14:textId="77777777" w:rsidR="00A423A0" w:rsidRDefault="00000000">
      <w:pPr>
        <w:pStyle w:val="ListParagraph"/>
        <w:numPr>
          <w:ilvl w:val="0"/>
          <w:numId w:val="2"/>
        </w:numPr>
        <w:spacing w:after="80"/>
      </w:pPr>
      <w:r>
        <w:t>High-quality two-coat system: 7-15 years on stable substrates</w:t>
      </w:r>
    </w:p>
    <w:p w14:paraId="5812CF3D" w14:textId="77777777" w:rsidR="00A423A0" w:rsidRDefault="00000000">
      <w:pPr>
        <w:pStyle w:val="ListParagraph"/>
        <w:numPr>
          <w:ilvl w:val="0"/>
          <w:numId w:val="2"/>
        </w:numPr>
        <w:spacing w:after="120"/>
      </w:pPr>
      <w:r>
        <w:t>South/West-facing elevations weather faster than North/shaded elevations</w:t>
      </w:r>
    </w:p>
    <w:p w14:paraId="64A53472" w14:textId="77777777" w:rsidR="00A423A0" w:rsidRDefault="00000000">
      <w:r>
        <w:br w:type="page"/>
      </w:r>
    </w:p>
    <w:p w14:paraId="30D9D8B9" w14:textId="77777777" w:rsidR="00A423A0" w:rsidRDefault="00000000">
      <w:pPr>
        <w:pStyle w:val="Heading1"/>
      </w:pPr>
      <w:r>
        <w:lastRenderedPageBreak/>
        <w:t xml:space="preserve">13. </w:t>
      </w:r>
      <w:proofErr w:type="spellStart"/>
      <w:r>
        <w:t>PaintFactor</w:t>
      </w:r>
      <w:proofErr w:type="spellEnd"/>
      <w:r>
        <w:t xml:space="preserve"> Integration Notes</w:t>
      </w:r>
    </w:p>
    <w:p w14:paraId="305C0CD8" w14:textId="77777777" w:rsidR="00A423A0" w:rsidRDefault="00000000">
      <w:pPr>
        <w:spacing w:after="120"/>
      </w:pPr>
      <w:r>
        <w:t xml:space="preserve">The following considerations apply when integrating window painting specifications into the </w:t>
      </w:r>
      <w:proofErr w:type="spellStart"/>
      <w:r>
        <w:t>PaintFactor</w:t>
      </w:r>
      <w:proofErr w:type="spellEnd"/>
      <w:r>
        <w:t xml:space="preserve"> estimation system.</w:t>
      </w:r>
    </w:p>
    <w:p w14:paraId="566599ED" w14:textId="77777777" w:rsidR="00A423A0" w:rsidRDefault="00000000">
      <w:pPr>
        <w:pStyle w:val="Heading2"/>
      </w:pPr>
      <w:r>
        <w:t>13.1 Specification Structure</w:t>
      </w:r>
    </w:p>
    <w:p w14:paraId="12CF02AD" w14:textId="77777777" w:rsidR="00A423A0" w:rsidRDefault="00000000">
      <w:pPr>
        <w:pStyle w:val="ListParagraph"/>
        <w:numPr>
          <w:ilvl w:val="0"/>
          <w:numId w:val="2"/>
        </w:numPr>
        <w:spacing w:after="80"/>
      </w:pPr>
      <w:r>
        <w:t xml:space="preserve">Window specifications consume geometry from </w:t>
      </w:r>
      <w:proofErr w:type="spellStart"/>
      <w:r>
        <w:t>PaintScope</w:t>
      </w:r>
      <w:proofErr w:type="spellEnd"/>
      <w:r>
        <w:t xml:space="preserve"> (EA counts, dimensions)</w:t>
      </w:r>
    </w:p>
    <w:p w14:paraId="2AA657B4" w14:textId="77777777" w:rsidR="00A423A0" w:rsidRDefault="00000000">
      <w:pPr>
        <w:pStyle w:val="ListParagraph"/>
        <w:numPr>
          <w:ilvl w:val="0"/>
          <w:numId w:val="2"/>
        </w:numPr>
        <w:spacing w:after="80"/>
      </w:pPr>
      <w:r>
        <w:t>Substrate type determines preparation protocol and primer selection</w:t>
      </w:r>
    </w:p>
    <w:p w14:paraId="4A7F585A" w14:textId="77777777" w:rsidR="00A423A0" w:rsidRDefault="00000000">
      <w:pPr>
        <w:pStyle w:val="ListParagraph"/>
        <w:numPr>
          <w:ilvl w:val="0"/>
          <w:numId w:val="2"/>
        </w:numPr>
        <w:spacing w:after="80"/>
      </w:pPr>
      <w:r>
        <w:t>Window style (double-hung, casement, colonial) drives complexity modifiers</w:t>
      </w:r>
    </w:p>
    <w:p w14:paraId="126D44DF" w14:textId="77777777" w:rsidR="00A423A0" w:rsidRDefault="00000000">
      <w:pPr>
        <w:pStyle w:val="ListParagraph"/>
        <w:numPr>
          <w:ilvl w:val="0"/>
          <w:numId w:val="2"/>
        </w:numPr>
        <w:spacing w:after="120"/>
      </w:pPr>
      <w:r>
        <w:t>Quality tier (QT3-QT6) determines coating system and production rate adjustments</w:t>
      </w:r>
    </w:p>
    <w:p w14:paraId="04F7E021" w14:textId="77777777" w:rsidR="00A423A0" w:rsidRDefault="00000000">
      <w:pPr>
        <w:pStyle w:val="Heading2"/>
      </w:pPr>
      <w:r>
        <w:t>13.2 Modifier Categories</w:t>
      </w:r>
    </w:p>
    <w:p w14:paraId="345DFF8C" w14:textId="77777777" w:rsidR="00A423A0" w:rsidRDefault="00000000">
      <w:pPr>
        <w:pStyle w:val="ListParagraph"/>
        <w:numPr>
          <w:ilvl w:val="0"/>
          <w:numId w:val="2"/>
        </w:numPr>
        <w:spacing w:after="80"/>
      </w:pPr>
      <w:r>
        <w:t>Substrate: Wood, vinyl, aluminum (affects prep and primer)</w:t>
      </w:r>
    </w:p>
    <w:p w14:paraId="1521621F" w14:textId="77777777" w:rsidR="00A423A0" w:rsidRDefault="00000000">
      <w:pPr>
        <w:pStyle w:val="ListParagraph"/>
        <w:numPr>
          <w:ilvl w:val="0"/>
          <w:numId w:val="2"/>
        </w:numPr>
        <w:spacing w:after="80"/>
      </w:pPr>
      <w:r>
        <w:t>Condition: New, recoat, deteriorated (affects prep labor)</w:t>
      </w:r>
    </w:p>
    <w:p w14:paraId="3CBE04F2" w14:textId="77777777" w:rsidR="00A423A0" w:rsidRDefault="00000000">
      <w:pPr>
        <w:pStyle w:val="ListParagraph"/>
        <w:numPr>
          <w:ilvl w:val="0"/>
          <w:numId w:val="2"/>
        </w:numPr>
        <w:spacing w:after="80"/>
      </w:pPr>
      <w:r>
        <w:t>Style: Basic, colonial/multi-pane, French (+20% to +50% labor)</w:t>
      </w:r>
    </w:p>
    <w:p w14:paraId="60D08EE7" w14:textId="77777777" w:rsidR="00A423A0" w:rsidRDefault="00000000">
      <w:pPr>
        <w:pStyle w:val="ListParagraph"/>
        <w:numPr>
          <w:ilvl w:val="0"/>
          <w:numId w:val="2"/>
        </w:numPr>
        <w:spacing w:after="80"/>
      </w:pPr>
      <w:r>
        <w:t>Access: Ground level, ladder, scaffold (height multiplier)</w:t>
      </w:r>
    </w:p>
    <w:p w14:paraId="3C072FB3" w14:textId="77777777" w:rsidR="00A423A0" w:rsidRDefault="00000000">
      <w:pPr>
        <w:pStyle w:val="ListParagraph"/>
        <w:numPr>
          <w:ilvl w:val="0"/>
          <w:numId w:val="2"/>
        </w:numPr>
        <w:spacing w:after="120"/>
      </w:pPr>
      <w:r>
        <w:t>Lead: Pre-1978 structures require RRP protocol modifier</w:t>
      </w:r>
    </w:p>
    <w:p w14:paraId="7ABDC28F" w14:textId="77777777" w:rsidR="00A423A0" w:rsidRDefault="00000000">
      <w:pPr>
        <w:pStyle w:val="Heading2"/>
      </w:pPr>
      <w:r>
        <w:t>13.3 Estimation Engine Considerations</w:t>
      </w:r>
    </w:p>
    <w:p w14:paraId="5CDDF4AA" w14:textId="77777777" w:rsidR="00A423A0" w:rsidRDefault="00000000">
      <w:pPr>
        <w:pStyle w:val="ListParagraph"/>
        <w:numPr>
          <w:ilvl w:val="0"/>
          <w:numId w:val="2"/>
        </w:numPr>
        <w:spacing w:after="80"/>
      </w:pPr>
      <w:r>
        <w:t>Opening Count Method provides baseline for interior paint-grade work</w:t>
      </w:r>
    </w:p>
    <w:p w14:paraId="49FFFC64" w14:textId="77777777" w:rsidR="00A423A0" w:rsidRDefault="00000000">
      <w:pPr>
        <w:pStyle w:val="ListParagraph"/>
        <w:numPr>
          <w:ilvl w:val="0"/>
          <w:numId w:val="2"/>
        </w:numPr>
        <w:spacing w:after="80"/>
      </w:pPr>
      <w:r>
        <w:t>Large windows (&gt;6 SF) scale by SF/6 for accurate opening equivalents</w:t>
      </w:r>
    </w:p>
    <w:p w14:paraId="7C8271F9" w14:textId="77777777" w:rsidR="00A423A0" w:rsidRDefault="00000000">
      <w:pPr>
        <w:pStyle w:val="ListParagraph"/>
        <w:numPr>
          <w:ilvl w:val="0"/>
          <w:numId w:val="2"/>
        </w:numPr>
        <w:spacing w:after="80"/>
      </w:pPr>
      <w:r>
        <w:t>Exterior weatherproofing requires separate calculation from interior work</w:t>
      </w:r>
    </w:p>
    <w:p w14:paraId="335B6202" w14:textId="77777777" w:rsidR="00A423A0" w:rsidRDefault="00000000">
      <w:pPr>
        <w:pStyle w:val="ListParagraph"/>
        <w:numPr>
          <w:ilvl w:val="0"/>
          <w:numId w:val="2"/>
        </w:numPr>
        <w:spacing w:after="120"/>
      </w:pPr>
      <w:r>
        <w:t>Material coverage varies significantly by application method (brush vs. spray waste factor)</w:t>
      </w:r>
    </w:p>
    <w:p w14:paraId="53CBA6A4" w14:textId="77777777" w:rsidR="00A423A0" w:rsidRDefault="00A423A0">
      <w:pPr>
        <w:spacing w:before="400"/>
      </w:pPr>
    </w:p>
    <w:p w14:paraId="46C4B918" w14:textId="77777777" w:rsidR="00A423A0" w:rsidRDefault="00000000">
      <w:pPr>
        <w:jc w:val="center"/>
      </w:pPr>
      <w:r>
        <w:rPr>
          <w:i/>
          <w:iCs/>
          <w:color w:val="808080"/>
          <w:sz w:val="20"/>
          <w:szCs w:val="20"/>
        </w:rPr>
        <w:t>--- End of Doctrine Document ---</w:t>
      </w:r>
    </w:p>
    <w:sectPr w:rsidR="00A423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2496"/>
    <w:multiLevelType w:val="hybridMultilevel"/>
    <w:tmpl w:val="6A9EA0DA"/>
    <w:lvl w:ilvl="0" w:tplc="70E69492">
      <w:start w:val="1"/>
      <w:numFmt w:val="bullet"/>
      <w:lvlText w:val="•"/>
      <w:lvlJc w:val="left"/>
      <w:pPr>
        <w:ind w:left="720" w:hanging="360"/>
      </w:pPr>
    </w:lvl>
    <w:lvl w:ilvl="1" w:tplc="3416803E">
      <w:start w:val="1"/>
      <w:numFmt w:val="bullet"/>
      <w:lvlText w:val="◦"/>
      <w:lvlJc w:val="left"/>
      <w:pPr>
        <w:ind w:left="1080" w:hanging="360"/>
      </w:pPr>
    </w:lvl>
    <w:lvl w:ilvl="2" w:tplc="48F667E8">
      <w:numFmt w:val="decimal"/>
      <w:lvlText w:val=""/>
      <w:lvlJc w:val="left"/>
    </w:lvl>
    <w:lvl w:ilvl="3" w:tplc="9EBAD0EE">
      <w:numFmt w:val="decimal"/>
      <w:lvlText w:val=""/>
      <w:lvlJc w:val="left"/>
    </w:lvl>
    <w:lvl w:ilvl="4" w:tplc="F7E6F150">
      <w:numFmt w:val="decimal"/>
      <w:lvlText w:val=""/>
      <w:lvlJc w:val="left"/>
    </w:lvl>
    <w:lvl w:ilvl="5" w:tplc="462A4E62">
      <w:numFmt w:val="decimal"/>
      <w:lvlText w:val=""/>
      <w:lvlJc w:val="left"/>
    </w:lvl>
    <w:lvl w:ilvl="6" w:tplc="5E8487AE">
      <w:numFmt w:val="decimal"/>
      <w:lvlText w:val=""/>
      <w:lvlJc w:val="left"/>
    </w:lvl>
    <w:lvl w:ilvl="7" w:tplc="8AE61BCE">
      <w:numFmt w:val="decimal"/>
      <w:lvlText w:val=""/>
      <w:lvlJc w:val="left"/>
    </w:lvl>
    <w:lvl w:ilvl="8" w:tplc="09F443D8">
      <w:numFmt w:val="decimal"/>
      <w:lvlText w:val=""/>
      <w:lvlJc w:val="left"/>
    </w:lvl>
  </w:abstractNum>
  <w:abstractNum w:abstractNumId="1" w15:restartNumberingAfterBreak="0">
    <w:nsid w:val="51A267E8"/>
    <w:multiLevelType w:val="hybridMultilevel"/>
    <w:tmpl w:val="160E6882"/>
    <w:lvl w:ilvl="0" w:tplc="9AFC6290">
      <w:start w:val="1"/>
      <w:numFmt w:val="bullet"/>
      <w:lvlText w:val="●"/>
      <w:lvlJc w:val="left"/>
      <w:pPr>
        <w:ind w:left="720" w:hanging="360"/>
      </w:pPr>
    </w:lvl>
    <w:lvl w:ilvl="1" w:tplc="88DA7C92">
      <w:start w:val="1"/>
      <w:numFmt w:val="bullet"/>
      <w:lvlText w:val="○"/>
      <w:lvlJc w:val="left"/>
      <w:pPr>
        <w:ind w:left="1440" w:hanging="360"/>
      </w:pPr>
    </w:lvl>
    <w:lvl w:ilvl="2" w:tplc="8646955A">
      <w:start w:val="1"/>
      <w:numFmt w:val="bullet"/>
      <w:lvlText w:val="■"/>
      <w:lvlJc w:val="left"/>
      <w:pPr>
        <w:ind w:left="2160" w:hanging="360"/>
      </w:pPr>
    </w:lvl>
    <w:lvl w:ilvl="3" w:tplc="1A30ECE6">
      <w:start w:val="1"/>
      <w:numFmt w:val="bullet"/>
      <w:lvlText w:val="●"/>
      <w:lvlJc w:val="left"/>
      <w:pPr>
        <w:ind w:left="2880" w:hanging="360"/>
      </w:pPr>
    </w:lvl>
    <w:lvl w:ilvl="4" w:tplc="D00635E0">
      <w:start w:val="1"/>
      <w:numFmt w:val="bullet"/>
      <w:lvlText w:val="○"/>
      <w:lvlJc w:val="left"/>
      <w:pPr>
        <w:ind w:left="3600" w:hanging="360"/>
      </w:pPr>
    </w:lvl>
    <w:lvl w:ilvl="5" w:tplc="4F8E6CDC">
      <w:start w:val="1"/>
      <w:numFmt w:val="bullet"/>
      <w:lvlText w:val="■"/>
      <w:lvlJc w:val="left"/>
      <w:pPr>
        <w:ind w:left="4320" w:hanging="360"/>
      </w:pPr>
    </w:lvl>
    <w:lvl w:ilvl="6" w:tplc="A5C4F1EC">
      <w:start w:val="1"/>
      <w:numFmt w:val="bullet"/>
      <w:lvlText w:val="●"/>
      <w:lvlJc w:val="left"/>
      <w:pPr>
        <w:ind w:left="5040" w:hanging="360"/>
      </w:pPr>
    </w:lvl>
    <w:lvl w:ilvl="7" w:tplc="B11C179C">
      <w:start w:val="1"/>
      <w:numFmt w:val="bullet"/>
      <w:lvlText w:val="●"/>
      <w:lvlJc w:val="left"/>
      <w:pPr>
        <w:ind w:left="5760" w:hanging="360"/>
      </w:pPr>
    </w:lvl>
    <w:lvl w:ilvl="8" w:tplc="1D907BAA">
      <w:start w:val="1"/>
      <w:numFmt w:val="bullet"/>
      <w:lvlText w:val="●"/>
      <w:lvlJc w:val="left"/>
      <w:pPr>
        <w:ind w:left="6480" w:hanging="360"/>
      </w:pPr>
    </w:lvl>
  </w:abstractNum>
  <w:abstractNum w:abstractNumId="2" w15:restartNumberingAfterBreak="0">
    <w:nsid w:val="65066F48"/>
    <w:multiLevelType w:val="hybridMultilevel"/>
    <w:tmpl w:val="D27EC792"/>
    <w:lvl w:ilvl="0" w:tplc="C64A8DC0">
      <w:start w:val="1"/>
      <w:numFmt w:val="decimal"/>
      <w:lvlText w:val="%1."/>
      <w:lvlJc w:val="left"/>
      <w:pPr>
        <w:ind w:left="720" w:hanging="360"/>
      </w:pPr>
    </w:lvl>
    <w:lvl w:ilvl="1" w:tplc="75720366">
      <w:numFmt w:val="decimal"/>
      <w:lvlText w:val=""/>
      <w:lvlJc w:val="left"/>
    </w:lvl>
    <w:lvl w:ilvl="2" w:tplc="A754F314">
      <w:numFmt w:val="decimal"/>
      <w:lvlText w:val=""/>
      <w:lvlJc w:val="left"/>
    </w:lvl>
    <w:lvl w:ilvl="3" w:tplc="DA2C4816">
      <w:numFmt w:val="decimal"/>
      <w:lvlText w:val=""/>
      <w:lvlJc w:val="left"/>
    </w:lvl>
    <w:lvl w:ilvl="4" w:tplc="CDF82876">
      <w:numFmt w:val="decimal"/>
      <w:lvlText w:val=""/>
      <w:lvlJc w:val="left"/>
    </w:lvl>
    <w:lvl w:ilvl="5" w:tplc="97DE94FC">
      <w:numFmt w:val="decimal"/>
      <w:lvlText w:val=""/>
      <w:lvlJc w:val="left"/>
    </w:lvl>
    <w:lvl w:ilvl="6" w:tplc="0A5E18E6">
      <w:numFmt w:val="decimal"/>
      <w:lvlText w:val=""/>
      <w:lvlJc w:val="left"/>
    </w:lvl>
    <w:lvl w:ilvl="7" w:tplc="82C2EC08">
      <w:numFmt w:val="decimal"/>
      <w:lvlText w:val=""/>
      <w:lvlJc w:val="left"/>
    </w:lvl>
    <w:lvl w:ilvl="8" w:tplc="A434C638">
      <w:numFmt w:val="decimal"/>
      <w:lvlText w:val=""/>
      <w:lvlJc w:val="left"/>
    </w:lvl>
  </w:abstractNum>
  <w:num w:numId="1" w16cid:durableId="1798377854">
    <w:abstractNumId w:val="1"/>
    <w:lvlOverride w:ilvl="0">
      <w:startOverride w:val="1"/>
    </w:lvlOverride>
  </w:num>
  <w:num w:numId="2" w16cid:durableId="1188829857">
    <w:abstractNumId w:val="0"/>
    <w:lvlOverride w:ilvl="0">
      <w:startOverride w:val="1"/>
    </w:lvlOverride>
  </w:num>
  <w:num w:numId="3" w16cid:durableId="11687111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3A0"/>
    <w:rsid w:val="005F1765"/>
    <w:rsid w:val="00681135"/>
    <w:rsid w:val="008E00C4"/>
    <w:rsid w:val="00A423A0"/>
    <w:rsid w:val="00B92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F499D"/>
  <w15:docId w15:val="{EE5FC5C4-1099-4230-BF90-88A3BE8F0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14</Pages>
  <Words>1863</Words>
  <Characters>11962</Characters>
  <Application>Microsoft Office Word</Application>
  <DocSecurity>0</DocSecurity>
  <Lines>351</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Mowrer</cp:lastModifiedBy>
  <cp:revision>2</cp:revision>
  <dcterms:created xsi:type="dcterms:W3CDTF">2026-01-28T11:34:00Z</dcterms:created>
  <dcterms:modified xsi:type="dcterms:W3CDTF">2026-01-28T15:03:00Z</dcterms:modified>
</cp:coreProperties>
</file>