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 xml:space="preserve">Eric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Callaghan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Linux Engineer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sz w:val="24"/>
          <w:szCs w:val="24"/>
          <w:rtl w:val="0"/>
          <w:lang w:val="en-US"/>
        </w:rPr>
        <w:t xml:space="preserve">at a company with a positive and fun culture </w:t>
      </w:r>
      <w:r>
        <w:rPr>
          <w:rFonts w:ascii="Arial" w:hAnsi="Arial"/>
          <w:sz w:val="24"/>
          <w:szCs w:val="24"/>
          <w:rtl w:val="0"/>
          <w:lang w:val="en-US"/>
        </w:rPr>
        <w:t xml:space="preserve">that allows me to continuously learn while also making use of my five years of Linux operations experience. I </w:t>
      </w:r>
      <w:r>
        <w:rPr>
          <w:rFonts w:ascii="Arial" w:hAnsi="Arial"/>
          <w:sz w:val="24"/>
          <w:szCs w:val="24"/>
          <w:rtl w:val="0"/>
          <w:lang w:val="en-US"/>
        </w:rPr>
        <w:t>am passionate when it comes to</w:t>
      </w:r>
      <w:r>
        <w:rPr>
          <w:rFonts w:ascii="Arial" w:hAnsi="Arial"/>
          <w:sz w:val="24"/>
          <w:szCs w:val="24"/>
          <w:rtl w:val="0"/>
          <w:lang w:val="en-US"/>
        </w:rPr>
        <w:t xml:space="preserve"> troubleshooting, debugging, and working through production issues </w:t>
      </w:r>
      <w:r>
        <w:rPr>
          <w:rFonts w:ascii="Arial" w:hAnsi="Arial"/>
          <w:sz w:val="24"/>
          <w:szCs w:val="24"/>
          <w:rtl w:val="0"/>
          <w:lang w:val="en-US"/>
        </w:rPr>
        <w:t>proving that I am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</w:t>
      </w:r>
      <w:r>
        <w:rPr>
          <w:rFonts w:ascii="Arial" w:hAnsi="Arial"/>
          <w:sz w:val="24"/>
          <w:szCs w:val="24"/>
          <w:rtl w:val="0"/>
          <w:lang w:val="en-US"/>
        </w:rPr>
        <w:t>excellent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systems administrator. I truly love working on the command-line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Set up a Zabbix cluster which monitored over 800 physical Hewlett-Packard (HP) 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3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4"/>
        </w:numPr>
        <w:jc w:val="left"/>
        <w:rPr>
          <w:rFonts w:ascii="Arial" w:cs="Arial" w:hAnsi="Arial" w:eastAsia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