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5D1A3D90"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tenha como objetivo de estudo exploratório</w:t>
      </w:r>
      <w:r w:rsidR="009C47CA">
        <w:t>.</w:t>
      </w:r>
      <w:commentRangeEnd w:id="4"/>
      <w:r w:rsidR="007569CE">
        <w:rPr>
          <w:rStyle w:val="Refdecomentrio"/>
        </w:rPr>
        <w:commentReference w:id="4"/>
      </w:r>
      <w:commentRangeEnd w:id="5"/>
      <w:r w:rsidR="00C01A25">
        <w:rPr>
          <w:rStyle w:val="Refdecomentrio"/>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5F3680E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2B196EFF" w14:textId="6335B8C4" w:rsidR="00206E42" w:rsidRDefault="00206E42" w:rsidP="00206E42">
      <w:pPr>
        <w:spacing w:line="360" w:lineRule="auto"/>
        <w:ind w:firstLine="708"/>
        <w:jc w:val="both"/>
        <w:rPr>
          <w:ins w:id="6" w:author="Érico Souza Loewe" w:date="2020-04-05T23:34:00Z"/>
        </w:rPr>
      </w:pPr>
      <w:ins w:id="7" w:author="Érico Souza Loewe" w:date="2020-04-05T23:34:00Z">
        <w:r>
          <w:t xml:space="preserve">Tendo as técnicas de avaliação a serem utilizadas definidas, elas serão desenvolvidas no sistema, permitindo que os usuários </w:t>
        </w:r>
      </w:ins>
      <w:ins w:id="8" w:author="Érico Souza Loewe" w:date="2020-04-05T23:35:00Z">
        <w:r w:rsidR="00812ADB">
          <w:t>consigam contribuir</w:t>
        </w:r>
      </w:ins>
      <w:ins w:id="9" w:author="Érico Souza Loewe" w:date="2020-04-05T23:34:00Z">
        <w:r>
          <w:t xml:space="preserve"> com sua recomendação através de suas avaliações. Essa pesquisa, irá apresentar no final os resultados estatísticos obtidos pelas recomendações do sistema</w:t>
        </w:r>
      </w:ins>
      <w:ins w:id="10" w:author="Érico Souza Loewe" w:date="2020-04-05T23:35:00Z">
        <w:r w:rsidR="00475E97">
          <w:t xml:space="preserve"> e suas avaliações</w:t>
        </w:r>
      </w:ins>
      <w:ins w:id="11" w:author="Érico Souza Loewe" w:date="2020-04-05T23:34:00Z">
        <w:r>
          <w:t>, apresentando, por exemplo, a quantidade de acertos e erros (a partir da perspectiva do usuário) obtidos nas recomendações, fazendo com que, essa pesquisa tenha como abordagem do tipo quantitativa.</w:t>
        </w:r>
        <w:bookmarkStart w:id="12" w:name="_GoBack"/>
        <w:bookmarkEnd w:id="12"/>
      </w:ins>
    </w:p>
    <w:p w14:paraId="308712EA" w14:textId="2D081BA6" w:rsidR="00447443" w:rsidDel="00206E42" w:rsidRDefault="00CF320F" w:rsidP="00682831">
      <w:pPr>
        <w:spacing w:line="360" w:lineRule="auto"/>
        <w:ind w:firstLine="708"/>
        <w:jc w:val="both"/>
        <w:rPr>
          <w:del w:id="13" w:author="Érico Souza Loewe" w:date="2020-04-05T23:34:00Z"/>
        </w:rPr>
      </w:pPr>
      <w:del w:id="14" w:author="Érico Souza Loewe" w:date="2020-04-05T23:34:00Z">
        <w:r w:rsidDel="00206E42">
          <w:delText>A abordagem dessa pesquisa será do tipo quantitativa,</w:delText>
        </w:r>
        <w:r w:rsidR="00104DFA" w:rsidDel="00206E42">
          <w:delText xml:space="preserve"> pois</w:delText>
        </w:r>
        <w:r w:rsidR="002D56D4" w:rsidDel="00206E42">
          <w:delText xml:space="preserve"> ser</w:delText>
        </w:r>
        <w:r w:rsidR="00C01A25" w:rsidDel="00206E42">
          <w:delText>ão</w:delText>
        </w:r>
        <w:r w:rsidR="002D56D4" w:rsidDel="00206E42">
          <w:delText xml:space="preserve"> aplicado</w:delText>
        </w:r>
        <w:r w:rsidR="00C01A25" w:rsidDel="00206E42">
          <w:delText>s</w:delText>
        </w:r>
        <w:r w:rsidR="002D56D4" w:rsidDel="00206E42">
          <w:delText xml:space="preserve"> os conhecimentos de RecSys nos dados de contexto</w:delText>
        </w:r>
        <w:r w:rsidR="00C01A25" w:rsidDel="00206E42">
          <w:delText>s</w:delText>
        </w:r>
        <w:r w:rsidR="002D56D4" w:rsidDel="00206E42">
          <w:delText xml:space="preserve"> relacionados à música</w:delText>
        </w:r>
        <w:r w:rsidR="00C01A25" w:rsidDel="00206E42">
          <w:delText>,</w:delText>
        </w:r>
        <w:r w:rsidR="002D56D4" w:rsidDel="00206E42">
          <w:delText xml:space="preserve"> gerando resultados </w:delText>
        </w:r>
        <w:r w:rsidR="00C32068" w:rsidDel="00206E42">
          <w:delText>estatísticos</w:delText>
        </w:r>
        <w:r w:rsidR="002D56D4" w:rsidDel="00206E42">
          <w:delText xml:space="preserve"> das tendências </w:delText>
        </w:r>
        <w:r w:rsidR="007B5113" w:rsidDel="00206E42">
          <w:delText>d</w:delText>
        </w:r>
        <w:r w:rsidR="002D56D4" w:rsidDel="00206E42">
          <w:delText>e comportamentos dos usuários</w:delText>
        </w:r>
        <w:r w:rsidR="00760DD1" w:rsidDel="00206E42">
          <w:delText>.</w:delText>
        </w:r>
      </w:del>
    </w:p>
    <w:p w14:paraId="4E284B30" w14:textId="5B4FBF21"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RecSys </w:t>
      </w:r>
      <w:r w:rsidR="00C01A25">
        <w:t>sobre os</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15"/>
            <w:r>
              <w:t xml:space="preserve">Estudar técnicas para avaliar </w:t>
            </w:r>
            <w:commentRangeStart w:id="16"/>
            <w:r>
              <w:t>os</w:t>
            </w:r>
            <w:commentRangeEnd w:id="16"/>
            <w:r w:rsidR="001E1194">
              <w:rPr>
                <w:rStyle w:val="Refdecomentrio"/>
              </w:rPr>
              <w:commentReference w:id="16"/>
            </w:r>
            <w:r>
              <w:t xml:space="preserve"> </w:t>
            </w:r>
            <w:r w:rsidR="00F57066">
              <w:t>resultados</w:t>
            </w:r>
            <w:commentRangeEnd w:id="15"/>
            <w:r w:rsidR="001E1194">
              <w:rPr>
                <w:rStyle w:val="Refdecomentrio"/>
              </w:rPr>
              <w:commentReference w:id="15"/>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17"/>
            <w:commentRangeStart w:id="18"/>
            <w:r>
              <w:t>Análise dos resultados</w:t>
            </w:r>
            <w:commentRangeEnd w:id="17"/>
            <w:r w:rsidR="001E1194">
              <w:rPr>
                <w:rStyle w:val="Refdecomentrio"/>
              </w:rPr>
              <w:commentReference w:id="17"/>
            </w:r>
            <w:commentRangeEnd w:id="18"/>
            <w:r w:rsidR="00CE43CD">
              <w:rPr>
                <w:rStyle w:val="Refdecomentrio"/>
              </w:rPr>
              <w:commentReference w:id="18"/>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5"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16"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15" w:author="Juliano Varella De Carvalho" w:date="2020-04-01T19:03:00Z" w:initials="JVDC">
    <w:p w14:paraId="37906A3B" w14:textId="3A481B12" w:rsidR="001E1194" w:rsidRDefault="001E1194">
      <w:pPr>
        <w:pStyle w:val="Textodecomentrio"/>
      </w:pPr>
      <w:r>
        <w:rPr>
          <w:rStyle w:val="Refdecomentrio"/>
        </w:rPr>
        <w:annotationRef/>
      </w:r>
    </w:p>
  </w:comment>
  <w:comment w:id="17"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18"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FEBD3" w14:textId="77777777" w:rsidR="00BC1066" w:rsidRDefault="00BC1066">
      <w:r>
        <w:separator/>
      </w:r>
    </w:p>
  </w:endnote>
  <w:endnote w:type="continuationSeparator" w:id="0">
    <w:p w14:paraId="0FB73D6F" w14:textId="77777777" w:rsidR="00BC1066" w:rsidRDefault="00BC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DDA8F" w14:textId="77777777" w:rsidR="00BC1066" w:rsidRDefault="00BC1066">
      <w:r>
        <w:separator/>
      </w:r>
    </w:p>
  </w:footnote>
  <w:footnote w:type="continuationSeparator" w:id="0">
    <w:p w14:paraId="524EF97D" w14:textId="77777777" w:rsidR="00BC1066" w:rsidRDefault="00BC1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6F9"/>
    <w:rsid w:val="00046C39"/>
    <w:rsid w:val="0004769F"/>
    <w:rsid w:val="0005630D"/>
    <w:rsid w:val="00061C5A"/>
    <w:rsid w:val="00065A21"/>
    <w:rsid w:val="000672AC"/>
    <w:rsid w:val="00076D8E"/>
    <w:rsid w:val="00077CEF"/>
    <w:rsid w:val="00082659"/>
    <w:rsid w:val="000849EE"/>
    <w:rsid w:val="00086D34"/>
    <w:rsid w:val="000957DC"/>
    <w:rsid w:val="000A2209"/>
    <w:rsid w:val="000A597A"/>
    <w:rsid w:val="000B2A71"/>
    <w:rsid w:val="000D6A47"/>
    <w:rsid w:val="000D6C9F"/>
    <w:rsid w:val="000D718C"/>
    <w:rsid w:val="000E1EB9"/>
    <w:rsid w:val="000E2F2D"/>
    <w:rsid w:val="000E3C79"/>
    <w:rsid w:val="000E46FB"/>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D35C1"/>
    <w:rsid w:val="001E0948"/>
    <w:rsid w:val="001E1194"/>
    <w:rsid w:val="001E1ED6"/>
    <w:rsid w:val="001E2280"/>
    <w:rsid w:val="001E4EC7"/>
    <w:rsid w:val="001F1D8F"/>
    <w:rsid w:val="001F50BB"/>
    <w:rsid w:val="0020673C"/>
    <w:rsid w:val="00206E42"/>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A07E2"/>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65CD9"/>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23847"/>
    <w:rsid w:val="00442874"/>
    <w:rsid w:val="00445ACC"/>
    <w:rsid w:val="00447443"/>
    <w:rsid w:val="00454530"/>
    <w:rsid w:val="004559BF"/>
    <w:rsid w:val="0046152A"/>
    <w:rsid w:val="00462B32"/>
    <w:rsid w:val="0046721D"/>
    <w:rsid w:val="00475E97"/>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018B0"/>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3311F"/>
    <w:rsid w:val="0064041F"/>
    <w:rsid w:val="0064377F"/>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B6FA2"/>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12ADB"/>
    <w:rsid w:val="008203AF"/>
    <w:rsid w:val="00837080"/>
    <w:rsid w:val="008376AE"/>
    <w:rsid w:val="00846217"/>
    <w:rsid w:val="008464C5"/>
    <w:rsid w:val="008565D2"/>
    <w:rsid w:val="00863D2B"/>
    <w:rsid w:val="00871370"/>
    <w:rsid w:val="008748DF"/>
    <w:rsid w:val="00874D50"/>
    <w:rsid w:val="008808C6"/>
    <w:rsid w:val="008832BA"/>
    <w:rsid w:val="0089092D"/>
    <w:rsid w:val="008A03AD"/>
    <w:rsid w:val="008A6A4F"/>
    <w:rsid w:val="008B0271"/>
    <w:rsid w:val="008C2892"/>
    <w:rsid w:val="008C7DC7"/>
    <w:rsid w:val="008D5398"/>
    <w:rsid w:val="008E72A8"/>
    <w:rsid w:val="008E7554"/>
    <w:rsid w:val="008F067A"/>
    <w:rsid w:val="008F740B"/>
    <w:rsid w:val="00912DBC"/>
    <w:rsid w:val="0091406C"/>
    <w:rsid w:val="00914D50"/>
    <w:rsid w:val="00916F8C"/>
    <w:rsid w:val="00917AD2"/>
    <w:rsid w:val="00932678"/>
    <w:rsid w:val="0094008B"/>
    <w:rsid w:val="00946763"/>
    <w:rsid w:val="0096590B"/>
    <w:rsid w:val="00990CCE"/>
    <w:rsid w:val="009A031F"/>
    <w:rsid w:val="009A3DCF"/>
    <w:rsid w:val="009B0739"/>
    <w:rsid w:val="009B26B4"/>
    <w:rsid w:val="009B27D1"/>
    <w:rsid w:val="009B2A94"/>
    <w:rsid w:val="009C0589"/>
    <w:rsid w:val="009C125C"/>
    <w:rsid w:val="009C2CA1"/>
    <w:rsid w:val="009C2F9D"/>
    <w:rsid w:val="009C47CA"/>
    <w:rsid w:val="009C7A29"/>
    <w:rsid w:val="009F6429"/>
    <w:rsid w:val="009F6952"/>
    <w:rsid w:val="00A00C6E"/>
    <w:rsid w:val="00A1166E"/>
    <w:rsid w:val="00A1241A"/>
    <w:rsid w:val="00A142C6"/>
    <w:rsid w:val="00A2047B"/>
    <w:rsid w:val="00A250D7"/>
    <w:rsid w:val="00A34852"/>
    <w:rsid w:val="00A41BC6"/>
    <w:rsid w:val="00A42A12"/>
    <w:rsid w:val="00A5188A"/>
    <w:rsid w:val="00A536FE"/>
    <w:rsid w:val="00A56620"/>
    <w:rsid w:val="00A64573"/>
    <w:rsid w:val="00A64A8B"/>
    <w:rsid w:val="00A70C3C"/>
    <w:rsid w:val="00A77E61"/>
    <w:rsid w:val="00A81E65"/>
    <w:rsid w:val="00A9441F"/>
    <w:rsid w:val="00AA29F7"/>
    <w:rsid w:val="00AA5D6F"/>
    <w:rsid w:val="00AA5FE5"/>
    <w:rsid w:val="00AB08FD"/>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5669"/>
    <w:rsid w:val="00B77F17"/>
    <w:rsid w:val="00B805AE"/>
    <w:rsid w:val="00B93DDD"/>
    <w:rsid w:val="00BB1CDD"/>
    <w:rsid w:val="00BB2CB6"/>
    <w:rsid w:val="00BB7ADC"/>
    <w:rsid w:val="00BC1066"/>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0856"/>
    <w:rsid w:val="00D22270"/>
    <w:rsid w:val="00D249CB"/>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22BB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3F53"/>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6830"/>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DBCC-BDF9-4E44-B430-492B0C57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5775</Words>
  <Characters>31188</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109</cp:revision>
  <cp:lastPrinted>2001-08-21T07:59:00Z</cp:lastPrinted>
  <dcterms:created xsi:type="dcterms:W3CDTF">2020-04-01T22:05:00Z</dcterms:created>
  <dcterms:modified xsi:type="dcterms:W3CDTF">2020-04-06T02:36:00Z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