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proofErr w:type="gramStart"/>
      <w:r>
        <w:t>o usuário</w:t>
      </w:r>
      <w:r w:rsidR="005E12CA">
        <w:t>s</w:t>
      </w:r>
      <w:proofErr w:type="gramEnd"/>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5D1A3D90"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tenha como objetivo de estudo exploratório</w:t>
      </w:r>
      <w:r w:rsidR="009C47CA">
        <w:t>.</w:t>
      </w:r>
      <w:commentRangeEnd w:id="4"/>
      <w:r w:rsidR="007569CE">
        <w:rPr>
          <w:rStyle w:val="Refdecomentrio"/>
        </w:rPr>
        <w:commentReference w:id="4"/>
      </w:r>
      <w:commentRangeEnd w:id="5"/>
      <w:r w:rsidR="00C01A25">
        <w:rPr>
          <w:rStyle w:val="Refdecomentrio"/>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w:t>
      </w:r>
      <w:bookmarkStart w:id="6" w:name="_GoBack"/>
      <w:bookmarkEnd w:id="6"/>
      <w:r w:rsidR="00990CCE">
        <w:t xml:space="preserve">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709ECF42"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308712EA" w14:textId="1782153C"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w:t>
      </w:r>
      <w:r w:rsidR="00C01A25">
        <w:t>ão</w:t>
      </w:r>
      <w:r w:rsidR="002D56D4">
        <w:t xml:space="preserve"> aplicado</w:t>
      </w:r>
      <w:r w:rsidR="00C01A25">
        <w:t>s</w:t>
      </w:r>
      <w:r w:rsidR="002D56D4">
        <w:t xml:space="preserve"> os conhecimentos de RecSys nos dados de contexto</w:t>
      </w:r>
      <w:r w:rsidR="00C01A25">
        <w:t>s</w:t>
      </w:r>
      <w:r w:rsidR="002D56D4">
        <w:t xml:space="preserve"> relacionados à música</w:t>
      </w:r>
      <w:r w:rsidR="00C01A25">
        <w:t>,</w:t>
      </w:r>
      <w:r w:rsidR="002D56D4">
        <w:t xml:space="preserve"> gerando resultados </w:t>
      </w:r>
      <w:r w:rsidR="00C32068">
        <w:t>estatísticos</w:t>
      </w:r>
      <w:r w:rsidR="002D56D4">
        <w:t xml:space="preserve"> das tendências </w:t>
      </w:r>
      <w:r w:rsidR="007B5113">
        <w:t>d</w:t>
      </w:r>
      <w:r w:rsidR="002D56D4">
        <w:t>e comportamentos dos usuários</w:t>
      </w:r>
      <w:r w:rsidR="00760DD1">
        <w:t>.</w:t>
      </w:r>
    </w:p>
    <w:p w14:paraId="4E284B30" w14:textId="5B4FBF21"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RecSys </w:t>
      </w:r>
      <w:r w:rsidR="00C01A25">
        <w:t>sobre os</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7"/>
            <w:r>
              <w:t xml:space="preserve">Estudar técnicas para avaliar </w:t>
            </w:r>
            <w:commentRangeStart w:id="8"/>
            <w:r>
              <w:t>os</w:t>
            </w:r>
            <w:commentRangeEnd w:id="8"/>
            <w:r w:rsidR="001E1194">
              <w:rPr>
                <w:rStyle w:val="Refdecomentrio"/>
              </w:rPr>
              <w:commentReference w:id="8"/>
            </w:r>
            <w:r>
              <w:t xml:space="preserve"> </w:t>
            </w:r>
            <w:r w:rsidR="00F57066">
              <w:t>resultados</w:t>
            </w:r>
            <w:commentRangeEnd w:id="7"/>
            <w:r w:rsidR="001E1194">
              <w:rPr>
                <w:rStyle w:val="Refdecomentrio"/>
              </w:rPr>
              <w:commentReference w:id="7"/>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w:t>
            </w:r>
            <w:proofErr w:type="gramStart"/>
            <w:r>
              <w:t>playlist</w:t>
            </w:r>
            <w:proofErr w:type="gramEnd"/>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9"/>
            <w:commentRangeStart w:id="10"/>
            <w:r>
              <w:t>Análise dos resultados</w:t>
            </w:r>
            <w:commentRangeEnd w:id="9"/>
            <w:r w:rsidR="001E1194">
              <w:rPr>
                <w:rStyle w:val="Refdecomentrio"/>
              </w:rPr>
              <w:commentReference w:id="9"/>
            </w:r>
            <w:commentRangeEnd w:id="10"/>
            <w:r w:rsidR="00CE43CD">
              <w:rPr>
                <w:rStyle w:val="Refdecomentrio"/>
              </w:rPr>
              <w:commentReference w:id="10"/>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5"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8"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7" w:author="Juliano Varella De Carvalho" w:date="2020-04-01T19:03:00Z" w:initials="JVDC">
    <w:p w14:paraId="37906A3B" w14:textId="3A481B12" w:rsidR="001E1194" w:rsidRDefault="001E1194">
      <w:pPr>
        <w:pStyle w:val="Textodecomentrio"/>
      </w:pPr>
      <w:r>
        <w:rPr>
          <w:rStyle w:val="Refdecomentrio"/>
        </w:rPr>
        <w:annotationRef/>
      </w:r>
    </w:p>
  </w:comment>
  <w:comment w:id="9"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10"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8CD8C" w14:textId="77777777" w:rsidR="00A5525D" w:rsidRDefault="00A5525D">
      <w:r>
        <w:separator/>
      </w:r>
    </w:p>
  </w:endnote>
  <w:endnote w:type="continuationSeparator" w:id="0">
    <w:p w14:paraId="3D32500C" w14:textId="77777777" w:rsidR="00A5525D" w:rsidRDefault="00A5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A6CD9" w14:textId="77777777" w:rsidR="00A5525D" w:rsidRDefault="00A5525D">
      <w:r>
        <w:separator/>
      </w:r>
    </w:p>
  </w:footnote>
  <w:footnote w:type="continuationSeparator" w:id="0">
    <w:p w14:paraId="6065D7EB" w14:textId="77777777" w:rsidR="00A5525D" w:rsidRDefault="00A55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08C6"/>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0589"/>
    <w:rsid w:val="009C125C"/>
    <w:rsid w:val="009C2F9D"/>
    <w:rsid w:val="009C47CA"/>
    <w:rsid w:val="009C7A29"/>
    <w:rsid w:val="009F6429"/>
    <w:rsid w:val="009F6952"/>
    <w:rsid w:val="00A00C6E"/>
    <w:rsid w:val="00A1166E"/>
    <w:rsid w:val="00A1241A"/>
    <w:rsid w:val="00A142C6"/>
    <w:rsid w:val="00A2047B"/>
    <w:rsid w:val="00A250D7"/>
    <w:rsid w:val="00A34852"/>
    <w:rsid w:val="00A42A12"/>
    <w:rsid w:val="00A5188A"/>
    <w:rsid w:val="00A536FE"/>
    <w:rsid w:val="00A5525D"/>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5669"/>
    <w:rsid w:val="00B77F17"/>
    <w:rsid w:val="00B805AE"/>
    <w:rsid w:val="00B93DDD"/>
    <w:rsid w:val="00BB1CDD"/>
    <w:rsid w:val="00BB2CB6"/>
    <w:rsid w:val="00BB7ADC"/>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C52E-ABBF-4958-89AC-FC6C529C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5695</Words>
  <Characters>30753</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72</cp:revision>
  <cp:lastPrinted>2001-08-21T07:59:00Z</cp:lastPrinted>
  <dcterms:created xsi:type="dcterms:W3CDTF">2020-04-01T22:05:00Z</dcterms:created>
  <dcterms:modified xsi:type="dcterms:W3CDTF">2020-04-05T19:44:00Z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