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13375CEA" w:rsidR="002657F3" w:rsidRPr="00E4071D" w:rsidRDefault="002657F3" w:rsidP="00B550F0">
      <w:r>
        <w:tab/>
        <w:t xml:space="preserve">- parece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seguintes questões:</w:t>
      </w:r>
    </w:p>
    <w:p w14:paraId="1E1D35A7" w14:textId="3B2E08D7" w:rsidR="003339D8" w:rsidRDefault="003339D8" w:rsidP="00324E6A">
      <w:pPr>
        <w:pStyle w:val="PargrafodaLista"/>
        <w:numPr>
          <w:ilvl w:val="0"/>
          <w:numId w:val="39"/>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24E6A">
      <w:pPr>
        <w:pStyle w:val="PargrafodaLista"/>
        <w:numPr>
          <w:ilvl w:val="0"/>
          <w:numId w:val="39"/>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E62566E" w:rsidR="003339D8" w:rsidRDefault="003534C8" w:rsidP="00324E6A">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r w:rsidR="0072555C" w:rsidRPr="00E40D0B">
        <w:rPr>
          <w:i/>
          <w:iCs w:val="0"/>
        </w:rPr>
        <w:t>auto-tagging</w:t>
      </w:r>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C6601">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radial basis function</w:t>
      </w:r>
      <w:r w:rsidR="00EF61EA">
        <w:t xml:space="preserve"> (RBF) e </w:t>
      </w:r>
      <w:r w:rsidR="00EF61EA" w:rsidRPr="005F17F6">
        <w:rPr>
          <w:i/>
          <w:iCs w:val="0"/>
        </w:rPr>
        <w:t>support vector machine</w:t>
      </w:r>
      <w:r w:rsidR="00EF61EA">
        <w:t xml:space="preserve"> (SVM).</w:t>
      </w:r>
      <w:r w:rsidR="005C5699">
        <w:t xml:space="preserve"> Dado os problemas com dados negativos nas classificações binarias, foi utilizado a técnica </w:t>
      </w:r>
      <w:r w:rsidR="005C5699" w:rsidRPr="009E767C">
        <w:rPr>
          <w:i/>
          <w:iCs w:val="0"/>
        </w:rPr>
        <w:t>EasyEnsemble</w:t>
      </w:r>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r w:rsidR="00832E6D" w:rsidRPr="00832E6D">
        <w:rPr>
          <w:i/>
          <w:iCs w:val="0"/>
        </w:rPr>
        <w:t>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3F7E72">
        <w:rPr>
          <w:i/>
          <w:iCs w:val="0"/>
        </w:rPr>
        <w:t>tags</w:t>
      </w:r>
      <w:r w:rsidR="000B43F3">
        <w:t xml:space="preserve"> criadas, foi utilizado o </w:t>
      </w:r>
      <w:r w:rsidR="000B43F3" w:rsidRPr="000B43F3">
        <w:rPr>
          <w:i/>
          <w:iCs w:val="0"/>
        </w:rPr>
        <w:t>operating characteristic curve</w:t>
      </w:r>
      <w:r w:rsidR="000B43F3" w:rsidRPr="000B43F3">
        <w:t xml:space="preserve"> (AUC)</w:t>
      </w:r>
      <w:r w:rsidR="002F4BBE">
        <w:t xml:space="preserve"> mais especificamente o </w:t>
      </w:r>
      <w:r w:rsidR="002F4BBE" w:rsidRPr="002F4BBE">
        <w:rPr>
          <w:i/>
          <w:iCs w:val="0"/>
        </w:rPr>
        <w:t>Pearson’s linear correlation coefficien</w:t>
      </w:r>
      <w:r w:rsidR="002F4BBE" w:rsidRPr="002F4BBE">
        <w:rPr>
          <w:i/>
          <w:iCs w:val="0"/>
        </w:rPr>
        <w:t>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734AF0">
        <w:rPr>
          <w:i/>
          <w:iCs w:val="0"/>
        </w:rPr>
        <w:t>Affective Norm for English Words</w:t>
      </w:r>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r w:rsidR="009D2981" w:rsidRPr="000A5B1B">
        <w:rPr>
          <w:i/>
          <w:iCs w:val="0"/>
        </w:rPr>
        <w:t>Gaussian process regression</w:t>
      </w:r>
      <w:r w:rsidR="009D2981" w:rsidRPr="009D2981">
        <w:t>)</w:t>
      </w:r>
      <w:r w:rsidR="00266E2E">
        <w:t xml:space="preserve">, mais especificamente o método </w:t>
      </w:r>
      <w:r w:rsidR="00266E2E" w:rsidRPr="00266E2E">
        <w:rPr>
          <w:i/>
          <w:iCs w:val="0"/>
        </w:rPr>
        <w:t>isotropic rational quadratic covariance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r w:rsidR="00266E2E" w:rsidRPr="00266E2E">
        <w:rPr>
          <w:i/>
          <w:iCs w:val="0"/>
        </w:rPr>
        <w:t>Gaussian process for machine learning</w:t>
      </w:r>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563286">
        <w:rPr>
          <w:i/>
          <w:iCs w:val="0"/>
        </w:rPr>
        <w:t>MIRtoolbox</w:t>
      </w:r>
      <w:r>
        <w:t xml:space="preserve"> e o </w:t>
      </w:r>
      <w:r w:rsidRPr="00563286">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55A6A5F" w:rsidR="00F3696A" w:rsidRDefault="00F3696A" w:rsidP="009A79F4">
      <w:r>
        <w:tab/>
      </w:r>
      <w:r w:rsidR="0037792A">
        <w:t>A partir do aplicativo desenvolvido, foi possível obter os dados dos sensores,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F270414"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9C59DD">
        <w:rPr>
          <w:i/>
          <w:iCs w:val="0"/>
        </w:rPr>
        <w:t xml:space="preserve">Pearson’s linear correlation </w:t>
      </w:r>
      <w:r w:rsidR="009C59DD" w:rsidRPr="009C59DD">
        <w:rPr>
          <w:i/>
          <w:iCs w:val="0"/>
        </w:rPr>
        <w:t>coeficient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w:t>
            </w:r>
            <w:r>
              <w:lastRenderedPageBreak/>
              <w: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4EA61" w14:textId="77777777" w:rsidR="000F622D" w:rsidRDefault="000F622D" w:rsidP="0080100E">
      <w:r>
        <w:separator/>
      </w:r>
    </w:p>
    <w:p w14:paraId="39E05438" w14:textId="77777777" w:rsidR="000F622D" w:rsidRDefault="000F622D" w:rsidP="0080100E"/>
    <w:p w14:paraId="6E0BBF09" w14:textId="77777777" w:rsidR="000F622D" w:rsidRDefault="000F622D" w:rsidP="0080100E"/>
    <w:p w14:paraId="53AC9C2D" w14:textId="77777777" w:rsidR="000F622D" w:rsidRDefault="000F622D" w:rsidP="0080100E"/>
    <w:p w14:paraId="1FF0575F" w14:textId="77777777" w:rsidR="000F622D" w:rsidRDefault="000F622D" w:rsidP="0080100E"/>
    <w:p w14:paraId="62549600" w14:textId="77777777" w:rsidR="000F622D" w:rsidRDefault="000F622D" w:rsidP="0080100E"/>
    <w:p w14:paraId="620B6A92" w14:textId="77777777" w:rsidR="000F622D" w:rsidRDefault="000F622D" w:rsidP="0080100E"/>
    <w:p w14:paraId="6B044472" w14:textId="77777777" w:rsidR="000F622D" w:rsidRDefault="000F622D" w:rsidP="0080100E"/>
    <w:p w14:paraId="1DC2A85A" w14:textId="77777777" w:rsidR="000F622D" w:rsidRDefault="000F622D" w:rsidP="0080100E"/>
    <w:p w14:paraId="4FC13D91" w14:textId="77777777" w:rsidR="000F622D" w:rsidRDefault="000F622D" w:rsidP="0080100E"/>
    <w:p w14:paraId="4363B858" w14:textId="77777777" w:rsidR="000F622D" w:rsidRDefault="000F622D" w:rsidP="0080100E"/>
    <w:p w14:paraId="63A3EB8C" w14:textId="77777777" w:rsidR="000F622D" w:rsidRDefault="000F622D" w:rsidP="0080100E"/>
    <w:p w14:paraId="22904310" w14:textId="77777777" w:rsidR="000F622D" w:rsidRDefault="000F622D" w:rsidP="0080100E"/>
    <w:p w14:paraId="13697131" w14:textId="77777777" w:rsidR="000F622D" w:rsidRDefault="000F622D" w:rsidP="0080100E"/>
    <w:p w14:paraId="4F281701" w14:textId="77777777" w:rsidR="000F622D" w:rsidRDefault="000F622D"/>
    <w:p w14:paraId="50074FAA" w14:textId="77777777" w:rsidR="000F622D" w:rsidRDefault="000F622D" w:rsidP="009F310A"/>
    <w:p w14:paraId="4387FF7B" w14:textId="77777777" w:rsidR="000F622D" w:rsidRDefault="000F622D" w:rsidP="00152AD4"/>
  </w:endnote>
  <w:endnote w:type="continuationSeparator" w:id="0">
    <w:p w14:paraId="45866464" w14:textId="77777777" w:rsidR="000F622D" w:rsidRDefault="000F622D" w:rsidP="0080100E">
      <w:r>
        <w:continuationSeparator/>
      </w:r>
    </w:p>
    <w:p w14:paraId="4FC62153" w14:textId="77777777" w:rsidR="000F622D" w:rsidRDefault="000F622D" w:rsidP="0080100E"/>
    <w:p w14:paraId="7EF9548D" w14:textId="77777777" w:rsidR="000F622D" w:rsidRDefault="000F622D" w:rsidP="0080100E"/>
    <w:p w14:paraId="3E2D988A" w14:textId="77777777" w:rsidR="000F622D" w:rsidRDefault="000F622D" w:rsidP="0080100E"/>
    <w:p w14:paraId="7641AE96" w14:textId="77777777" w:rsidR="000F622D" w:rsidRDefault="000F622D" w:rsidP="0080100E"/>
    <w:p w14:paraId="50D3A322" w14:textId="77777777" w:rsidR="000F622D" w:rsidRDefault="000F622D" w:rsidP="0080100E"/>
    <w:p w14:paraId="622625E4" w14:textId="77777777" w:rsidR="000F622D" w:rsidRDefault="000F622D" w:rsidP="0080100E"/>
    <w:p w14:paraId="6C889429" w14:textId="77777777" w:rsidR="000F622D" w:rsidRDefault="000F622D" w:rsidP="0080100E"/>
    <w:p w14:paraId="4EA8DE28" w14:textId="77777777" w:rsidR="000F622D" w:rsidRDefault="000F622D" w:rsidP="0080100E"/>
    <w:p w14:paraId="3F5F88B6" w14:textId="77777777" w:rsidR="000F622D" w:rsidRDefault="000F622D" w:rsidP="0080100E"/>
    <w:p w14:paraId="4F0C8256" w14:textId="77777777" w:rsidR="000F622D" w:rsidRDefault="000F622D" w:rsidP="0080100E"/>
    <w:p w14:paraId="2DF0FD60" w14:textId="77777777" w:rsidR="000F622D" w:rsidRDefault="000F622D" w:rsidP="0080100E"/>
    <w:p w14:paraId="11352771" w14:textId="77777777" w:rsidR="000F622D" w:rsidRDefault="000F622D" w:rsidP="0080100E"/>
    <w:p w14:paraId="3F36CC2E" w14:textId="77777777" w:rsidR="000F622D" w:rsidRDefault="000F622D" w:rsidP="0080100E"/>
    <w:p w14:paraId="3443C80B" w14:textId="77777777" w:rsidR="000F622D" w:rsidRDefault="000F622D"/>
    <w:p w14:paraId="275E24D7" w14:textId="77777777" w:rsidR="000F622D" w:rsidRDefault="000F622D" w:rsidP="009F310A"/>
    <w:p w14:paraId="61B81396" w14:textId="77777777" w:rsidR="000F622D" w:rsidRDefault="000F622D"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613C" w14:textId="77777777" w:rsidR="000F622D" w:rsidRDefault="000F622D" w:rsidP="0080100E">
      <w:r>
        <w:separator/>
      </w:r>
    </w:p>
    <w:p w14:paraId="4E74007B" w14:textId="77777777" w:rsidR="000F622D" w:rsidRDefault="000F622D" w:rsidP="0080100E"/>
    <w:p w14:paraId="534345AD" w14:textId="77777777" w:rsidR="000F622D" w:rsidRDefault="000F622D" w:rsidP="0080100E"/>
    <w:p w14:paraId="56D4D344" w14:textId="77777777" w:rsidR="000F622D" w:rsidRDefault="000F622D" w:rsidP="0080100E"/>
    <w:p w14:paraId="3DB9B43D" w14:textId="77777777" w:rsidR="000F622D" w:rsidRDefault="000F622D" w:rsidP="0080100E"/>
    <w:p w14:paraId="18446E84" w14:textId="77777777" w:rsidR="000F622D" w:rsidRDefault="000F622D"/>
    <w:p w14:paraId="14507614" w14:textId="77777777" w:rsidR="000F622D" w:rsidRDefault="000F622D" w:rsidP="009F310A"/>
    <w:p w14:paraId="6DCE929D" w14:textId="77777777" w:rsidR="000F622D" w:rsidRDefault="000F622D" w:rsidP="00152AD4"/>
  </w:footnote>
  <w:footnote w:type="continuationSeparator" w:id="0">
    <w:p w14:paraId="0682CF66" w14:textId="77777777" w:rsidR="000F622D" w:rsidRDefault="000F622D" w:rsidP="0080100E">
      <w:r>
        <w:continuationSeparator/>
      </w:r>
    </w:p>
    <w:p w14:paraId="635B3440" w14:textId="77777777" w:rsidR="000F622D" w:rsidRDefault="000F622D" w:rsidP="0080100E"/>
    <w:p w14:paraId="3CF05DEE" w14:textId="77777777" w:rsidR="000F622D" w:rsidRDefault="000F622D" w:rsidP="0080100E"/>
    <w:p w14:paraId="6C5055C4" w14:textId="77777777" w:rsidR="000F622D" w:rsidRDefault="000F622D" w:rsidP="0080100E"/>
    <w:p w14:paraId="60F72607" w14:textId="77777777" w:rsidR="000F622D" w:rsidRDefault="000F622D" w:rsidP="0080100E"/>
    <w:p w14:paraId="047AD50E" w14:textId="77777777" w:rsidR="000F622D" w:rsidRDefault="000F622D" w:rsidP="0080100E"/>
    <w:p w14:paraId="774C2CE2" w14:textId="77777777" w:rsidR="000F622D" w:rsidRDefault="000F622D" w:rsidP="0080100E"/>
    <w:p w14:paraId="4062E026" w14:textId="77777777" w:rsidR="000F622D" w:rsidRDefault="000F622D" w:rsidP="0080100E"/>
    <w:p w14:paraId="2C3DE9FF" w14:textId="77777777" w:rsidR="000F622D" w:rsidRDefault="000F622D" w:rsidP="0080100E"/>
    <w:p w14:paraId="5E46AD75" w14:textId="77777777" w:rsidR="000F622D" w:rsidRDefault="000F622D" w:rsidP="0080100E"/>
    <w:p w14:paraId="587948D4" w14:textId="77777777" w:rsidR="000F622D" w:rsidRDefault="000F622D" w:rsidP="0080100E"/>
    <w:p w14:paraId="3FEBD95D" w14:textId="77777777" w:rsidR="000F622D" w:rsidRDefault="000F622D" w:rsidP="0080100E"/>
    <w:p w14:paraId="55FE9149" w14:textId="77777777" w:rsidR="000F622D" w:rsidRDefault="000F622D" w:rsidP="0080100E"/>
    <w:p w14:paraId="221888D2" w14:textId="77777777" w:rsidR="000F622D" w:rsidRDefault="000F622D" w:rsidP="0080100E"/>
    <w:p w14:paraId="224597F7" w14:textId="77777777" w:rsidR="000F622D" w:rsidRDefault="000F622D"/>
    <w:p w14:paraId="62E390A2" w14:textId="77777777" w:rsidR="000F622D" w:rsidRDefault="000F622D" w:rsidP="009F310A"/>
    <w:p w14:paraId="4F306FA4" w14:textId="77777777" w:rsidR="000F622D" w:rsidRDefault="000F622D"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6"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4"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5"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8"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1"/>
  </w:num>
  <w:num w:numId="4">
    <w:abstractNumId w:val="23"/>
  </w:num>
  <w:num w:numId="5">
    <w:abstractNumId w:val="27"/>
  </w:num>
  <w:num w:numId="6">
    <w:abstractNumId w:val="26"/>
  </w:num>
  <w:num w:numId="7">
    <w:abstractNumId w:val="25"/>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0"/>
  </w:num>
  <w:num w:numId="12">
    <w:abstractNumId w:val="18"/>
  </w:num>
  <w:num w:numId="13">
    <w:abstractNumId w:val="28"/>
  </w:num>
  <w:num w:numId="14">
    <w:abstractNumId w:val="12"/>
  </w:num>
  <w:num w:numId="15">
    <w:abstractNumId w:val="19"/>
  </w:num>
  <w:num w:numId="16">
    <w:abstractNumId w:val="28"/>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2"/>
  </w:num>
  <w:num w:numId="25">
    <w:abstractNumId w:val="10"/>
  </w:num>
  <w:num w:numId="26">
    <w:abstractNumId w:val="14"/>
  </w:num>
  <w:num w:numId="27">
    <w:abstractNumId w:val="15"/>
  </w:num>
  <w:num w:numId="28">
    <w:abstractNumId w:val="3"/>
  </w:num>
  <w:num w:numId="29">
    <w:abstractNumId w:val="21"/>
  </w:num>
  <w:num w:numId="30">
    <w:abstractNumId w:val="7"/>
  </w:num>
  <w:num w:numId="31">
    <w:abstractNumId w:val="11"/>
  </w:num>
  <w:num w:numId="32">
    <w:abstractNumId w:val="5"/>
  </w:num>
  <w:num w:numId="33">
    <w:abstractNumId w:val="22"/>
  </w:num>
  <w:num w:numId="34">
    <w:abstractNumId w:val="17"/>
  </w:num>
  <w:num w:numId="35">
    <w:abstractNumId w:val="13"/>
  </w:num>
  <w:num w:numId="36">
    <w:abstractNumId w:val="29"/>
  </w:num>
  <w:num w:numId="37">
    <w:abstractNumId w:val="16"/>
  </w:num>
  <w:num w:numId="38">
    <w:abstractNumId w:val="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6881"/>
    <w:rsid w:val="000069A5"/>
    <w:rsid w:val="00007E27"/>
    <w:rsid w:val="0001141D"/>
    <w:rsid w:val="000118EE"/>
    <w:rsid w:val="00011D1C"/>
    <w:rsid w:val="00016710"/>
    <w:rsid w:val="00025BC5"/>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E08FD"/>
    <w:rsid w:val="000E1D95"/>
    <w:rsid w:val="000E38E4"/>
    <w:rsid w:val="000E7C35"/>
    <w:rsid w:val="000F03E2"/>
    <w:rsid w:val="000F2A3F"/>
    <w:rsid w:val="000F2CA3"/>
    <w:rsid w:val="000F39E5"/>
    <w:rsid w:val="000F3B13"/>
    <w:rsid w:val="000F48FA"/>
    <w:rsid w:val="000F4E17"/>
    <w:rsid w:val="000F5554"/>
    <w:rsid w:val="000F622D"/>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C3942"/>
    <w:rsid w:val="001C3AF8"/>
    <w:rsid w:val="001C3DD0"/>
    <w:rsid w:val="001D208F"/>
    <w:rsid w:val="001D5A80"/>
    <w:rsid w:val="001E0A1A"/>
    <w:rsid w:val="001E1F73"/>
    <w:rsid w:val="001E4C5D"/>
    <w:rsid w:val="001E5816"/>
    <w:rsid w:val="001F2A84"/>
    <w:rsid w:val="001F5A21"/>
    <w:rsid w:val="0020033C"/>
    <w:rsid w:val="00201E61"/>
    <w:rsid w:val="0020708D"/>
    <w:rsid w:val="002074FA"/>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421"/>
    <w:rsid w:val="004A3A38"/>
    <w:rsid w:val="004A3C17"/>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DDB"/>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C0BCD"/>
    <w:rsid w:val="009C1497"/>
    <w:rsid w:val="009C3028"/>
    <w:rsid w:val="009C59DD"/>
    <w:rsid w:val="009D0E14"/>
    <w:rsid w:val="009D1033"/>
    <w:rsid w:val="009D157F"/>
    <w:rsid w:val="009D23B5"/>
    <w:rsid w:val="009D2981"/>
    <w:rsid w:val="009D3C7F"/>
    <w:rsid w:val="009D42A5"/>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0DD"/>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16FBA"/>
    <w:rsid w:val="00E233E2"/>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3C7F"/>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BA92B-224F-4CAD-B6F6-88FC8B0E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34</Pages>
  <Words>12172</Words>
  <Characters>65733</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77750</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1552</cp:revision>
  <cp:lastPrinted>2003-10-22T01:33:00Z</cp:lastPrinted>
  <dcterms:created xsi:type="dcterms:W3CDTF">2018-05-30T22:47:00Z</dcterms:created>
  <dcterms:modified xsi:type="dcterms:W3CDTF">2020-06-01T03:35:00Z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