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955759"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955759"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955759"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955759"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955759"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955759"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955759"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955759"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955759"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955759"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955759"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955759"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955759"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955759"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955759"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955759"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955759"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955759"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r w:rsidRPr="003217A5">
        <w:t>Context-aware</w:t>
      </w:r>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proceedings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realizadoa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r w:rsidR="009765AA" w:rsidRPr="00BE3559">
        <w:rPr>
          <w:i/>
        </w:rPr>
        <w:lastRenderedPageBreak/>
        <w:t>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iCs w:val="0"/>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iCs w:val="0"/>
        </w:rPr>
        <w:t>playlist</w:t>
      </w:r>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iCs w:val="0"/>
        </w:rPr>
        <w:t>playlist</w:t>
      </w:r>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w:t>
      </w:r>
      <w:r>
        <w:lastRenderedPageBreak/>
        <w:t xml:space="preserve">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w:t>
      </w:r>
      <w:r w:rsidR="00C3028F" w:rsidRPr="00C3028F">
        <w:t xml:space="preserve">coeficiente de correlação de </w:t>
      </w:r>
      <w:r w:rsidR="00417CDC" w:rsidRPr="00417CDC">
        <w:t>Kendallτ</w:t>
      </w:r>
      <w:r w:rsidR="00E15CAF">
        <w:t>; (ii)</w:t>
      </w:r>
      <w:r w:rsidR="00417CDC">
        <w:t xml:space="preserve"> </w:t>
      </w:r>
      <w:r w:rsidR="002A269B" w:rsidRPr="00417CDC">
        <w:t>τ-AP</w:t>
      </w:r>
      <w:r w:rsidR="00DE48FC">
        <w:t xml:space="preserve"> para calcular a </w:t>
      </w:r>
      <w:r w:rsidR="000D1F97">
        <w:t>relevância</w:t>
      </w:r>
      <w:r w:rsidR="00DE48FC">
        <w:t xml:space="preserve"> das recomendações</w:t>
      </w:r>
      <w:r w:rsidR="00E15CAF">
        <w:t xml:space="preserve">; (iii) </w:t>
      </w:r>
      <w:r w:rsidR="00EA778A">
        <w:t xml:space="preserve">uma variação do </w:t>
      </w:r>
      <w:r w:rsidR="00EA778A" w:rsidRPr="00EA778A">
        <w:rPr>
          <w:i/>
          <w:iCs w:val="0"/>
        </w:rPr>
        <w:t>Mean Reciprocal Rank</w:t>
      </w:r>
      <w:r w:rsidR="00EA778A" w:rsidRPr="00EA778A">
        <w:t xml:space="preserve"> </w:t>
      </w:r>
      <w:r w:rsidR="00EA778A">
        <w:t>(</w:t>
      </w:r>
      <w:r w:rsidR="00417CDC" w:rsidRPr="00417CDC">
        <w:t>nMMR</w:t>
      </w:r>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CC3BF9">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w:t>
      </w:r>
      <w:r w:rsidR="00135ED6">
        <w:lastRenderedPageBreak/>
        <w:t>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w:t>
      </w:r>
      <w:r w:rsidR="00266E2E">
        <w:lastRenderedPageBreak/>
        <w:t xml:space="preserve">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CC3BF9">
      <w:pPr>
        <w:pStyle w:val="Legenda"/>
      </w:pPr>
      <w:bookmarkStart w:id="29" w:name="_Toc42024460"/>
      <w:r>
        <w:t xml:space="preserve">Figura </w:t>
      </w:r>
      <w:fldSimple w:instr=" SEQ Figura \* ARABIC ">
        <w:r w:rsidR="00A55426">
          <w:rPr>
            <w:noProof/>
          </w:rPr>
          <w:t>7</w:t>
        </w:r>
      </w:fldSimple>
      <w:r>
        <w:t xml:space="preserve"> Fatores da preferência musical </w:t>
      </w:r>
      <w:r w:rsidRPr="00353DD1">
        <w:t>(próprio, 2020)</w:t>
      </w:r>
      <w:bookmarkEnd w:id="29"/>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0" w:name="OLE_LINK1"/>
      <w:r w:rsidR="005F2713">
        <w:t xml:space="preserve"> </w:t>
      </w:r>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a tecnica de avali</w:t>
            </w:r>
            <w:r w:rsidR="00FC3090">
              <w:t>ação</w:t>
            </w:r>
            <w:r w:rsidRPr="00FC3090">
              <w:t xml:space="preserve"> </w:t>
            </w:r>
            <w:r w:rsidR="003354BF" w:rsidRPr="00FC3090">
              <w:t>operating characteristic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agotimo </w:t>
            </w:r>
            <w:r w:rsidRPr="002A59B1">
              <w:t>support vector machine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radial basis function</w:t>
            </w:r>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1" w:name="_Toc42267309"/>
      <w:r w:rsidRPr="007B0815">
        <w:lastRenderedPageBreak/>
        <w:t xml:space="preserve">Modelagem do </w:t>
      </w:r>
      <w:bookmarkEnd w:id="31"/>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musicas a partir da relação de contexto x musica?</w:t>
      </w:r>
    </w:p>
    <w:p w14:paraId="2EA516B0" w14:textId="77777777" w:rsidR="0052514E" w:rsidRDefault="0052514E" w:rsidP="00CC3BF9"/>
    <w:p w14:paraId="755D63D7" w14:textId="5A182F58" w:rsidR="002B6979" w:rsidRDefault="00DE09F4" w:rsidP="00CC3BF9">
      <w:pPr>
        <w:pStyle w:val="Ttulo2"/>
      </w:pPr>
      <w:bookmarkStart w:id="32" w:name="_Toc42267310"/>
      <w:r>
        <w:t>Contexto</w:t>
      </w:r>
      <w:bookmarkEnd w:id="32"/>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3" w:name="_Toc42267311"/>
      <w:r w:rsidRPr="008849DE">
        <w:t>O que é o contexto comportamental?</w:t>
      </w:r>
      <w:bookmarkEnd w:id="33"/>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4" w:name="_Toc42267312"/>
      <w:r w:rsidRPr="008849DE">
        <w:t>O que é o contexto ambiente?</w:t>
      </w:r>
      <w:bookmarkEnd w:id="34"/>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5" w:name="_Toc42267313"/>
      <w:r w:rsidRPr="008849DE">
        <w:t>Como será obtido os contextos?</w:t>
      </w:r>
      <w:bookmarkEnd w:id="35"/>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36" w:name="_Toc42267314"/>
      <w:r>
        <w:t>Arquitetura do sistema</w:t>
      </w:r>
      <w:bookmarkEnd w:id="36"/>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CC3BF9">
      <w:pPr>
        <w:pStyle w:val="Ttulo1"/>
      </w:pPr>
      <w:bookmarkStart w:id="37" w:name="_Toc42267315"/>
      <w:r w:rsidRPr="006C1E7D">
        <w:lastRenderedPageBreak/>
        <w:t>CONCLUSÃO</w:t>
      </w:r>
      <w:bookmarkEnd w:id="37"/>
    </w:p>
    <w:p w14:paraId="47EB916B" w14:textId="6E7F5E72" w:rsidR="008F2AE9" w:rsidRDefault="00DF3A09" w:rsidP="00CC3BF9">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38" w:name="_Toc42267316"/>
      <w:r w:rsidRPr="00310EA6">
        <w:lastRenderedPageBreak/>
        <w:t>Referências Bibliográficas</w:t>
      </w:r>
      <w:bookmarkEnd w:id="38"/>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F1A9A" w14:textId="77777777" w:rsidR="00955759" w:rsidRDefault="00955759" w:rsidP="00CC3BF9">
      <w:r>
        <w:separator/>
      </w:r>
    </w:p>
    <w:p w14:paraId="6E8C5178" w14:textId="77777777" w:rsidR="00955759" w:rsidRDefault="00955759" w:rsidP="00CC3BF9"/>
    <w:p w14:paraId="181E6C65" w14:textId="77777777" w:rsidR="00955759" w:rsidRDefault="00955759" w:rsidP="00CC3BF9"/>
    <w:p w14:paraId="623125A6" w14:textId="77777777" w:rsidR="00955759" w:rsidRDefault="00955759" w:rsidP="00CC3BF9"/>
    <w:p w14:paraId="127E2BAC" w14:textId="77777777" w:rsidR="00955759" w:rsidRDefault="00955759" w:rsidP="00CC3BF9"/>
    <w:p w14:paraId="0D5E1B36" w14:textId="77777777" w:rsidR="00955759" w:rsidRDefault="00955759" w:rsidP="00CC3BF9"/>
    <w:p w14:paraId="6E46A328" w14:textId="77777777" w:rsidR="00955759" w:rsidRDefault="00955759" w:rsidP="00CC3BF9"/>
    <w:p w14:paraId="26EE2CBE" w14:textId="77777777" w:rsidR="00955759" w:rsidRDefault="00955759" w:rsidP="00CC3BF9"/>
    <w:p w14:paraId="1A374E91" w14:textId="77777777" w:rsidR="00955759" w:rsidRDefault="00955759" w:rsidP="00CC3BF9"/>
    <w:p w14:paraId="56CDC679" w14:textId="77777777" w:rsidR="00955759" w:rsidRDefault="00955759" w:rsidP="00CC3BF9"/>
    <w:p w14:paraId="2F43F9D5" w14:textId="77777777" w:rsidR="00955759" w:rsidRDefault="00955759" w:rsidP="00CC3BF9"/>
    <w:p w14:paraId="5DD42D1B" w14:textId="77777777" w:rsidR="00955759" w:rsidRDefault="00955759" w:rsidP="00CC3BF9"/>
    <w:p w14:paraId="2FD33EA6" w14:textId="77777777" w:rsidR="00955759" w:rsidRDefault="00955759" w:rsidP="00CC3BF9"/>
    <w:p w14:paraId="561737FA" w14:textId="77777777" w:rsidR="00955759" w:rsidRDefault="00955759" w:rsidP="00CC3BF9"/>
    <w:p w14:paraId="53CB4B35" w14:textId="77777777" w:rsidR="00955759" w:rsidRDefault="00955759" w:rsidP="00CC3BF9"/>
    <w:p w14:paraId="391124D8" w14:textId="77777777" w:rsidR="00955759" w:rsidRDefault="00955759" w:rsidP="00CC3BF9"/>
    <w:p w14:paraId="61BF3E38" w14:textId="77777777" w:rsidR="00955759" w:rsidRDefault="00955759" w:rsidP="00CC3BF9"/>
  </w:endnote>
  <w:endnote w:type="continuationSeparator" w:id="0">
    <w:p w14:paraId="4E990675" w14:textId="77777777" w:rsidR="00955759" w:rsidRDefault="00955759" w:rsidP="00CC3BF9">
      <w:r>
        <w:continuationSeparator/>
      </w:r>
    </w:p>
    <w:p w14:paraId="5F998B06" w14:textId="77777777" w:rsidR="00955759" w:rsidRDefault="00955759" w:rsidP="00CC3BF9"/>
    <w:p w14:paraId="2077464A" w14:textId="77777777" w:rsidR="00955759" w:rsidRDefault="00955759" w:rsidP="00CC3BF9"/>
    <w:p w14:paraId="1AD047F2" w14:textId="77777777" w:rsidR="00955759" w:rsidRDefault="00955759" w:rsidP="00CC3BF9"/>
    <w:p w14:paraId="4364D832" w14:textId="77777777" w:rsidR="00955759" w:rsidRDefault="00955759" w:rsidP="00CC3BF9"/>
    <w:p w14:paraId="0EC6C25F" w14:textId="77777777" w:rsidR="00955759" w:rsidRDefault="00955759" w:rsidP="00CC3BF9"/>
    <w:p w14:paraId="7A1B5F92" w14:textId="77777777" w:rsidR="00955759" w:rsidRDefault="00955759" w:rsidP="00CC3BF9"/>
    <w:p w14:paraId="072E5290" w14:textId="77777777" w:rsidR="00955759" w:rsidRDefault="00955759" w:rsidP="00CC3BF9"/>
    <w:p w14:paraId="17220ECB" w14:textId="77777777" w:rsidR="00955759" w:rsidRDefault="00955759" w:rsidP="00CC3BF9"/>
    <w:p w14:paraId="109E493B" w14:textId="77777777" w:rsidR="00955759" w:rsidRDefault="00955759" w:rsidP="00CC3BF9"/>
    <w:p w14:paraId="236C1ADA" w14:textId="77777777" w:rsidR="00955759" w:rsidRDefault="00955759" w:rsidP="00CC3BF9"/>
    <w:p w14:paraId="054EDC70" w14:textId="77777777" w:rsidR="00955759" w:rsidRDefault="00955759" w:rsidP="00CC3BF9"/>
    <w:p w14:paraId="3D6B73DA" w14:textId="77777777" w:rsidR="00955759" w:rsidRDefault="00955759" w:rsidP="00CC3BF9"/>
    <w:p w14:paraId="5E4850C1" w14:textId="77777777" w:rsidR="00955759" w:rsidRDefault="00955759" w:rsidP="00CC3BF9"/>
    <w:p w14:paraId="174EDECC" w14:textId="77777777" w:rsidR="00955759" w:rsidRDefault="00955759" w:rsidP="00CC3BF9"/>
    <w:p w14:paraId="47C5F40D" w14:textId="77777777" w:rsidR="00955759" w:rsidRDefault="00955759" w:rsidP="00CC3BF9"/>
    <w:p w14:paraId="10307C8E" w14:textId="77777777" w:rsidR="00955759" w:rsidRDefault="00955759"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FCDBA" w14:textId="77777777" w:rsidR="00955759" w:rsidRDefault="00955759" w:rsidP="00CC3BF9">
      <w:r>
        <w:separator/>
      </w:r>
    </w:p>
    <w:p w14:paraId="10B41EDB" w14:textId="77777777" w:rsidR="00955759" w:rsidRDefault="00955759" w:rsidP="00CC3BF9"/>
    <w:p w14:paraId="69107991" w14:textId="77777777" w:rsidR="00955759" w:rsidRDefault="00955759" w:rsidP="00CC3BF9"/>
    <w:p w14:paraId="3814B0DA" w14:textId="77777777" w:rsidR="00955759" w:rsidRDefault="00955759" w:rsidP="00CC3BF9"/>
    <w:p w14:paraId="0CD17ABB" w14:textId="77777777" w:rsidR="00955759" w:rsidRDefault="00955759" w:rsidP="00CC3BF9"/>
    <w:p w14:paraId="5B5E221C" w14:textId="77777777" w:rsidR="00955759" w:rsidRDefault="00955759" w:rsidP="00CC3BF9"/>
    <w:p w14:paraId="454F85A1" w14:textId="77777777" w:rsidR="00955759" w:rsidRDefault="00955759" w:rsidP="00CC3BF9"/>
    <w:p w14:paraId="16C65C30" w14:textId="77777777" w:rsidR="00955759" w:rsidRDefault="00955759" w:rsidP="00CC3BF9"/>
  </w:footnote>
  <w:footnote w:type="continuationSeparator" w:id="0">
    <w:p w14:paraId="60B1C739" w14:textId="77777777" w:rsidR="00955759" w:rsidRDefault="00955759" w:rsidP="00CC3BF9">
      <w:r>
        <w:continuationSeparator/>
      </w:r>
    </w:p>
    <w:p w14:paraId="1F34D1DE" w14:textId="77777777" w:rsidR="00955759" w:rsidRDefault="00955759" w:rsidP="00CC3BF9"/>
    <w:p w14:paraId="4863E44D" w14:textId="77777777" w:rsidR="00955759" w:rsidRDefault="00955759" w:rsidP="00CC3BF9"/>
    <w:p w14:paraId="3B3A2FB8" w14:textId="77777777" w:rsidR="00955759" w:rsidRDefault="00955759" w:rsidP="00CC3BF9"/>
    <w:p w14:paraId="42458634" w14:textId="77777777" w:rsidR="00955759" w:rsidRDefault="00955759" w:rsidP="00CC3BF9"/>
    <w:p w14:paraId="003A4300" w14:textId="77777777" w:rsidR="00955759" w:rsidRDefault="00955759" w:rsidP="00CC3BF9"/>
    <w:p w14:paraId="5628FCC3" w14:textId="77777777" w:rsidR="00955759" w:rsidRDefault="00955759" w:rsidP="00CC3BF9"/>
    <w:p w14:paraId="7D75B3A8" w14:textId="77777777" w:rsidR="00955759" w:rsidRDefault="00955759" w:rsidP="00CC3BF9"/>
    <w:p w14:paraId="277A350F" w14:textId="77777777" w:rsidR="00955759" w:rsidRDefault="00955759" w:rsidP="00CC3BF9"/>
    <w:p w14:paraId="16525233" w14:textId="77777777" w:rsidR="00955759" w:rsidRDefault="00955759" w:rsidP="00CC3BF9"/>
    <w:p w14:paraId="6F282885" w14:textId="77777777" w:rsidR="00955759" w:rsidRDefault="00955759" w:rsidP="00CC3BF9"/>
    <w:p w14:paraId="72A766C8" w14:textId="77777777" w:rsidR="00955759" w:rsidRDefault="00955759" w:rsidP="00CC3BF9"/>
    <w:p w14:paraId="1B1EF939" w14:textId="77777777" w:rsidR="00955759" w:rsidRDefault="00955759" w:rsidP="00CC3BF9"/>
    <w:p w14:paraId="0E4BCF36" w14:textId="77777777" w:rsidR="00955759" w:rsidRDefault="00955759" w:rsidP="00CC3BF9"/>
    <w:p w14:paraId="0D58F362" w14:textId="77777777" w:rsidR="00955759" w:rsidRDefault="00955759" w:rsidP="00CC3BF9"/>
    <w:p w14:paraId="287DA2E3" w14:textId="77777777" w:rsidR="00955759" w:rsidRDefault="00955759" w:rsidP="00CC3BF9"/>
    <w:p w14:paraId="76DE9F5A" w14:textId="77777777" w:rsidR="00955759" w:rsidRDefault="00955759"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201"/>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48D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A14"/>
    <w:rsid w:val="00495C0B"/>
    <w:rsid w:val="004979DA"/>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90A"/>
    <w:rsid w:val="008D2D70"/>
    <w:rsid w:val="008D4ADC"/>
    <w:rsid w:val="008D52B5"/>
    <w:rsid w:val="008D579B"/>
    <w:rsid w:val="008D713B"/>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093F"/>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5759"/>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D99"/>
    <w:rsid w:val="00A17F3D"/>
    <w:rsid w:val="00A2132C"/>
    <w:rsid w:val="00A21487"/>
    <w:rsid w:val="00A23BFF"/>
    <w:rsid w:val="00A256D8"/>
    <w:rsid w:val="00A3194D"/>
    <w:rsid w:val="00A327C8"/>
    <w:rsid w:val="00A3415D"/>
    <w:rsid w:val="00A34872"/>
    <w:rsid w:val="00A34E19"/>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4E8"/>
    <w:rsid w:val="00CA36B6"/>
    <w:rsid w:val="00CA77E5"/>
    <w:rsid w:val="00CB1044"/>
    <w:rsid w:val="00CB253C"/>
    <w:rsid w:val="00CB31CD"/>
    <w:rsid w:val="00CB3CF6"/>
    <w:rsid w:val="00CB3F00"/>
    <w:rsid w:val="00CB7746"/>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CB9"/>
    <w:rsid w:val="00CD6D0B"/>
    <w:rsid w:val="00CD6D8F"/>
    <w:rsid w:val="00CD7E1D"/>
    <w:rsid w:val="00CE369E"/>
    <w:rsid w:val="00CE3AB5"/>
    <w:rsid w:val="00CE4919"/>
    <w:rsid w:val="00CE6884"/>
    <w:rsid w:val="00CF105C"/>
    <w:rsid w:val="00CF184D"/>
    <w:rsid w:val="00CF39EE"/>
    <w:rsid w:val="00CF4367"/>
    <w:rsid w:val="00CF47BF"/>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714D"/>
    <w:rsid w:val="00DF7705"/>
    <w:rsid w:val="00E0178F"/>
    <w:rsid w:val="00E02E2F"/>
    <w:rsid w:val="00E03E12"/>
    <w:rsid w:val="00E040CE"/>
    <w:rsid w:val="00E04C14"/>
    <w:rsid w:val="00E04E6B"/>
    <w:rsid w:val="00E062AB"/>
    <w:rsid w:val="00E07449"/>
    <w:rsid w:val="00E1223E"/>
    <w:rsid w:val="00E127B6"/>
    <w:rsid w:val="00E14660"/>
    <w:rsid w:val="00E153D7"/>
    <w:rsid w:val="00E15CAF"/>
    <w:rsid w:val="00E16FBA"/>
    <w:rsid w:val="00E20DCD"/>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A36"/>
    <w:rsid w:val="00E85C52"/>
    <w:rsid w:val="00E863CD"/>
    <w:rsid w:val="00E87135"/>
    <w:rsid w:val="00E9095F"/>
    <w:rsid w:val="00E95675"/>
    <w:rsid w:val="00E974DB"/>
    <w:rsid w:val="00EA0353"/>
    <w:rsid w:val="00EA03CE"/>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9B3"/>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6350</TotalTime>
  <Pages>38</Pages>
  <Words>11288</Words>
  <Characters>60956</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72100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2973</cp:revision>
  <cp:lastPrinted>2003-10-22T01:33:00Z</cp:lastPrinted>
  <dcterms:created xsi:type="dcterms:W3CDTF">2018-05-30T22:47:00Z</dcterms:created>
  <dcterms:modified xsi:type="dcterms:W3CDTF">2020-06-07T01:02:00Z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