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First Author</w:t>
            </w:r>
            <w:r>
              <w:rPr>
                <w:vertAlign w:val="superscript"/>
              </w:rPr>
              <w:t xml:space="preserve">1</w:t>
            </w:r>
            <w:r>
              <w:t xml:space="preserve"> &amp; Ernst-August Doelle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Wilhelm-Wundt-University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Konstanz Business School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Complete departmental affiliations for each author (note the indentation, if you start a new paragraph).</w:t>
      </w:r>
      <w:r>
        <w:t xml:space="preserve"> </w:t>
      </w: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2">
        <w:r>
          <w:rPr>
            <w:rStyle w:val="Hyperlink"/>
          </w:rPr>
          <w:t xml:space="preserve">my@email.com</w:t>
        </w:r>
      </w:hyperlink>
    </w:p>
    <w:p>
      <w:pPr>
        <w:pStyle w:val="Textkrper"/>
      </w:pPr>
      <w:r>
        <w:t xml:space="preserve"> </w:t>
      </w:r>
    </w:p>
    <w:p>
      <w:pPr>
        <w:pStyle w:val="berschrift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Enter abstract here (note the indentation, if you start a new paragraph).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4" w:name="the-title"/>
      <w:bookmarkEnd w:id="24"/>
      <w:r>
        <w:t xml:space="preserve">The title</w:t>
      </w:r>
    </w:p>
    <w:p>
      <w:pPr>
        <w:pStyle w:val="FirstParagraph"/>
      </w:pPr>
      <w:r>
        <w:t xml:space="preserve">There is a lot of important literature to cite</w:t>
      </w:r>
      <w:r>
        <w:t xml:space="preserve"> </w:t>
      </w:r>
      <w:r>
        <w:t xml:space="preserve">(Button et al., 2013; Ioannidis, 2005)</w:t>
      </w:r>
      <w:r>
        <w:t xml:space="preserve">.</w:t>
      </w:r>
      <w:r>
        <w:t xml:space="preserve"> </w:t>
      </w:r>
      <w:r>
        <w:t xml:space="preserve">Sterne et al. (2011)</w:t>
      </w:r>
      <w:r>
        <w:t xml:space="preserve"> </w:t>
      </w:r>
      <w:r>
        <w:t xml:space="preserve">have important things to say.</w:t>
      </w:r>
    </w:p>
    <w:p>
      <w:pPr>
        <w:pStyle w:val="berschrift1"/>
      </w:pPr>
      <w:bookmarkStart w:id="25" w:name="methods"/>
      <w:bookmarkEnd w:id="25"/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6" w:name="participants"/>
      <w:bookmarkEnd w:id="26"/>
      <w:r>
        <w:t xml:space="preserve">Participants</w:t>
      </w:r>
    </w:p>
    <w:p>
      <w:pPr>
        <w:pStyle w:val="berschrift2"/>
      </w:pPr>
      <w:bookmarkStart w:id="27" w:name="material"/>
      <w:bookmarkEnd w:id="27"/>
      <w:r>
        <w:t xml:space="preserve">Material</w:t>
      </w:r>
    </w:p>
    <w:p>
      <w:pPr>
        <w:pStyle w:val="berschrift2"/>
      </w:pPr>
      <w:bookmarkStart w:id="28" w:name="procedure"/>
      <w:bookmarkEnd w:id="28"/>
      <w:r>
        <w:t xml:space="preserve">Procedure</w:t>
      </w:r>
    </w:p>
    <w:p>
      <w:pPr>
        <w:pStyle w:val="berschrift1"/>
      </w:pPr>
      <w:bookmarkStart w:id="29" w:name="results"/>
      <w:bookmarkEnd w:id="29"/>
      <w:r>
        <w:t xml:space="preserve">Results</w:t>
      </w:r>
    </w:p>
    <w:p>
      <w:pPr>
        <w:pStyle w:val="FirstParagraph"/>
      </w:pPr>
      <w:r>
        <w:t xml:space="preserve">The mean length is 5.84. Table</w:t>
      </w:r>
      <w:r>
        <w:t xml:space="preserve"> </w:t>
      </w:r>
      <w:r>
        <w:t xml:space="preserve">1</w:t>
      </w:r>
      <w:r>
        <w:t xml:space="preserve"> </w:t>
      </w:r>
      <w:r>
        <w:t xml:space="preserve">shows some interesting results. Figure</w:t>
      </w:r>
      <w:r>
        <w:t xml:space="preserve"> </w:t>
      </w:r>
      <w:r>
        <w:t xml:space="preserve">1</w:t>
      </w:r>
      <w:r>
        <w:t xml:space="preserve"> </w:t>
      </w:r>
      <w:r>
        <w:t xml:space="preserve">shows an interesting plot.</w:t>
      </w:r>
    </w:p>
    <w:p>
      <w:pPr>
        <w:pStyle w:val="TableCaption"/>
      </w:pPr>
      <w:r>
        <w:t xml:space="preserve">Table 1 A table of the first 10 rows of the mtcars data.</w:t>
      </w:r>
    </w:p>
    <w:tbl>
      <w:tblPr>
        <w:tblStyle w:val="TableNormal"/>
        <w:tblW w:type="pct" w:w="0.0"/>
        <w:tblLook w:firstRow="1"/>
        <w:tblCaption w:val="Table 1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FigureWithCaption"/>
      </w:pPr>
      <w:r>
        <w:drawing>
          <wp:inline>
            <wp:extent cx="5969000" cy="3581400"/>
            <wp:effectExtent b="0" l="0" r="0" t="0"/>
            <wp:docPr descr="Figure 1 This is a figure." title="" id="1" name="Picture"/>
            <a:graphic>
              <a:graphicData uri="http://schemas.openxmlformats.org/drawingml/2006/picture">
                <pic:pic>
                  <pic:nvPicPr>
                    <pic:cNvPr descr="draft_files/figure-docx/my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This is a figure.</w:t>
      </w:r>
    </w:p>
    <w:p>
      <w:pPr>
        <w:pStyle w:val="berschrift1"/>
      </w:pPr>
      <w:bookmarkStart w:id="31" w:name="discussion"/>
      <w:bookmarkEnd w:id="31"/>
      <w:r>
        <w:t xml:space="preserve">Discussion</w:t>
      </w:r>
    </w:p>
    <w:p>
      <w:pPr>
        <w:pStyle w:val="berschrift1"/>
      </w:pPr>
      <w:bookmarkStart w:id="32" w:name="references"/>
      <w:bookmarkEnd w:id="32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Literaturverzeichnis"/>
      </w:pPr>
      <w:r>
        <w:t xml:space="preserve">Button, K. S., Ioannidis, J. P., Mokrysz, C., Nosek, B. A., Flint, J., Robinson, E. S., &amp; Munafò, M. R. (2013). Power failure: Why small sample size undermines the reliability of neuroscience.</w:t>
      </w:r>
      <w:r>
        <w:t xml:space="preserve"> </w:t>
      </w:r>
      <w:r>
        <w:rPr>
          <w:i/>
        </w:rPr>
        <w:t xml:space="preserve">Nature Reviews Neuroscience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(5), 365–376.</w:t>
      </w:r>
    </w:p>
    <w:p>
      <w:pPr>
        <w:pStyle w:val="Literaturverzeichnis"/>
      </w:pPr>
      <w:r>
        <w:t xml:space="preserve">Ioannidis, J. P. (2005). Why most published research findings are false.</w:t>
      </w:r>
      <w:r>
        <w:t xml:space="preserve"> </w:t>
      </w:r>
      <w:r>
        <w:rPr>
          <w:i/>
        </w:rPr>
        <w:t xml:space="preserve">PLoS Medicine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(8), e124.</w:t>
      </w:r>
    </w:p>
    <w:p>
      <w:pPr>
        <w:pStyle w:val="Literaturverzeichnis"/>
      </w:pPr>
      <w:r>
        <w:t xml:space="preserve">Sterne, J. A., Sutton, A. J., Ioannidis, J. P., Terrin, N., Jones, D. R., Lau, J., … Schmid, C. H. (2011). Recommendations for examining and interpreting funnel plot asymmetry in meta-analyses of randomised controlled trials.</w:t>
      </w:r>
      <w:r>
        <w:t xml:space="preserve"> </w:t>
      </w:r>
      <w:r>
        <w:rPr>
          <w:i/>
        </w:rPr>
        <w:t xml:space="preserve">Bmj</w:t>
      </w:r>
      <w:r>
        <w:t xml:space="preserve">,</w:t>
      </w:r>
      <w:r>
        <w:t xml:space="preserve"> </w:t>
      </w:r>
      <w:r>
        <w:rPr>
          <w:i/>
        </w:rPr>
        <w:t xml:space="preserve">343</w:t>
      </w:r>
      <w:r>
        <w:t xml:space="preserve">, d4002.</w:t>
      </w:r>
    </w:p>
    <w:sectPr w:rsidR="00445C3D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6180E7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FE50E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1F283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909083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5C62A8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C8F61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882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18EC7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7F63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FD74D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4e3ad4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3C3842"/>
    <w:pPr>
      <w:keepNext/>
      <w:keepLines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22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dcterms:created xsi:type="dcterms:W3CDTF">2017-12-07T03:12:15Z</dcterms:created>
  <dcterms:modified xsi:type="dcterms:W3CDTF">2017-12-07T03:12:15Z</dcterms:modified>
</cp:coreProperties>
</file>