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sz w:val="28"/>
          <w:szCs w:val="28"/>
        </w:rPr>
        <w:t xml:space="preserve">REQUEST FOR QUOTE</w:t>
      </w:r>
    </w:p>
    <w:p>
      <w:pPr>
        <w:pStyle w:val="Heading2"/>
        <w:spacing w:after="100" w:before="200"/>
      </w:pPr>
      <w:r>
        <w:rPr>
          <w:rFonts w:ascii="Calibri" w:cs="Calibri" w:eastAsia="Calibri" w:hAnsi="Calibri"/>
          <w:b/>
          <w:bCs/>
          <w:sz w:val="24"/>
          <w:szCs w:val="24"/>
        </w:rPr>
        <w:t xml:space="preserve">Data Engineering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EEEEEE" w:val="clear"/>
          </w:tcPr>
          <w:p>
            <w:r>
              <w:rPr>
                <w:rFonts w:ascii="Calibri" w:cs="Calibri" w:eastAsia="Calibri" w:hAnsi="Calibri"/>
                <w:b w:val="false"/>
                <w:bCs w:val="false"/>
                <w:sz w:val="20"/>
                <w:szCs w:val="20"/>
              </w:rPr>
              <w:t xml:space="preserve"/>
            </w:r>
          </w:p>
        </w:tc>
        <w:tc>
          <w:tcPr>
            <w:tcW w:type="dxa" w:w="6240"/>
            <w:shd w:fill="EEEEEE" w:val="clear"/>
          </w:tcPr>
          <w:p>
            <w:r>
              <w:rPr>
                <w:rFonts w:ascii="Calibri" w:cs="Calibri" w:eastAsia="Calibri" w:hAnsi="Calibri"/>
                <w:b w:val="false"/>
                <w:bCs w:val="false"/>
                <w:sz w:val="20"/>
                <w:szCs w:val="20"/>
              </w:rPr>
              <w:t xml:space="preserve"/>
            </w:r>
          </w:p>
        </w:tc>
      </w:tr>
      <w:tr>
        <w:tc>
          <w:tcPr>
            <w:tcW w:type="dxa" w:w="3120"/>
          </w:tcPr>
          <w:p>
            <w:r>
              <w:rPr>
                <w:rFonts w:ascii="Calibri" w:cs="Calibri" w:eastAsia="Calibri" w:hAnsi="Calibri"/>
                <w:b/>
                <w:bCs/>
                <w:sz w:val="20"/>
                <w:szCs w:val="20"/>
              </w:rPr>
              <w:t xml:space="preserve">Reference</w:t>
            </w:r>
          </w:p>
        </w:tc>
        <w:tc>
          <w:tcPr>
            <w:tcW w:type="dxa" w:w="6240"/>
          </w:tcPr>
          <w:p>
            <w:r>
              <w:rPr>
                <w:rFonts w:ascii="Calibri" w:cs="Calibri" w:eastAsia="Calibri" w:hAnsi="Calibri"/>
                <w:b w:val="false"/>
                <w:bCs w:val="false"/>
                <w:sz w:val="20"/>
                <w:szCs w:val="20"/>
              </w:rPr>
              <w:t xml:space="preserve">RFQ-2026-0311</w:t>
            </w:r>
          </w:p>
        </w:tc>
      </w:tr>
      <w:tr>
        <w:tc>
          <w:tcPr>
            <w:tcW w:type="dxa" w:w="3120"/>
          </w:tcPr>
          <w:p>
            <w:r>
              <w:rPr>
                <w:rFonts w:ascii="Calibri" w:cs="Calibri" w:eastAsia="Calibri" w:hAnsi="Calibri"/>
                <w:b/>
                <w:bCs/>
                <w:sz w:val="20"/>
                <w:szCs w:val="20"/>
              </w:rPr>
              <w:t xml:space="preserve">Client</w:t>
            </w:r>
          </w:p>
        </w:tc>
        <w:tc>
          <w:tcPr>
            <w:tcW w:type="dxa" w:w="6240"/>
          </w:tcPr>
          <w:p>
            <w:r>
              <w:rPr>
                <w:rFonts w:ascii="Calibri" w:cs="Calibri" w:eastAsia="Calibri" w:hAnsi="Calibri"/>
                <w:b w:val="false"/>
                <w:bCs w:val="false"/>
                <w:sz w:val="20"/>
                <w:szCs w:val="20"/>
              </w:rPr>
              <w:t xml:space="preserve">Kestrel Water Authority Pty Ltd (mock client)</w:t>
            </w:r>
          </w:p>
        </w:tc>
      </w:tr>
      <w:tr>
        <w:tc>
          <w:tcPr>
            <w:tcW w:type="dxa" w:w="3120"/>
          </w:tcPr>
          <w:p>
            <w:r>
              <w:rPr>
                <w:rFonts w:ascii="Calibri" w:cs="Calibri" w:eastAsia="Calibri" w:hAnsi="Calibri"/>
                <w:b/>
                <w:bCs/>
                <w:sz w:val="20"/>
                <w:szCs w:val="20"/>
              </w:rPr>
              <w:t xml:space="preserve">Engagement title</w:t>
            </w:r>
          </w:p>
        </w:tc>
        <w:tc>
          <w:tcPr>
            <w:tcW w:type="dxa" w:w="6240"/>
          </w:tcPr>
          <w:p>
            <w:r>
              <w:rPr>
                <w:rFonts w:ascii="Calibri" w:cs="Calibri" w:eastAsia="Calibri" w:hAnsi="Calibri"/>
                <w:b w:val="false"/>
                <w:bCs w:val="false"/>
                <w:sz w:val="20"/>
                <w:szCs w:val="20"/>
              </w:rPr>
              <w:t xml:space="preserve">Senior Data Engineer</w:t>
            </w:r>
          </w:p>
        </w:tc>
      </w:tr>
      <w:tr>
        <w:tc>
          <w:tcPr>
            <w:tcW w:type="dxa" w:w="3120"/>
          </w:tcPr>
          <w:p>
            <w:r>
              <w:rPr>
                <w:rFonts w:ascii="Calibri" w:cs="Calibri" w:eastAsia="Calibri" w:hAnsi="Calibri"/>
                <w:b/>
                <w:bCs/>
                <w:sz w:val="20"/>
                <w:szCs w:val="20"/>
              </w:rPr>
              <w:t xml:space="preserve">Panel category</w:t>
            </w:r>
          </w:p>
        </w:tc>
        <w:tc>
          <w:tcPr>
            <w:tcW w:type="dxa" w:w="6240"/>
          </w:tcPr>
          <w:p>
            <w:r>
              <w:rPr>
                <w:rFonts w:ascii="Calibri" w:cs="Calibri" w:eastAsia="Calibri" w:hAnsi="Calibri"/>
                <w:b w:val="false"/>
                <w:bCs w:val="false"/>
                <w:sz w:val="20"/>
                <w:szCs w:val="20"/>
              </w:rPr>
              <w:t xml:space="preserve">Data and Analytics Services</w:t>
            </w:r>
          </w:p>
        </w:tc>
      </w:tr>
      <w:tr>
        <w:tc>
          <w:tcPr>
            <w:tcW w:type="dxa" w:w="3120"/>
          </w:tcPr>
          <w:p>
            <w:r>
              <w:rPr>
                <w:rFonts w:ascii="Calibri" w:cs="Calibri" w:eastAsia="Calibri" w:hAnsi="Calibri"/>
                <w:b/>
                <w:bCs/>
                <w:sz w:val="20"/>
                <w:szCs w:val="20"/>
              </w:rPr>
              <w:t xml:space="preserve">Level required</w:t>
            </w:r>
          </w:p>
        </w:tc>
        <w:tc>
          <w:tcPr>
            <w:tcW w:type="dxa" w:w="6240"/>
          </w:tcPr>
          <w:p>
            <w:r>
              <w:rPr>
                <w:rFonts w:ascii="Calibri" w:cs="Calibri" w:eastAsia="Calibri" w:hAnsi="Calibri"/>
                <w:b w:val="false"/>
                <w:bCs w:val="false"/>
                <w:sz w:val="20"/>
                <w:szCs w:val="20"/>
              </w:rPr>
              <w:t xml:space="preserve">Level 4</w:t>
            </w:r>
          </w:p>
        </w:tc>
      </w:tr>
      <w:tr>
        <w:tc>
          <w:tcPr>
            <w:tcW w:type="dxa" w:w="3120"/>
          </w:tcPr>
          <w:p>
            <w:r>
              <w:rPr>
                <w:rFonts w:ascii="Calibri" w:cs="Calibri" w:eastAsia="Calibri" w:hAnsi="Calibri"/>
                <w:b/>
                <w:bCs/>
                <w:sz w:val="20"/>
                <w:szCs w:val="20"/>
              </w:rPr>
              <w:t xml:space="preserve">Location</w:t>
            </w:r>
          </w:p>
        </w:tc>
        <w:tc>
          <w:tcPr>
            <w:tcW w:type="dxa" w:w="6240"/>
          </w:tcPr>
          <w:p>
            <w:r>
              <w:rPr>
                <w:rFonts w:ascii="Calibri" w:cs="Calibri" w:eastAsia="Calibri" w:hAnsi="Calibri"/>
                <w:b w:val="false"/>
                <w:bCs w:val="false"/>
                <w:sz w:val="20"/>
                <w:szCs w:val="20"/>
              </w:rPr>
              <w:t xml:space="preserve">Brisbane, QLD (hybrid, minimum 2 days per week onsite)</w:t>
            </w:r>
          </w:p>
        </w:tc>
      </w:tr>
      <w:tr>
        <w:tc>
          <w:tcPr>
            <w:tcW w:type="dxa" w:w="3120"/>
          </w:tcPr>
          <w:p>
            <w:r>
              <w:rPr>
                <w:rFonts w:ascii="Calibri" w:cs="Calibri" w:eastAsia="Calibri" w:hAnsi="Calibri"/>
                <w:b/>
                <w:bCs/>
                <w:sz w:val="20"/>
                <w:szCs w:val="20"/>
              </w:rPr>
              <w:t xml:space="preserve">Engagement type</w:t>
            </w:r>
          </w:p>
        </w:tc>
        <w:tc>
          <w:tcPr>
            <w:tcW w:type="dxa" w:w="6240"/>
          </w:tcPr>
          <w:p>
            <w:r>
              <w:rPr>
                <w:rFonts w:ascii="Calibri" w:cs="Calibri" w:eastAsia="Calibri" w:hAnsi="Calibri"/>
                <w:b w:val="false"/>
                <w:bCs w:val="false"/>
                <w:sz w:val="20"/>
                <w:szCs w:val="20"/>
              </w:rPr>
              <w:t xml:space="preserve">Initial 12 months, one 12-month extension option</w:t>
            </w:r>
          </w:p>
        </w:tc>
      </w:tr>
      <w:tr>
        <w:tc>
          <w:tcPr>
            <w:tcW w:type="dxa" w:w="3120"/>
          </w:tcPr>
          <w:p>
            <w:r>
              <w:rPr>
                <w:rFonts w:ascii="Calibri" w:cs="Calibri" w:eastAsia="Calibri" w:hAnsi="Calibri"/>
                <w:b/>
                <w:bCs/>
                <w:sz w:val="20"/>
                <w:szCs w:val="20"/>
              </w:rPr>
              <w:t xml:space="preserve">Start date</w:t>
            </w:r>
          </w:p>
        </w:tc>
        <w:tc>
          <w:tcPr>
            <w:tcW w:type="dxa" w:w="6240"/>
          </w:tcPr>
          <w:p>
            <w:r>
              <w:rPr>
                <w:rFonts w:ascii="Calibri" w:cs="Calibri" w:eastAsia="Calibri" w:hAnsi="Calibri"/>
                <w:b w:val="false"/>
                <w:bCs w:val="false"/>
                <w:sz w:val="20"/>
                <w:szCs w:val="20"/>
              </w:rPr>
              <w:t xml:space="preserve">Within 8 weeks of contract award</w:t>
            </w:r>
          </w:p>
        </w:tc>
      </w:tr>
      <w:tr>
        <w:tc>
          <w:tcPr>
            <w:tcW w:type="dxa" w:w="3120"/>
          </w:tcPr>
          <w:p>
            <w:r>
              <w:rPr>
                <w:rFonts w:ascii="Calibri" w:cs="Calibri" w:eastAsia="Calibri" w:hAnsi="Calibri"/>
                <w:b/>
                <w:bCs/>
                <w:sz w:val="20"/>
                <w:szCs w:val="20"/>
              </w:rPr>
              <w:t xml:space="preserve">Quotes close</w:t>
            </w:r>
          </w:p>
        </w:tc>
        <w:tc>
          <w:tcPr>
            <w:tcW w:type="dxa" w:w="6240"/>
          </w:tcPr>
          <w:p>
            <w:r>
              <w:rPr>
                <w:rFonts w:ascii="Calibri" w:cs="Calibri" w:eastAsia="Calibri" w:hAnsi="Calibri"/>
                <w:b w:val="false"/>
                <w:bCs w:val="false"/>
                <w:sz w:val="20"/>
                <w:szCs w:val="20"/>
              </w:rPr>
              <w:t xml:space="preserve">5:00pm AEST, Friday 25 September 2026</w:t>
            </w:r>
          </w:p>
        </w:tc>
      </w:tr>
    </w:tbl>
    <w:p>
      <w:pPr>
        <w:pStyle w:val="Heading1"/>
        <w:spacing w:after="120" w:before="240"/>
      </w:pPr>
      <w:r>
        <w:rPr>
          <w:rFonts w:ascii="Calibri" w:cs="Calibri" w:eastAsia="Calibri" w:hAnsi="Calibri"/>
          <w:b/>
          <w:bCs/>
          <w:sz w:val="28"/>
          <w:szCs w:val="28"/>
        </w:rPr>
        <w:t xml:space="preserve">1.  Background</w:t>
      </w:r>
    </w:p>
    <w:p>
      <w:pPr>
        <w:spacing w:after="100"/>
      </w:pPr>
      <w:r>
        <w:rPr>
          <w:rFonts w:ascii="Calibri" w:cs="Calibri" w:eastAsia="Calibri" w:hAnsi="Calibri"/>
          <w:i w:val="false"/>
          <w:iCs w:val="false"/>
          <w:sz w:val="22"/>
          <w:szCs w:val="22"/>
        </w:rPr>
        <w:t xml:space="preserve">Kestrel operates metering, billing and network telemetry across four regional networks. Reporting is currently produced from overnight extracts into a legacy on-premises warehouse, and the business cannot answer questions about consumption or network loss without a two-day turnaround. Kestrel is building a cloud data platform to replace it. The target architecture is agreed and the ingestion layer for two of the four networks is in production. Kestrel is seeking one Senior Data Engineer at Level 4 to work within an existing data team of six.</w:t>
      </w:r>
    </w:p>
    <w:p>
      <w:pPr>
        <w:pStyle w:val="Heading1"/>
        <w:spacing w:after="120" w:before="240"/>
      </w:pPr>
      <w:r>
        <w:rPr>
          <w:rFonts w:ascii="Calibri" w:cs="Calibri" w:eastAsia="Calibri" w:hAnsi="Calibri"/>
          <w:b/>
          <w:bCs/>
          <w:sz w:val="28"/>
          <w:szCs w:val="28"/>
        </w:rPr>
        <w:t xml:space="preserve">2.  Scope of services</w:t>
      </w:r>
    </w:p>
    <w:p>
      <w:pPr>
        <w:spacing w:after="100"/>
      </w:pPr>
      <w:r>
        <w:rPr>
          <w:rFonts w:ascii="Calibri" w:cs="Calibri" w:eastAsia="Calibri" w:hAnsi="Calibri"/>
          <w:i w:val="false"/>
          <w:iCs w:val="false"/>
          <w:sz w:val="22"/>
          <w:szCs w:val="22"/>
        </w:rPr>
        <w:t xml:space="preserve">The successful candidate will:</w:t>
      </w:r>
    </w:p>
    <w:p>
      <w:pPr>
        <w:pStyle w:val="ListParagraph"/>
        <w:numPr>
          <w:ilvl w:val="0"/>
          <w:numId w:val="2"/>
        </w:numPr>
        <w:spacing w:after="60"/>
      </w:pPr>
      <w:r>
        <w:rPr>
          <w:rFonts w:ascii="Calibri" w:cs="Calibri" w:eastAsia="Calibri" w:hAnsi="Calibri"/>
          <w:sz w:val="22"/>
          <w:szCs w:val="22"/>
        </w:rPr>
        <w:t xml:space="preserve">Design, build and operate batch and streaming data pipelines feeding the cloud data platform.</w:t>
      </w:r>
    </w:p>
    <w:p>
      <w:pPr>
        <w:pStyle w:val="ListParagraph"/>
        <w:numPr>
          <w:ilvl w:val="0"/>
          <w:numId w:val="2"/>
        </w:numPr>
        <w:spacing w:after="60"/>
      </w:pPr>
      <w:r>
        <w:rPr>
          <w:rFonts w:ascii="Calibri" w:cs="Calibri" w:eastAsia="Calibri" w:hAnsi="Calibri"/>
          <w:sz w:val="22"/>
          <w:szCs w:val="22"/>
        </w:rPr>
        <w:t xml:space="preserve">Migrate reporting workloads off the legacy on-premises warehouse with no interruption to statutory reporting obligations.</w:t>
      </w:r>
    </w:p>
    <w:p>
      <w:pPr>
        <w:pStyle w:val="ListParagraph"/>
        <w:numPr>
          <w:ilvl w:val="0"/>
          <w:numId w:val="2"/>
        </w:numPr>
        <w:spacing w:after="60"/>
      </w:pPr>
      <w:r>
        <w:rPr>
          <w:rFonts w:ascii="Calibri" w:cs="Calibri" w:eastAsia="Calibri" w:hAnsi="Calibri"/>
          <w:sz w:val="22"/>
          <w:szCs w:val="22"/>
        </w:rPr>
        <w:t xml:space="preserve">Model data for analytical consumption, including dimensional modelling and the semantic layer used by business reporting tools.</w:t>
      </w:r>
    </w:p>
    <w:p>
      <w:pPr>
        <w:pStyle w:val="ListParagraph"/>
        <w:numPr>
          <w:ilvl w:val="0"/>
          <w:numId w:val="2"/>
        </w:numPr>
        <w:spacing w:after="60"/>
      </w:pPr>
      <w:r>
        <w:rPr>
          <w:rFonts w:ascii="Calibri" w:cs="Calibri" w:eastAsia="Calibri" w:hAnsi="Calibri"/>
          <w:sz w:val="22"/>
          <w:szCs w:val="22"/>
        </w:rPr>
        <w:t xml:space="preserve">Own pipelines end to end, including scheduling, data quality monitoring, lineage and incident response.</w:t>
      </w:r>
    </w:p>
    <w:p>
      <w:pPr>
        <w:pStyle w:val="ListParagraph"/>
        <w:numPr>
          <w:ilvl w:val="0"/>
          <w:numId w:val="2"/>
        </w:numPr>
        <w:spacing w:after="60"/>
      </w:pPr>
      <w:r>
        <w:rPr>
          <w:rFonts w:ascii="Calibri" w:cs="Calibri" w:eastAsia="Calibri" w:hAnsi="Calibri"/>
          <w:sz w:val="22"/>
          <w:szCs w:val="22"/>
        </w:rPr>
        <w:t xml:space="preserve">Implement and maintain data quality controls, validation rules and reconciliation between source systems and the platform.</w:t>
      </w:r>
    </w:p>
    <w:p>
      <w:pPr>
        <w:pStyle w:val="ListParagraph"/>
        <w:numPr>
          <w:ilvl w:val="0"/>
          <w:numId w:val="2"/>
        </w:numPr>
        <w:spacing w:after="60"/>
      </w:pPr>
      <w:r>
        <w:rPr>
          <w:rFonts w:ascii="Calibri" w:cs="Calibri" w:eastAsia="Calibri" w:hAnsi="Calibri"/>
          <w:sz w:val="22"/>
          <w:szCs w:val="22"/>
        </w:rPr>
        <w:t xml:space="preserve">Improve platform delivery practices, including infrastructure as code, environment management and automated testing of data transformations.</w:t>
      </w:r>
    </w:p>
    <w:p>
      <w:pPr>
        <w:pStyle w:val="ListParagraph"/>
        <w:numPr>
          <w:ilvl w:val="0"/>
          <w:numId w:val="2"/>
        </w:numPr>
        <w:spacing w:after="60"/>
      </w:pPr>
      <w:r>
        <w:rPr>
          <w:rFonts w:ascii="Calibri" w:cs="Calibri" w:eastAsia="Calibri" w:hAnsi="Calibri"/>
          <w:sz w:val="22"/>
          <w:szCs w:val="22"/>
        </w:rPr>
        <w:t xml:space="preserve">Provide technical leadership: code review, design input, and mentoring of junior data engineers and analysts.</w:t>
      </w:r>
    </w:p>
    <w:p>
      <w:pPr>
        <w:pStyle w:val="ListParagraph"/>
        <w:numPr>
          <w:ilvl w:val="0"/>
          <w:numId w:val="2"/>
        </w:numPr>
        <w:spacing w:after="60"/>
      </w:pPr>
      <w:r>
        <w:rPr>
          <w:rFonts w:ascii="Calibri" w:cs="Calibri" w:eastAsia="Calibri" w:hAnsi="Calibri"/>
          <w:sz w:val="22"/>
          <w:szCs w:val="22"/>
        </w:rPr>
        <w:t xml:space="preserve">Communicate data limitations, assumptions and modelling decisions to non-technical stakeholders, including regulatory reporting staff.</w:t>
      </w:r>
    </w:p>
    <w:p>
      <w:pPr>
        <w:pStyle w:val="Heading1"/>
        <w:spacing w:after="120" w:before="240"/>
      </w:pPr>
      <w:r>
        <w:rPr>
          <w:rFonts w:ascii="Calibri" w:cs="Calibri" w:eastAsia="Calibri" w:hAnsi="Calibri"/>
          <w:b/>
          <w:bCs/>
          <w:sz w:val="28"/>
          <w:szCs w:val="28"/>
        </w:rPr>
        <w:t xml:space="preserve">3.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EEEEEE" w:val="clear"/>
          </w:tcPr>
          <w:p>
            <w:r>
              <w:rPr>
                <w:rFonts w:ascii="Calibri" w:cs="Calibri" w:eastAsia="Calibri" w:hAnsi="Calibri"/>
                <w:b/>
                <w:bCs/>
                <w:sz w:val="20"/>
                <w:szCs w:val="20"/>
              </w:rPr>
              <w:t xml:space="preserve">#</w:t>
            </w:r>
          </w:p>
        </w:tc>
        <w:tc>
          <w:tcPr>
            <w:tcW w:type="dxa" w:w="6240"/>
            <w:shd w:fill="EEEEEE" w:val="clear"/>
          </w:tcPr>
          <w:p>
            <w:r>
              <w:rPr>
                <w:rFonts w:ascii="Calibri" w:cs="Calibri" w:eastAsia="Calibri" w:hAnsi="Calibri"/>
                <w:b/>
                <w:bCs/>
                <w:sz w:val="20"/>
                <w:szCs w:val="20"/>
              </w:rPr>
              <w:t xml:space="preserve">Deliverable Timing</w:t>
            </w:r>
          </w:p>
        </w:tc>
      </w:tr>
      <w:tr>
        <w:tc>
          <w:tcPr>
            <w:tcW w:type="dxa" w:w="3120"/>
          </w:tcPr>
          <w:p>
            <w:r>
              <w:rPr>
                <w:rFonts w:ascii="Calibri" w:cs="Calibri" w:eastAsia="Calibri" w:hAnsi="Calibri"/>
                <w:b/>
                <w:bCs/>
                <w:sz w:val="20"/>
                <w:szCs w:val="20"/>
              </w:rPr>
              <w:t xml:space="preserve">D1</w:t>
            </w:r>
          </w:p>
        </w:tc>
        <w:tc>
          <w:tcPr>
            <w:tcW w:type="dxa" w:w="6240"/>
          </w:tcPr>
          <w:p>
            <w:r>
              <w:rPr>
                <w:rFonts w:ascii="Calibri" w:cs="Calibri" w:eastAsia="Calibri" w:hAnsi="Calibri"/>
                <w:b w:val="false"/>
                <w:bCs w:val="false"/>
                <w:sz w:val="20"/>
                <w:szCs w:val="20"/>
              </w:rPr>
              <w:t xml:space="preserve">Pipeline design documents for each assigned data domain Per domain, prior to build</w:t>
            </w:r>
          </w:p>
        </w:tc>
      </w:tr>
      <w:tr>
        <w:tc>
          <w:tcPr>
            <w:tcW w:type="dxa" w:w="3120"/>
          </w:tcPr>
          <w:p>
            <w:r>
              <w:rPr>
                <w:rFonts w:ascii="Calibri" w:cs="Calibri" w:eastAsia="Calibri" w:hAnsi="Calibri"/>
                <w:b/>
                <w:bCs/>
                <w:sz w:val="20"/>
                <w:szCs w:val="20"/>
              </w:rPr>
              <w:t xml:space="preserve">D2</w:t>
            </w:r>
          </w:p>
        </w:tc>
        <w:tc>
          <w:tcPr>
            <w:tcW w:type="dxa" w:w="6240"/>
          </w:tcPr>
          <w:p>
            <w:r>
              <w:rPr>
                <w:rFonts w:ascii="Calibri" w:cs="Calibri" w:eastAsia="Calibri" w:hAnsi="Calibri"/>
                <w:b w:val="false"/>
                <w:bCs w:val="false"/>
                <w:sz w:val="20"/>
                <w:szCs w:val="20"/>
              </w:rPr>
              <w:t xml:space="preserve">Production-deployed pipelines meeting agreed data quality thresholds Per sprint</w:t>
            </w:r>
          </w:p>
        </w:tc>
      </w:tr>
      <w:tr>
        <w:tc>
          <w:tcPr>
            <w:tcW w:type="dxa" w:w="3120"/>
          </w:tcPr>
          <w:p>
            <w:r>
              <w:rPr>
                <w:rFonts w:ascii="Calibri" w:cs="Calibri" w:eastAsia="Calibri" w:hAnsi="Calibri"/>
                <w:b/>
                <w:bCs/>
                <w:sz w:val="20"/>
                <w:szCs w:val="20"/>
              </w:rPr>
              <w:t xml:space="preserve">D3</w:t>
            </w:r>
          </w:p>
        </w:tc>
        <w:tc>
          <w:tcPr>
            <w:tcW w:type="dxa" w:w="6240"/>
          </w:tcPr>
          <w:p>
            <w:r>
              <w:rPr>
                <w:rFonts w:ascii="Calibri" w:cs="Calibri" w:eastAsia="Calibri" w:hAnsi="Calibri"/>
                <w:b w:val="false"/>
                <w:bCs w:val="false"/>
                <w:sz w:val="20"/>
                <w:szCs w:val="20"/>
              </w:rPr>
              <w:t xml:space="preserve">Automated tests and data quality checks for all delivered pipelines Per pipeline</w:t>
            </w:r>
          </w:p>
        </w:tc>
      </w:tr>
      <w:tr>
        <w:tc>
          <w:tcPr>
            <w:tcW w:type="dxa" w:w="3120"/>
          </w:tcPr>
          <w:p>
            <w:r>
              <w:rPr>
                <w:rFonts w:ascii="Calibri" w:cs="Calibri" w:eastAsia="Calibri" w:hAnsi="Calibri"/>
                <w:b/>
                <w:bCs/>
                <w:sz w:val="20"/>
                <w:szCs w:val="20"/>
              </w:rPr>
              <w:t xml:space="preserve">D4</w:t>
            </w:r>
          </w:p>
        </w:tc>
        <w:tc>
          <w:tcPr>
            <w:tcW w:type="dxa" w:w="6240"/>
          </w:tcPr>
          <w:p>
            <w:r>
              <w:rPr>
                <w:rFonts w:ascii="Calibri" w:cs="Calibri" w:eastAsia="Calibri" w:hAnsi="Calibri"/>
                <w:b w:val="false"/>
                <w:bCs w:val="false"/>
                <w:sz w:val="20"/>
                <w:szCs w:val="20"/>
              </w:rPr>
              <w:t xml:space="preserve">Runbooks, lineage documentation and alerting configuration At pipeline handover</w:t>
            </w:r>
          </w:p>
        </w:tc>
      </w:tr>
      <w:tr>
        <w:tc>
          <w:tcPr>
            <w:tcW w:type="dxa" w:w="3120"/>
          </w:tcPr>
          <w:p>
            <w:r>
              <w:rPr>
                <w:rFonts w:ascii="Calibri" w:cs="Calibri" w:eastAsia="Calibri" w:hAnsi="Calibri"/>
                <w:b/>
                <w:bCs/>
                <w:sz w:val="20"/>
                <w:szCs w:val="20"/>
              </w:rPr>
              <w:t xml:space="preserve">D5</w:t>
            </w:r>
          </w:p>
        </w:tc>
        <w:tc>
          <w:tcPr>
            <w:tcW w:type="dxa" w:w="6240"/>
          </w:tcPr>
          <w:p>
            <w:r>
              <w:rPr>
                <w:rFonts w:ascii="Calibri" w:cs="Calibri" w:eastAsia="Calibri" w:hAnsi="Calibri"/>
                <w:b w:val="false"/>
                <w:bCs w:val="false"/>
                <w:sz w:val="20"/>
                <w:szCs w:val="20"/>
              </w:rPr>
              <w:t xml:space="preserve">Monthly data quality report and risk register input Monthly</w:t>
            </w:r>
          </w:p>
        </w:tc>
      </w:tr>
    </w:tbl>
    <w:p>
      <w:pPr>
        <w:pStyle w:val="Heading1"/>
        <w:spacing w:after="120" w:before="240"/>
      </w:pPr>
      <w:r>
        <w:rPr>
          <w:rFonts w:ascii="Calibri" w:cs="Calibri" w:eastAsia="Calibri" w:hAnsi="Calibri"/>
          <w:b/>
          <w:bCs/>
          <w:sz w:val="28"/>
          <w:szCs w:val="28"/>
        </w:rPr>
        <w:t xml:space="preserve">4.  Essential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EEEEEE" w:val="clear"/>
          </w:tcPr>
          <w:p>
            <w:r>
              <w:rPr>
                <w:rFonts w:ascii="Calibri" w:cs="Calibri" w:eastAsia="Calibri" w:hAnsi="Calibri"/>
                <w:b/>
                <w:bCs/>
                <w:sz w:val="20"/>
                <w:szCs w:val="20"/>
              </w:rPr>
              <w:t xml:space="preserve">#</w:t>
            </w:r>
          </w:p>
        </w:tc>
        <w:tc>
          <w:tcPr>
            <w:tcW w:type="dxa" w:w="6240"/>
            <w:shd w:fill="EEEEEE" w:val="clear"/>
          </w:tcPr>
          <w:p>
            <w:r>
              <w:rPr>
                <w:rFonts w:ascii="Calibri" w:cs="Calibri" w:eastAsia="Calibri" w:hAnsi="Calibri"/>
                <w:b/>
                <w:bCs/>
                <w:sz w:val="20"/>
                <w:szCs w:val="20"/>
              </w:rPr>
              <w:t xml:space="preserve">Criterion Weighting</w:t>
            </w:r>
          </w:p>
        </w:tc>
      </w:tr>
      <w:tr>
        <w:tc>
          <w:tcPr>
            <w:tcW w:type="dxa" w:w="3120"/>
          </w:tcPr>
          <w:p>
            <w:r>
              <w:rPr>
                <w:rFonts w:ascii="Calibri" w:cs="Calibri" w:eastAsia="Calibri" w:hAnsi="Calibri"/>
                <w:b/>
                <w:bCs/>
                <w:sz w:val="20"/>
                <w:szCs w:val="20"/>
              </w:rPr>
              <w:t xml:space="preserve">E1</w:t>
            </w:r>
          </w:p>
        </w:tc>
        <w:tc>
          <w:tcPr>
            <w:tcW w:type="dxa" w:w="6240"/>
          </w:tcPr>
          <w:p>
            <w:r>
              <w:rPr>
                <w:rFonts w:ascii="Calibri" w:cs="Calibri" w:eastAsia="Calibri" w:hAnsi="Calibri"/>
                <w:b w:val="false"/>
                <w:bCs w:val="false"/>
                <w:sz w:val="20"/>
                <w:szCs w:val="20"/>
              </w:rPr>
              <w:t xml:space="preserve">Minimum 8 years' professional data engineering or software engineering experience, including at least 3 years building production data pipelines 20%</w:t>
            </w:r>
          </w:p>
        </w:tc>
      </w:tr>
      <w:tr>
        <w:tc>
          <w:tcPr>
            <w:tcW w:type="dxa" w:w="3120"/>
          </w:tcPr>
          <w:p>
            <w:r>
              <w:rPr>
                <w:rFonts w:ascii="Calibri" w:cs="Calibri" w:eastAsia="Calibri" w:hAnsi="Calibri"/>
                <w:b/>
                <w:bCs/>
                <w:sz w:val="20"/>
                <w:szCs w:val="20"/>
              </w:rPr>
              <w:t xml:space="preserve">E2</w:t>
            </w:r>
          </w:p>
        </w:tc>
        <w:tc>
          <w:tcPr>
            <w:tcW w:type="dxa" w:w="6240"/>
          </w:tcPr>
          <w:p>
            <w:r>
              <w:rPr>
                <w:rFonts w:ascii="Calibri" w:cs="Calibri" w:eastAsia="Calibri" w:hAnsi="Calibri"/>
                <w:b w:val="false"/>
                <w:bCs w:val="false"/>
                <w:sz w:val="20"/>
                <w:szCs w:val="20"/>
              </w:rPr>
              <w:t xml:space="preserve">Demonstrated delivery of production data pipelines on a major cloud platform, including both batch and streaming ingestion at volume 25%</w:t>
            </w:r>
          </w:p>
        </w:tc>
      </w:tr>
      <w:tr>
        <w:tc>
          <w:tcPr>
            <w:tcW w:type="dxa" w:w="3120"/>
          </w:tcPr>
          <w:p>
            <w:r>
              <w:rPr>
                <w:rFonts w:ascii="Calibri" w:cs="Calibri" w:eastAsia="Calibri" w:hAnsi="Calibri"/>
                <w:b/>
                <w:bCs/>
                <w:sz w:val="20"/>
                <w:szCs w:val="20"/>
              </w:rPr>
              <w:t xml:space="preserve">E3</w:t>
            </w:r>
          </w:p>
        </w:tc>
        <w:tc>
          <w:tcPr>
            <w:tcW w:type="dxa" w:w="6240"/>
          </w:tcPr>
          <w:p>
            <w:r>
              <w:rPr>
                <w:rFonts w:ascii="Calibri" w:cs="Calibri" w:eastAsia="Calibri" w:hAnsi="Calibri"/>
                <w:b w:val="false"/>
                <w:bCs w:val="false"/>
                <w:sz w:val="20"/>
                <w:szCs w:val="20"/>
              </w:rPr>
              <w:t xml:space="preserve">Strong SQL and at least one data engineering language (Python, Scala or equivalent), with demonstrated dimensional modelling capability 20%</w:t>
            </w:r>
          </w:p>
        </w:tc>
      </w:tr>
      <w:tr>
        <w:tc>
          <w:tcPr>
            <w:tcW w:type="dxa" w:w="3120"/>
          </w:tcPr>
          <w:p>
            <w:r>
              <w:rPr>
                <w:rFonts w:ascii="Calibri" w:cs="Calibri" w:eastAsia="Calibri" w:hAnsi="Calibri"/>
                <w:b/>
                <w:bCs/>
                <w:sz w:val="20"/>
                <w:szCs w:val="20"/>
              </w:rPr>
              <w:t xml:space="preserve">E4</w:t>
            </w:r>
          </w:p>
        </w:tc>
        <w:tc>
          <w:tcPr>
            <w:tcW w:type="dxa" w:w="6240"/>
          </w:tcPr>
          <w:p>
            <w:r>
              <w:rPr>
                <w:rFonts w:ascii="Calibri" w:cs="Calibri" w:eastAsia="Calibri" w:hAnsi="Calibri"/>
                <w:b w:val="false"/>
                <w:bCs w:val="false"/>
                <w:sz w:val="20"/>
                <w:szCs w:val="20"/>
              </w:rPr>
              <w:t xml:space="preserve">Demonstrated experience migrating reporting or analytical workloads off legacy warehouses without interrupting business reporting 15%</w:t>
            </w:r>
          </w:p>
        </w:tc>
      </w:tr>
      <w:tr>
        <w:tc>
          <w:tcPr>
            <w:tcW w:type="dxa" w:w="3120"/>
          </w:tcPr>
          <w:p>
            <w:r>
              <w:rPr>
                <w:rFonts w:ascii="Calibri" w:cs="Calibri" w:eastAsia="Calibri" w:hAnsi="Calibri"/>
                <w:b/>
                <w:bCs/>
                <w:sz w:val="20"/>
                <w:szCs w:val="20"/>
              </w:rPr>
              <w:t xml:space="preserve">E5</w:t>
            </w:r>
          </w:p>
        </w:tc>
        <w:tc>
          <w:tcPr>
            <w:tcW w:type="dxa" w:w="6240"/>
          </w:tcPr>
          <w:p>
            <w:r>
              <w:rPr>
                <w:rFonts w:ascii="Calibri" w:cs="Calibri" w:eastAsia="Calibri" w:hAnsi="Calibri"/>
                <w:b w:val="false"/>
                <w:bCs w:val="false"/>
                <w:sz w:val="20"/>
                <w:szCs w:val="20"/>
              </w:rPr>
              <w:t xml:space="preserve">Demonstrated data quality practice: validation, reconciliation, lineage and monitoring of production data assets 10%</w:t>
            </w:r>
          </w:p>
        </w:tc>
      </w:tr>
      <w:tr>
        <w:tc>
          <w:tcPr>
            <w:tcW w:type="dxa" w:w="3120"/>
          </w:tcPr>
          <w:p>
            <w:r>
              <w:rPr>
                <w:rFonts w:ascii="Calibri" w:cs="Calibri" w:eastAsia="Calibri" w:hAnsi="Calibri"/>
                <w:b/>
                <w:bCs/>
                <w:sz w:val="20"/>
                <w:szCs w:val="20"/>
              </w:rPr>
              <w:t xml:space="preserve">E6</w:t>
            </w:r>
          </w:p>
        </w:tc>
        <w:tc>
          <w:tcPr>
            <w:tcW w:type="dxa" w:w="6240"/>
          </w:tcPr>
          <w:p>
            <w:r>
              <w:rPr>
                <w:rFonts w:ascii="Calibri" w:cs="Calibri" w:eastAsia="Calibri" w:hAnsi="Calibri"/>
                <w:b w:val="false"/>
                <w:bCs w:val="false"/>
                <w:sz w:val="20"/>
                <w:szCs w:val="20"/>
              </w:rPr>
              <w:t xml:space="preserve">Clear written and verbal communication of data assumptions and limitations to non-technical audiences 10%</w:t>
            </w:r>
          </w:p>
        </w:tc>
      </w:tr>
    </w:tbl>
    <w:p>
      <w:pPr>
        <w:pStyle w:val="Heading1"/>
        <w:spacing w:after="120" w:before="240"/>
      </w:pPr>
      <w:r>
        <w:rPr>
          <w:rFonts w:ascii="Calibri" w:cs="Calibri" w:eastAsia="Calibri" w:hAnsi="Calibri"/>
          <w:b/>
          <w:bCs/>
          <w:sz w:val="28"/>
          <w:szCs w:val="28"/>
        </w:rPr>
        <w:t xml:space="preserve">5.  Desirable criteria</w:t>
      </w:r>
    </w:p>
    <w:p>
      <w:pPr>
        <w:pStyle w:val="ListParagraph"/>
        <w:numPr>
          <w:ilvl w:val="0"/>
          <w:numId w:val="2"/>
        </w:numPr>
        <w:spacing w:after="60"/>
      </w:pPr>
      <w:r>
        <w:rPr>
          <w:rFonts w:ascii="Calibri" w:cs="Calibri" w:eastAsia="Calibri" w:hAnsi="Calibri"/>
          <w:sz w:val="22"/>
          <w:szCs w:val="22"/>
        </w:rPr>
        <w:t xml:space="preserve">Relevant tertiary qualification in computer science, data science, engineering or a related discipline.</w:t>
      </w:r>
    </w:p>
    <w:p>
      <w:pPr>
        <w:pStyle w:val="ListParagraph"/>
        <w:numPr>
          <w:ilvl w:val="0"/>
          <w:numId w:val="2"/>
        </w:numPr>
        <w:spacing w:after="60"/>
      </w:pPr>
      <w:r>
        <w:rPr>
          <w:rFonts w:ascii="Calibri" w:cs="Calibri" w:eastAsia="Calibri" w:hAnsi="Calibri"/>
          <w:sz w:val="22"/>
          <w:szCs w:val="22"/>
        </w:rPr>
        <w:t xml:space="preserve">Current industry certification in a cloud data platform.</w:t>
      </w:r>
    </w:p>
    <w:p>
      <w:pPr>
        <w:pStyle w:val="ListParagraph"/>
        <w:numPr>
          <w:ilvl w:val="0"/>
          <w:numId w:val="2"/>
        </w:numPr>
        <w:spacing w:after="60"/>
      </w:pPr>
      <w:r>
        <w:rPr>
          <w:rFonts w:ascii="Calibri" w:cs="Calibri" w:eastAsia="Calibri" w:hAnsi="Calibri"/>
          <w:sz w:val="22"/>
          <w:szCs w:val="22"/>
        </w:rPr>
        <w:t xml:space="preserve">Experience in a regulated utility, energy or water environment.</w:t>
      </w:r>
    </w:p>
    <w:p>
      <w:pPr>
        <w:pStyle w:val="ListParagraph"/>
        <w:numPr>
          <w:ilvl w:val="0"/>
          <w:numId w:val="2"/>
        </w:numPr>
        <w:spacing w:after="60"/>
      </w:pPr>
      <w:r>
        <w:rPr>
          <w:rFonts w:ascii="Calibri" w:cs="Calibri" w:eastAsia="Calibri" w:hAnsi="Calibri"/>
          <w:sz w:val="22"/>
          <w:szCs w:val="22"/>
        </w:rPr>
        <w:t xml:space="preserve">Experience with orchestration tooling and transformation frameworks.</w:t>
      </w:r>
    </w:p>
    <w:p>
      <w:pPr>
        <w:pStyle w:val="ListParagraph"/>
        <w:numPr>
          <w:ilvl w:val="0"/>
          <w:numId w:val="2"/>
        </w:numPr>
        <w:spacing w:after="60"/>
      </w:pPr>
      <w:r>
        <w:rPr>
          <w:rFonts w:ascii="Calibri" w:cs="Calibri" w:eastAsia="Calibri" w:hAnsi="Calibri"/>
          <w:sz w:val="22"/>
          <w:szCs w:val="22"/>
        </w:rPr>
        <w:t xml:space="preserve">Experience working within a delivery team under a services panel or contracted arrangement.</w:t>
      </w:r>
    </w:p>
    <w:p>
      <w:pPr>
        <w:pStyle w:val="Heading1"/>
        <w:spacing w:after="120" w:before="240"/>
      </w:pPr>
      <w:r>
        <w:rPr>
          <w:rFonts w:ascii="Calibri" w:cs="Calibri" w:eastAsia="Calibri" w:hAnsi="Calibri"/>
          <w:b/>
          <w:bCs/>
          <w:sz w:val="28"/>
          <w:szCs w:val="28"/>
        </w:rPr>
        <w:t xml:space="preserve">6.  Mandatory conditions</w:t>
      </w:r>
    </w:p>
    <w:p>
      <w:pPr>
        <w:pStyle w:val="ListParagraph"/>
        <w:numPr>
          <w:ilvl w:val="0"/>
          <w:numId w:val="2"/>
        </w:numPr>
        <w:spacing w:after="60"/>
      </w:pPr>
      <w:r>
        <w:rPr>
          <w:rFonts w:ascii="Calibri" w:cs="Calibri" w:eastAsia="Calibri" w:hAnsi="Calibri"/>
          <w:sz w:val="22"/>
          <w:szCs w:val="22"/>
        </w:rPr>
        <w:t xml:space="preserve">Right to work: Must hold unrestricted Australian working rights.</w:t>
      </w:r>
    </w:p>
    <w:p>
      <w:pPr>
        <w:pStyle w:val="ListParagraph"/>
        <w:numPr>
          <w:ilvl w:val="0"/>
          <w:numId w:val="2"/>
        </w:numPr>
        <w:spacing w:after="60"/>
      </w:pPr>
      <w:r>
        <w:rPr>
          <w:rFonts w:ascii="Calibri" w:cs="Calibri" w:eastAsia="Calibri" w:hAnsi="Calibri"/>
          <w:sz w:val="22"/>
          <w:szCs w:val="22"/>
        </w:rPr>
        <w:t xml:space="preserve">Background check: Current National Police Check (or willingness to obtain prior to commencement).</w:t>
      </w:r>
    </w:p>
    <w:p>
      <w:pPr>
        <w:pStyle w:val="ListParagraph"/>
        <w:numPr>
          <w:ilvl w:val="0"/>
          <w:numId w:val="2"/>
        </w:numPr>
        <w:spacing w:after="60"/>
      </w:pPr>
      <w:r>
        <w:rPr>
          <w:rFonts w:ascii="Calibri" w:cs="Calibri" w:eastAsia="Calibri" w:hAnsi="Calibri"/>
          <w:sz w:val="22"/>
          <w:szCs w:val="22"/>
        </w:rPr>
        <w:t xml:space="preserve">Location: Must be able to attend the Brisbane office a minimum of 2 days per week.</w:t>
      </w:r>
    </w:p>
    <w:p>
      <w:pPr>
        <w:pStyle w:val="ListParagraph"/>
        <w:numPr>
          <w:ilvl w:val="0"/>
          <w:numId w:val="2"/>
        </w:numPr>
        <w:spacing w:after="60"/>
      </w:pPr>
      <w:r>
        <w:rPr>
          <w:rFonts w:ascii="Calibri" w:cs="Calibri" w:eastAsia="Calibri" w:hAnsi="Calibri"/>
          <w:sz w:val="22"/>
          <w:szCs w:val="22"/>
        </w:rPr>
        <w:t xml:space="preserve">Availability: Must be able to commence within 8 weeks of award.</w:t>
      </w:r>
    </w:p>
    <w:p>
      <w:pPr>
        <w:pStyle w:val="ListParagraph"/>
        <w:numPr>
          <w:ilvl w:val="0"/>
          <w:numId w:val="2"/>
        </w:numPr>
        <w:spacing w:after="60"/>
      </w:pPr>
      <w:r>
        <w:rPr>
          <w:rFonts w:ascii="Calibri" w:cs="Calibri" w:eastAsia="Calibri" w:hAnsi="Calibri"/>
          <w:sz w:val="22"/>
          <w:szCs w:val="22"/>
        </w:rPr>
        <w:t xml:space="preserve">Referees: Two referees required, at least one being a direct supervisor from an engagement within the last 3 years.</w:t>
      </w:r>
    </w:p>
    <w:p>
      <w:pPr>
        <w:pStyle w:val="Heading1"/>
        <w:spacing w:after="120" w:before="240"/>
      </w:pPr>
      <w:r>
        <w:rPr>
          <w:rFonts w:ascii="Calibri" w:cs="Calibri" w:eastAsia="Calibri" w:hAnsi="Calibri"/>
          <w:b/>
          <w:bCs/>
          <w:sz w:val="28"/>
          <w:szCs w:val="28"/>
        </w:rPr>
        <w:t xml:space="preserve">7.  Response requirements</w:t>
      </w:r>
    </w:p>
    <w:p>
      <w:pPr>
        <w:spacing w:after="100"/>
      </w:pPr>
      <w:r>
        <w:rPr>
          <w:rFonts w:ascii="Calibri" w:cs="Calibri" w:eastAsia="Calibri" w:hAnsi="Calibri"/>
          <w:i w:val="false"/>
          <w:iCs w:val="false"/>
          <w:sz w:val="22"/>
          <w:szCs w:val="22"/>
        </w:rPr>
        <w:t xml:space="preserve">Respondents must submit, for each proposed candidate:</w:t>
      </w:r>
    </w:p>
    <w:p>
      <w:pPr>
        <w:pStyle w:val="ListParagraph"/>
        <w:numPr>
          <w:ilvl w:val="0"/>
          <w:numId w:val="2"/>
        </w:numPr>
        <w:spacing w:after="60"/>
      </w:pPr>
      <w:r>
        <w:rPr>
          <w:rFonts w:ascii="Calibri" w:cs="Calibri" w:eastAsia="Calibri" w:hAnsi="Calibri"/>
          <w:sz w:val="22"/>
          <w:szCs w:val="22"/>
        </w:rPr>
        <w:t xml:space="preserve">Candidate CV — using the client's supplied CV template. Maximum 2 pages. Must include full name, proposed role, qualifications, background check status, years of experience, availability, location and two referees.</w:t>
      </w:r>
    </w:p>
    <w:p>
      <w:pPr>
        <w:pStyle w:val="ListParagraph"/>
        <w:numPr>
          <w:ilvl w:val="0"/>
          <w:numId w:val="2"/>
        </w:numPr>
        <w:spacing w:after="60"/>
      </w:pPr>
      <w:r>
        <w:rPr>
          <w:rFonts w:ascii="Calibri" w:cs="Calibri" w:eastAsia="Calibri" w:hAnsi="Calibri"/>
          <w:sz w:val="22"/>
          <w:szCs w:val="22"/>
        </w:rPr>
        <w:t xml:space="preserve">Role suitability statement — maximum 200 words, addressing why the candidate meets Level 4 for this engagement, and explicitly referencing evidence against E1–E6.</w:t>
      </w:r>
    </w:p>
    <w:p>
      <w:pPr>
        <w:pStyle w:val="ListParagraph"/>
        <w:numPr>
          <w:ilvl w:val="0"/>
          <w:numId w:val="2"/>
        </w:numPr>
        <w:spacing w:after="60"/>
      </w:pPr>
      <w:r>
        <w:rPr>
          <w:rFonts w:ascii="Calibri" w:cs="Calibri" w:eastAsia="Calibri" w:hAnsi="Calibri"/>
          <w:sz w:val="22"/>
          <w:szCs w:val="22"/>
        </w:rPr>
        <w:t xml:space="preserve">Pricing — hourly rate, exclusive of GST.</w:t>
      </w:r>
    </w:p>
    <w:p>
      <w:pPr>
        <w:spacing w:after="100"/>
      </w:pPr>
      <w:r>
        <w:rPr>
          <w:rFonts w:ascii="Calibri" w:cs="Calibri" w:eastAsia="Calibri" w:hAnsi="Calibri"/>
          <w:i w:val="false"/>
          <w:iCs w:val="false"/>
          <w:sz w:val="22"/>
          <w:szCs w:val="22"/>
        </w:rPr>
        <w:t xml:space="preserve">Candidate CVs that exceed 2 pages, omit referees, or do not use the supplied template will be marked non-conforming.</w:t>
      </w:r>
    </w:p>
    <w:p>
      <w:pPr>
        <w:pStyle w:val="Heading1"/>
        <w:spacing w:after="120" w:before="240"/>
      </w:pPr>
      <w:r>
        <w:rPr>
          <w:rFonts w:ascii="Calibri" w:cs="Calibri" w:eastAsia="Calibri" w:hAnsi="Calibri"/>
          <w:b/>
          <w:bCs/>
          <w:sz w:val="28"/>
          <w:szCs w:val="28"/>
        </w:rPr>
        <w:t xml:space="preserve">8.  Evaluation</w:t>
      </w:r>
    </w:p>
    <w:p>
      <w:pPr>
        <w:spacing w:after="100"/>
      </w:pPr>
      <w:r>
        <w:rPr>
          <w:rFonts w:ascii="Calibri" w:cs="Calibri" w:eastAsia="Calibri" w:hAnsi="Calibri"/>
          <w:i w:val="false"/>
          <w:iCs w:val="false"/>
          <w:sz w:val="22"/>
          <w:szCs w:val="22"/>
        </w:rPr>
        <w:t xml:space="preserve">Responses will be evaluated on value for money: 70% weighting to the essential criteria at section 4, 30% weighting to price. Desirable criteria will be used to differentiate between candidates of otherwise equal merit.</w:t>
      </w:r>
    </w:p>
    <w:p>
      <w:pPr>
        <w:spacing w:after="100"/>
      </w:pPr>
      <w:r>
        <w:rPr>
          <w:rFonts w:ascii="Calibri" w:cs="Calibri" w:eastAsia="Calibri" w:hAnsi="Calibri"/>
          <w:i/>
          <w:iCs/>
          <w:sz w:val="22"/>
          <w:szCs w:val="22"/>
        </w:rPr>
        <w:t xml:space="preserve">This is mock content generated for testing purposes. Kestrel Water Authority Pty Ltd, the reference number and all dates are fictitious.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2026-08-19T11:54:56.201Z</dcterms:created>
  <dcterms:modified xsi:type="dcterms:W3CDTF">2026-08-19T11:54:56.225Z</dcterms:modified>
</cp:coreProperties>
</file>

<file path=docProps/custom.xml><?xml version="1.0" encoding="utf-8"?>
<Properties xmlns="http://schemas.openxmlformats.org/officeDocument/2006/custom-properties" xmlns:vt="http://schemas.openxmlformats.org/officeDocument/2006/docPropsVTypes"/>
</file>