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F1491" w14:textId="5C366564" w:rsidR="00073220" w:rsidRPr="00B05757" w:rsidRDefault="00880CA2" w:rsidP="00881CD6">
      <w:pPr>
        <w:tabs>
          <w:tab w:val="left" w:pos="7987"/>
        </w:tabs>
        <w:spacing w:after="0" w:line="320" w:lineRule="exact"/>
        <w:ind w:right="-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753FC8B" wp14:editId="2DDCA5D0">
            <wp:simplePos x="0" y="0"/>
            <wp:positionH relativeFrom="page">
              <wp:align>center</wp:align>
            </wp:positionH>
            <wp:positionV relativeFrom="paragraph">
              <wp:posOffset>-356235</wp:posOffset>
            </wp:positionV>
            <wp:extent cx="6822440" cy="780757"/>
            <wp:effectExtent l="0" t="0" r="0" b="635"/>
            <wp:wrapNone/>
            <wp:docPr id="56" name="Picture 56" descr="Buu dien tinh 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uu dien tinh d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7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D32B" w14:textId="3F05CA80" w:rsidR="00880CA2" w:rsidRDefault="00880CA2" w:rsidP="00530B6B">
      <w:pPr>
        <w:spacing w:before="120" w:after="0" w:line="32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1595B" w14:textId="17C3F175" w:rsidR="00E735C8" w:rsidRDefault="004B3531" w:rsidP="00530B6B">
      <w:pPr>
        <w:spacing w:before="120" w:after="0" w:line="32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757">
        <w:rPr>
          <w:rFonts w:ascii="Times New Roman" w:hAnsi="Times New Roman" w:cs="Times New Roman"/>
          <w:b/>
          <w:bCs/>
          <w:sz w:val="28"/>
          <w:szCs w:val="28"/>
        </w:rPr>
        <w:t>BẢNG GIÁ CƯỚ</w:t>
      </w:r>
      <w:r w:rsidR="0075600B" w:rsidRPr="00B05757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B05757">
        <w:rPr>
          <w:rFonts w:ascii="Times New Roman" w:hAnsi="Times New Roman" w:cs="Times New Roman"/>
          <w:b/>
          <w:bCs/>
          <w:sz w:val="28"/>
          <w:szCs w:val="28"/>
        </w:rPr>
        <w:t xml:space="preserve">DỊCH VỤ </w:t>
      </w:r>
    </w:p>
    <w:p w14:paraId="574D56B8" w14:textId="61EDED05" w:rsidR="004B3531" w:rsidRPr="00B05757" w:rsidRDefault="004B3531" w:rsidP="00530B6B">
      <w:pPr>
        <w:spacing w:before="120" w:after="0" w:line="32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757">
        <w:rPr>
          <w:rFonts w:ascii="Times New Roman" w:hAnsi="Times New Roman" w:cs="Times New Roman"/>
          <w:b/>
          <w:bCs/>
          <w:sz w:val="28"/>
          <w:szCs w:val="28"/>
        </w:rPr>
        <w:t xml:space="preserve">CHUYỂN PHÁT </w:t>
      </w:r>
      <w:r w:rsidR="00260D09" w:rsidRPr="00B05757">
        <w:rPr>
          <w:rFonts w:ascii="Times New Roman" w:hAnsi="Times New Roman" w:cs="Times New Roman"/>
          <w:b/>
          <w:bCs/>
          <w:sz w:val="28"/>
          <w:szCs w:val="28"/>
        </w:rPr>
        <w:t>HÀNG NẶNG, CỒNG KỀNH</w:t>
      </w:r>
    </w:p>
    <w:p w14:paraId="6B394BA2" w14:textId="00CB721C" w:rsidR="00D046C8" w:rsidRPr="00B05757" w:rsidRDefault="00D046C8" w:rsidP="00F85F0B">
      <w:pPr>
        <w:tabs>
          <w:tab w:val="left" w:pos="7987"/>
        </w:tabs>
        <w:spacing w:after="0" w:line="320" w:lineRule="exact"/>
        <w:ind w:firstLine="426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05757">
        <w:rPr>
          <w:rFonts w:ascii="Times New Roman" w:hAnsi="Times New Roman" w:cs="Times New Roman"/>
          <w:i/>
          <w:sz w:val="26"/>
          <w:szCs w:val="26"/>
        </w:rPr>
        <w:t xml:space="preserve">(Ban hành kèm theo Quyết định số </w:t>
      </w:r>
      <w:r w:rsidR="00880CA2">
        <w:rPr>
          <w:rFonts w:ascii="Times New Roman" w:hAnsi="Times New Roman" w:cs="Times New Roman"/>
          <w:i/>
          <w:sz w:val="26"/>
          <w:szCs w:val="26"/>
        </w:rPr>
        <w:t>1605</w:t>
      </w:r>
      <w:r w:rsidRPr="00B05757">
        <w:rPr>
          <w:rFonts w:ascii="Times New Roman" w:hAnsi="Times New Roman" w:cs="Times New Roman"/>
          <w:i/>
          <w:sz w:val="26"/>
          <w:szCs w:val="26"/>
        </w:rPr>
        <w:t xml:space="preserve">  /QĐ-BĐVN  ngày </w:t>
      </w:r>
      <w:r w:rsidR="00880CA2">
        <w:rPr>
          <w:rFonts w:ascii="Times New Roman" w:hAnsi="Times New Roman" w:cs="Times New Roman"/>
          <w:i/>
          <w:sz w:val="26"/>
          <w:szCs w:val="26"/>
        </w:rPr>
        <w:t>9</w:t>
      </w:r>
      <w:r w:rsidRPr="00B05757">
        <w:rPr>
          <w:rFonts w:ascii="Times New Roman" w:hAnsi="Times New Roman" w:cs="Times New Roman"/>
          <w:i/>
          <w:sz w:val="26"/>
          <w:szCs w:val="26"/>
        </w:rPr>
        <w:t xml:space="preserve">  / </w:t>
      </w:r>
      <w:r w:rsidR="00880CA2">
        <w:rPr>
          <w:rFonts w:ascii="Times New Roman" w:hAnsi="Times New Roman" w:cs="Times New Roman"/>
          <w:i/>
          <w:sz w:val="26"/>
          <w:szCs w:val="26"/>
        </w:rPr>
        <w:t>9</w:t>
      </w:r>
      <w:r w:rsidRPr="00B05757">
        <w:rPr>
          <w:rFonts w:ascii="Times New Roman" w:hAnsi="Times New Roman" w:cs="Times New Roman"/>
          <w:i/>
          <w:sz w:val="26"/>
          <w:szCs w:val="26"/>
        </w:rPr>
        <w:t xml:space="preserve"> /2025</w:t>
      </w:r>
    </w:p>
    <w:p w14:paraId="6D9EE586" w14:textId="5463D702" w:rsidR="00D046C8" w:rsidRPr="00880CA2" w:rsidRDefault="00D046C8" w:rsidP="00880CA2">
      <w:pPr>
        <w:tabs>
          <w:tab w:val="left" w:pos="7987"/>
        </w:tabs>
        <w:spacing w:after="0" w:line="320" w:lineRule="exact"/>
        <w:ind w:firstLine="426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05757">
        <w:rPr>
          <w:rFonts w:ascii="Times New Roman" w:hAnsi="Times New Roman" w:cs="Times New Roman"/>
          <w:i/>
          <w:sz w:val="26"/>
          <w:szCs w:val="26"/>
        </w:rPr>
        <w:t>của Tổng giám đốc Tổng công t</w:t>
      </w:r>
      <w:bookmarkStart w:id="0" w:name="_GoBack"/>
      <w:bookmarkEnd w:id="0"/>
      <w:r w:rsidRPr="00B05757">
        <w:rPr>
          <w:rFonts w:ascii="Times New Roman" w:hAnsi="Times New Roman" w:cs="Times New Roman"/>
          <w:i/>
          <w:sz w:val="26"/>
          <w:szCs w:val="26"/>
        </w:rPr>
        <w:t>y Bưu điện Việt Nam)</w:t>
      </w:r>
    </w:p>
    <w:p w14:paraId="03D82F55" w14:textId="6CDDEE7A" w:rsidR="00D046C8" w:rsidRPr="00880CA2" w:rsidRDefault="00D046C8" w:rsidP="00F85F0B">
      <w:pPr>
        <w:tabs>
          <w:tab w:val="left" w:pos="7987"/>
        </w:tabs>
        <w:spacing w:after="0" w:line="320" w:lineRule="exact"/>
        <w:ind w:firstLine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0CA2">
        <w:rPr>
          <w:rFonts w:ascii="Times New Roman" w:hAnsi="Times New Roman" w:cs="Times New Roman"/>
          <w:b/>
          <w:sz w:val="26"/>
          <w:szCs w:val="26"/>
        </w:rPr>
        <w:t xml:space="preserve">Thời điểm áp dụng: </w:t>
      </w:r>
      <w:r w:rsidR="00B7756B" w:rsidRPr="00880CA2">
        <w:rPr>
          <w:rFonts w:ascii="Times New Roman" w:hAnsi="Times New Roman" w:cs="Times New Roman"/>
          <w:b/>
          <w:sz w:val="26"/>
          <w:szCs w:val="26"/>
        </w:rPr>
        <w:t>10</w:t>
      </w:r>
      <w:r w:rsidRPr="00880CA2">
        <w:rPr>
          <w:rFonts w:ascii="Times New Roman" w:hAnsi="Times New Roman" w:cs="Times New Roman"/>
          <w:b/>
          <w:sz w:val="26"/>
          <w:szCs w:val="26"/>
        </w:rPr>
        <w:t>/</w:t>
      </w:r>
      <w:r w:rsidR="00107570" w:rsidRPr="00880CA2">
        <w:rPr>
          <w:rFonts w:ascii="Times New Roman" w:hAnsi="Times New Roman" w:cs="Times New Roman"/>
          <w:b/>
          <w:sz w:val="26"/>
          <w:szCs w:val="26"/>
        </w:rPr>
        <w:t>0</w:t>
      </w:r>
      <w:r w:rsidR="00303773" w:rsidRPr="00880CA2">
        <w:rPr>
          <w:rFonts w:ascii="Times New Roman" w:hAnsi="Times New Roman" w:cs="Times New Roman"/>
          <w:b/>
          <w:sz w:val="26"/>
          <w:szCs w:val="26"/>
        </w:rPr>
        <w:t>9</w:t>
      </w:r>
      <w:r w:rsidRPr="00880CA2">
        <w:rPr>
          <w:rFonts w:ascii="Times New Roman" w:hAnsi="Times New Roman" w:cs="Times New Roman"/>
          <w:b/>
          <w:sz w:val="26"/>
          <w:szCs w:val="26"/>
        </w:rPr>
        <w:t>/2025</w:t>
      </w:r>
    </w:p>
    <w:p w14:paraId="599A1E18" w14:textId="77777777" w:rsidR="002460E4" w:rsidRPr="00B05757" w:rsidRDefault="002460E4" w:rsidP="00D046C8">
      <w:pPr>
        <w:tabs>
          <w:tab w:val="left" w:pos="7987"/>
        </w:tabs>
        <w:spacing w:after="0" w:line="320" w:lineRule="exact"/>
        <w:jc w:val="center"/>
        <w:rPr>
          <w:rFonts w:ascii="Times New Roman" w:hAnsi="Times New Roman" w:cs="Times New Roman"/>
          <w:sz w:val="26"/>
          <w:szCs w:val="26"/>
        </w:rPr>
      </w:pPr>
    </w:p>
    <w:p w14:paraId="179C87DA" w14:textId="04F9624D" w:rsidR="00D046C8" w:rsidRPr="00B05757" w:rsidRDefault="00D046C8" w:rsidP="00C5598B">
      <w:pPr>
        <w:pStyle w:val="ListParagraph"/>
        <w:spacing w:before="120" w:after="120" w:line="300" w:lineRule="exact"/>
        <w:ind w:left="0" w:right="-284" w:firstLine="14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I. CƯỚC CHÍNH DỊCH VỤ</w:t>
      </w:r>
      <w:r w:rsidR="005C68D0" w:rsidRPr="00B057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B3531" w:rsidRPr="00B05757">
        <w:rPr>
          <w:rFonts w:ascii="Times New Roman" w:hAnsi="Times New Roman" w:cs="Times New Roman"/>
          <w:b/>
          <w:bCs/>
          <w:sz w:val="24"/>
          <w:szCs w:val="24"/>
        </w:rPr>
        <w:t xml:space="preserve">CHUYỂN PHÁT </w:t>
      </w:r>
      <w:r w:rsidR="00C5598B" w:rsidRPr="00B05757">
        <w:rPr>
          <w:rFonts w:ascii="Times New Roman" w:hAnsi="Times New Roman" w:cs="Times New Roman"/>
          <w:b/>
          <w:bCs/>
          <w:sz w:val="24"/>
          <w:szCs w:val="24"/>
        </w:rPr>
        <w:t>CHO HÀNG NẶNG, CỒNG KỀNH</w:t>
      </w:r>
    </w:p>
    <w:p w14:paraId="6B1483F8" w14:textId="56E1DD4A" w:rsidR="00D046C8" w:rsidRPr="00B05757" w:rsidRDefault="00D046C8" w:rsidP="007D41A1">
      <w:pPr>
        <w:pStyle w:val="ListParagraph"/>
        <w:numPr>
          <w:ilvl w:val="0"/>
          <w:numId w:val="1"/>
        </w:numPr>
        <w:tabs>
          <w:tab w:val="left" w:pos="284"/>
          <w:tab w:val="left" w:pos="851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Cước chính</w:t>
      </w:r>
    </w:p>
    <w:p w14:paraId="0D17AFC4" w14:textId="75FB04D9" w:rsidR="00D046C8" w:rsidRPr="00B05757" w:rsidRDefault="00D046C8" w:rsidP="00D046C8">
      <w:pPr>
        <w:pStyle w:val="ListParagraph"/>
        <w:tabs>
          <w:tab w:val="left" w:pos="851"/>
        </w:tabs>
        <w:spacing w:before="120" w:after="120" w:line="300" w:lineRule="exact"/>
        <w:ind w:left="0" w:firstLine="567"/>
        <w:contextualSpacing w:val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05757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Đơn vị tính: VNĐ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55"/>
        <w:gridCol w:w="1405"/>
        <w:gridCol w:w="1328"/>
        <w:gridCol w:w="1328"/>
        <w:gridCol w:w="1256"/>
        <w:gridCol w:w="1390"/>
      </w:tblGrid>
      <w:tr w:rsidR="00B05757" w:rsidRPr="00B05757" w14:paraId="286C6AF1" w14:textId="77777777" w:rsidTr="006F56A8">
        <w:trPr>
          <w:trHeight w:val="15"/>
        </w:trPr>
        <w:tc>
          <w:tcPr>
            <w:tcW w:w="129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C9DA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>Khối lượng</w:t>
            </w:r>
          </w:p>
        </w:tc>
        <w:tc>
          <w:tcPr>
            <w:tcW w:w="15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97D3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>Nội tỉnh</w:t>
            </w:r>
          </w:p>
        </w:tc>
        <w:tc>
          <w:tcPr>
            <w:tcW w:w="7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43525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>Nội vùng</w:t>
            </w:r>
          </w:p>
        </w:tc>
        <w:tc>
          <w:tcPr>
            <w:tcW w:w="6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AED2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>Cận vùng</w:t>
            </w:r>
          </w:p>
        </w:tc>
        <w:tc>
          <w:tcPr>
            <w:tcW w:w="7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A9B15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>Cách vùng</w:t>
            </w:r>
          </w:p>
        </w:tc>
      </w:tr>
      <w:tr w:rsidR="00B05757" w:rsidRPr="00B05757" w14:paraId="6494BDEB" w14:textId="77777777" w:rsidTr="006F56A8">
        <w:trPr>
          <w:trHeight w:val="15"/>
        </w:trPr>
        <w:tc>
          <w:tcPr>
            <w:tcW w:w="129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721F" w14:textId="77777777" w:rsidR="00BC69DA" w:rsidRPr="004F2987" w:rsidRDefault="00BC69DA" w:rsidP="00BC68B6">
            <w:pPr>
              <w:spacing w:line="360" w:lineRule="exact"/>
              <w:ind w:right="-5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EF8C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bCs/>
                <w:sz w:val="26"/>
                <w:szCs w:val="26"/>
              </w:rPr>
              <w:t>Nội tỉnh 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C790FE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bCs/>
                <w:sz w:val="26"/>
                <w:szCs w:val="26"/>
              </w:rPr>
              <w:t>Nội tỉnh 2</w:t>
            </w:r>
          </w:p>
        </w:tc>
        <w:tc>
          <w:tcPr>
            <w:tcW w:w="73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256E2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C0AA0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04C88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5757" w:rsidRPr="00B05757" w14:paraId="2AF8970C" w14:textId="77777777" w:rsidTr="006F56A8">
        <w:trPr>
          <w:trHeight w:val="15"/>
        </w:trPr>
        <w:tc>
          <w:tcPr>
            <w:tcW w:w="1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C945" w14:textId="77777777" w:rsidR="00BC69DA" w:rsidRPr="004F2987" w:rsidRDefault="00BC69DA" w:rsidP="004F2987">
            <w:pPr>
              <w:spacing w:line="360" w:lineRule="exact"/>
              <w:ind w:right="-57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 xml:space="preserve"> Đến 30kg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4414B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152.500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C34C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176.000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6078F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185.000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CE7B1" w14:textId="638B4EA3" w:rsidR="00BC69DA" w:rsidRPr="004F2987" w:rsidRDefault="005713B7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241</w:t>
            </w:r>
            <w:r w:rsidR="00BC69DA" w:rsidRPr="004F2987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15CF9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264.000</w:t>
            </w:r>
          </w:p>
        </w:tc>
      </w:tr>
      <w:tr w:rsidR="00B05757" w:rsidRPr="00B05757" w14:paraId="076CCD75" w14:textId="77777777" w:rsidTr="006F56A8">
        <w:trPr>
          <w:trHeight w:val="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71FE" w14:textId="77777777" w:rsidR="00BC69DA" w:rsidRPr="004F2987" w:rsidRDefault="00BC69DA" w:rsidP="004F2987">
            <w:pPr>
              <w:spacing w:line="360" w:lineRule="exact"/>
              <w:ind w:right="-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b/>
                <w:sz w:val="26"/>
                <w:szCs w:val="26"/>
              </w:rPr>
              <w:t>Mỗi 1kg tiếp theo</w:t>
            </w:r>
          </w:p>
        </w:tc>
      </w:tr>
      <w:tr w:rsidR="00B05757" w:rsidRPr="00B05757" w14:paraId="4A37ABE8" w14:textId="77777777" w:rsidTr="006F56A8">
        <w:trPr>
          <w:trHeight w:val="15"/>
        </w:trPr>
        <w:tc>
          <w:tcPr>
            <w:tcW w:w="1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AD1C" w14:textId="77777777" w:rsidR="00BC69DA" w:rsidRPr="004F2987" w:rsidRDefault="00BC69DA" w:rsidP="004F2987">
            <w:pPr>
              <w:spacing w:line="360" w:lineRule="exact"/>
              <w:ind w:right="-57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 xml:space="preserve"> Trên 30kg đến 100kg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0070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3.900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8680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4.600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5D715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5.600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920C3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6.500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AB468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8.900</w:t>
            </w:r>
          </w:p>
        </w:tc>
      </w:tr>
      <w:tr w:rsidR="00B05757" w:rsidRPr="00B05757" w14:paraId="79250317" w14:textId="77777777" w:rsidTr="006F56A8">
        <w:trPr>
          <w:trHeight w:val="15"/>
        </w:trPr>
        <w:tc>
          <w:tcPr>
            <w:tcW w:w="1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D0FA" w14:textId="77777777" w:rsidR="00BC69DA" w:rsidRPr="004F2987" w:rsidRDefault="00BC69DA" w:rsidP="004F2987">
            <w:pPr>
              <w:spacing w:line="360" w:lineRule="exact"/>
              <w:ind w:right="-57"/>
              <w:rPr>
                <w:rFonts w:ascii="Times New Roman" w:hAnsi="Times New Roman"/>
                <w:b/>
                <w:sz w:val="26"/>
                <w:szCs w:val="26"/>
              </w:rPr>
            </w:pPr>
            <w:r w:rsidRPr="004F2987">
              <w:rPr>
                <w:rFonts w:ascii="Times New Roman" w:hAnsi="Times New Roman"/>
                <w:b/>
                <w:sz w:val="26"/>
                <w:szCs w:val="26"/>
              </w:rPr>
              <w:t xml:space="preserve"> Trên 100kg đến 300kg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FDDAB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3.200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78A3D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3.700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F2AF1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4.600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F1EDD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5.600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FF0C9" w14:textId="77777777" w:rsidR="00BC69DA" w:rsidRPr="004F2987" w:rsidRDefault="00BC69DA" w:rsidP="00BC68B6">
            <w:pPr>
              <w:spacing w:line="360" w:lineRule="exact"/>
              <w:ind w:right="-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987">
              <w:rPr>
                <w:rFonts w:ascii="Times New Roman" w:hAnsi="Times New Roman" w:cs="Times New Roman"/>
                <w:sz w:val="26"/>
                <w:szCs w:val="26"/>
              </w:rPr>
              <w:t>7.400</w:t>
            </w:r>
          </w:p>
        </w:tc>
      </w:tr>
    </w:tbl>
    <w:p w14:paraId="0BE177B1" w14:textId="77777777" w:rsidR="00BC69DA" w:rsidRPr="00B05757" w:rsidRDefault="00897759" w:rsidP="00BC69DA">
      <w:pPr>
        <w:tabs>
          <w:tab w:val="left" w:pos="540"/>
        </w:tabs>
        <w:spacing w:after="0" w:line="360" w:lineRule="exact"/>
        <w:jc w:val="both"/>
        <w:rPr>
          <w:rFonts w:ascii="Times New Roman" w:eastAsia="SimSun" w:hAnsi="Times New Roman"/>
          <w:bCs/>
          <w:sz w:val="26"/>
          <w:szCs w:val="26"/>
        </w:rPr>
      </w:pPr>
      <w:r w:rsidRPr="00B0575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D046C8" w:rsidRPr="00B05757">
        <w:rPr>
          <w:rFonts w:ascii="Times New Roman" w:hAnsi="Times New Roman" w:cs="Times New Roman"/>
          <w:b/>
          <w:i/>
          <w:sz w:val="26"/>
          <w:szCs w:val="26"/>
        </w:rPr>
        <w:t>Ghi chú:</w:t>
      </w:r>
      <w:r w:rsidR="00D046C8" w:rsidRPr="00B0575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4094C60" w14:textId="199BBF6C" w:rsidR="00BC69DA" w:rsidRPr="00B05757" w:rsidRDefault="00BC69DA" w:rsidP="00BC69DA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exact"/>
        <w:ind w:left="0" w:firstLine="360"/>
        <w:jc w:val="both"/>
        <w:rPr>
          <w:rFonts w:ascii="Times New Roman" w:eastAsia="SimSun" w:hAnsi="Times New Roman"/>
          <w:bCs/>
          <w:sz w:val="26"/>
          <w:szCs w:val="26"/>
        </w:rPr>
      </w:pPr>
      <w:r w:rsidRPr="00B05757">
        <w:rPr>
          <w:rFonts w:ascii="Times New Roman" w:eastAsia="SimSun" w:hAnsi="Times New Roman"/>
          <w:bCs/>
          <w:sz w:val="26"/>
          <w:szCs w:val="26"/>
        </w:rPr>
        <w:t>Giá cước trên chưa bao gồm</w:t>
      </w:r>
      <w:r w:rsidR="004F2987">
        <w:rPr>
          <w:rFonts w:ascii="Times New Roman" w:eastAsia="SimSun" w:hAnsi="Times New Roman"/>
          <w:bCs/>
          <w:sz w:val="26"/>
          <w:szCs w:val="26"/>
        </w:rPr>
        <w:t xml:space="preserve"> thếu giá trị gia tăng (</w:t>
      </w:r>
      <w:r w:rsidRPr="00B05757">
        <w:rPr>
          <w:rFonts w:ascii="Times New Roman" w:eastAsia="SimSun" w:hAnsi="Times New Roman"/>
          <w:bCs/>
          <w:sz w:val="26"/>
          <w:szCs w:val="26"/>
        </w:rPr>
        <w:t>VAT</w:t>
      </w:r>
      <w:r w:rsidR="004F2987">
        <w:rPr>
          <w:rFonts w:ascii="Times New Roman" w:eastAsia="SimSun" w:hAnsi="Times New Roman"/>
          <w:bCs/>
          <w:sz w:val="26"/>
          <w:szCs w:val="26"/>
        </w:rPr>
        <w:t>).</w:t>
      </w:r>
    </w:p>
    <w:p w14:paraId="23C401C7" w14:textId="50D9EF01" w:rsidR="00BC69DA" w:rsidRPr="00B05757" w:rsidRDefault="00BC69DA" w:rsidP="00BC69DA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exact"/>
        <w:ind w:left="0" w:firstLine="360"/>
        <w:jc w:val="both"/>
        <w:rPr>
          <w:rFonts w:ascii="Times New Roman" w:eastAsia="SimSun" w:hAnsi="Times New Roman"/>
          <w:bCs/>
          <w:sz w:val="26"/>
          <w:szCs w:val="26"/>
        </w:rPr>
      </w:pPr>
      <w:r w:rsidRPr="00B05757">
        <w:rPr>
          <w:rFonts w:ascii="Times New Roman" w:eastAsia="SimSun" w:hAnsi="Times New Roman"/>
          <w:bCs/>
          <w:sz w:val="26"/>
          <w:szCs w:val="26"/>
        </w:rPr>
        <w:t>Giá cước trên đã bao gồm</w:t>
      </w:r>
      <w:r w:rsidR="004F2987">
        <w:rPr>
          <w:rFonts w:ascii="Times New Roman" w:eastAsia="SimSun" w:hAnsi="Times New Roman"/>
          <w:bCs/>
          <w:sz w:val="26"/>
          <w:szCs w:val="26"/>
        </w:rPr>
        <w:t xml:space="preserve"> phụ phí xăng dầu (</w:t>
      </w:r>
      <w:r w:rsidRPr="00B05757">
        <w:rPr>
          <w:rFonts w:ascii="Times New Roman" w:eastAsia="SimSun" w:hAnsi="Times New Roman"/>
          <w:bCs/>
          <w:sz w:val="26"/>
          <w:szCs w:val="26"/>
        </w:rPr>
        <w:t>PPXD</w:t>
      </w:r>
      <w:r w:rsidR="004F2987">
        <w:rPr>
          <w:rFonts w:ascii="Times New Roman" w:eastAsia="SimSun" w:hAnsi="Times New Roman"/>
          <w:bCs/>
          <w:sz w:val="26"/>
          <w:szCs w:val="26"/>
        </w:rPr>
        <w:t>)</w:t>
      </w:r>
      <w:r w:rsidRPr="00B05757">
        <w:rPr>
          <w:rFonts w:ascii="Times New Roman" w:eastAsia="SimSun" w:hAnsi="Times New Roman"/>
          <w:bCs/>
          <w:sz w:val="26"/>
          <w:szCs w:val="26"/>
        </w:rPr>
        <w:t>.</w:t>
      </w:r>
    </w:p>
    <w:p w14:paraId="3184EF5C" w14:textId="77777777" w:rsidR="00BC69DA" w:rsidRPr="00B05757" w:rsidRDefault="00BC69DA" w:rsidP="00BC69DA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exact"/>
        <w:ind w:left="0" w:firstLine="360"/>
        <w:jc w:val="both"/>
        <w:rPr>
          <w:rFonts w:ascii="Times New Roman" w:eastAsia="SimSun" w:hAnsi="Times New Roman"/>
          <w:bCs/>
          <w:sz w:val="26"/>
          <w:szCs w:val="26"/>
        </w:rPr>
      </w:pPr>
      <w:r w:rsidRPr="00B05757">
        <w:rPr>
          <w:rFonts w:ascii="Times New Roman" w:eastAsia="SimSun" w:hAnsi="Times New Roman"/>
          <w:bCs/>
          <w:sz w:val="26"/>
          <w:szCs w:val="26"/>
        </w:rPr>
        <w:t xml:space="preserve">Phần lẻ được làm tròn 1kg để tính cước. </w:t>
      </w:r>
    </w:p>
    <w:p w14:paraId="77C99F32" w14:textId="53DF5B83" w:rsidR="00D046C8" w:rsidRPr="00B05757" w:rsidRDefault="00D046C8" w:rsidP="00D046C8">
      <w:pPr>
        <w:spacing w:before="120" w:after="120" w:line="300" w:lineRule="exact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 xml:space="preserve">2. Hệ số tính cước (áp dụng theo mức cước quy định tại mục </w:t>
      </w:r>
      <w:r w:rsidR="00190D5B" w:rsidRPr="00B05757">
        <w:rPr>
          <w:rFonts w:ascii="Times New Roman" w:hAnsi="Times New Roman" w:cs="Times New Roman"/>
          <w:b/>
          <w:sz w:val="26"/>
          <w:szCs w:val="26"/>
        </w:rPr>
        <w:t>1</w:t>
      </w:r>
      <w:r w:rsidRPr="00B05757"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8"/>
        <w:gridCol w:w="3694"/>
      </w:tblGrid>
      <w:tr w:rsidR="00B05757" w:rsidRPr="00B05757" w14:paraId="4AA50B46" w14:textId="77777777" w:rsidTr="006F56A8">
        <w:trPr>
          <w:trHeight w:val="482"/>
        </w:trPr>
        <w:tc>
          <w:tcPr>
            <w:tcW w:w="2962" w:type="pct"/>
            <w:vAlign w:val="center"/>
          </w:tcPr>
          <w:p w14:paraId="0CED3681" w14:textId="77777777" w:rsidR="00D046C8" w:rsidRPr="00B05757" w:rsidRDefault="00D046C8" w:rsidP="00AB4582">
            <w:pPr>
              <w:spacing w:after="0"/>
              <w:ind w:firstLine="29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1" w:name="_Hlk203731907"/>
            <w:r w:rsidRPr="00B057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Loại hàng</w:t>
            </w:r>
          </w:p>
        </w:tc>
        <w:tc>
          <w:tcPr>
            <w:tcW w:w="2038" w:type="pct"/>
            <w:vAlign w:val="center"/>
          </w:tcPr>
          <w:p w14:paraId="0350B7BA" w14:textId="77777777" w:rsidR="00D046C8" w:rsidRPr="00B05757" w:rsidRDefault="00D046C8" w:rsidP="00AB4582">
            <w:pPr>
              <w:spacing w:after="0"/>
              <w:ind w:right="-107" w:firstLine="29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Hệ số tính cước</w:t>
            </w:r>
          </w:p>
        </w:tc>
      </w:tr>
      <w:tr w:rsidR="00B05757" w:rsidRPr="00B05757" w14:paraId="167C87DC" w14:textId="77777777" w:rsidTr="006F56A8">
        <w:trPr>
          <w:trHeight w:val="482"/>
        </w:trPr>
        <w:tc>
          <w:tcPr>
            <w:tcW w:w="2962" w:type="pct"/>
            <w:vAlign w:val="center"/>
          </w:tcPr>
          <w:p w14:paraId="2A6D7647" w14:textId="77777777" w:rsidR="00BC69DA" w:rsidRPr="00B05757" w:rsidRDefault="00BC69DA" w:rsidP="00BC69DA">
            <w:pPr>
              <w:spacing w:after="0"/>
              <w:ind w:firstLine="29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hàng dễ vỡ</w:t>
            </w:r>
          </w:p>
        </w:tc>
        <w:tc>
          <w:tcPr>
            <w:tcW w:w="2038" w:type="pct"/>
            <w:vAlign w:val="center"/>
          </w:tcPr>
          <w:p w14:paraId="445F48E6" w14:textId="49E56877" w:rsidR="00BC69DA" w:rsidRPr="00B05757" w:rsidRDefault="00BC69DA" w:rsidP="00BC69DA">
            <w:pPr>
              <w:spacing w:after="0"/>
              <w:ind w:firstLine="2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/>
                <w:sz w:val="26"/>
                <w:szCs w:val="26"/>
              </w:rPr>
              <w:t>1,2</w:t>
            </w:r>
          </w:p>
        </w:tc>
      </w:tr>
      <w:tr w:rsidR="00B05757" w:rsidRPr="00B05757" w14:paraId="4C39F9B5" w14:textId="77777777" w:rsidTr="006F56A8">
        <w:trPr>
          <w:trHeight w:val="482"/>
        </w:trPr>
        <w:tc>
          <w:tcPr>
            <w:tcW w:w="2962" w:type="pct"/>
            <w:vAlign w:val="center"/>
          </w:tcPr>
          <w:p w14:paraId="4274B067" w14:textId="77777777" w:rsidR="00BC69DA" w:rsidRPr="00B05757" w:rsidRDefault="00BC69DA" w:rsidP="00BC69DA">
            <w:pPr>
              <w:spacing w:after="0"/>
              <w:ind w:firstLine="29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hàng cồng kềnh</w:t>
            </w:r>
          </w:p>
        </w:tc>
        <w:tc>
          <w:tcPr>
            <w:tcW w:w="2038" w:type="pct"/>
            <w:vAlign w:val="center"/>
          </w:tcPr>
          <w:p w14:paraId="11A04313" w14:textId="01295BC8" w:rsidR="00BC69DA" w:rsidRPr="00B05757" w:rsidRDefault="00BC69DA" w:rsidP="00BC69DA">
            <w:pPr>
              <w:spacing w:after="0"/>
              <w:ind w:firstLine="2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/>
                <w:sz w:val="26"/>
                <w:szCs w:val="26"/>
              </w:rPr>
              <w:t>Không áp dụng</w:t>
            </w:r>
          </w:p>
        </w:tc>
      </w:tr>
      <w:tr w:rsidR="00B05757" w:rsidRPr="00B05757" w14:paraId="58BAD0EB" w14:textId="77777777" w:rsidTr="006F56A8">
        <w:trPr>
          <w:trHeight w:val="482"/>
        </w:trPr>
        <w:tc>
          <w:tcPr>
            <w:tcW w:w="2962" w:type="pct"/>
            <w:vAlign w:val="center"/>
          </w:tcPr>
          <w:p w14:paraId="672D6B5E" w14:textId="77777777" w:rsidR="00BC69DA" w:rsidRPr="00B05757" w:rsidRDefault="00BC69DA" w:rsidP="00BC69DA">
            <w:pPr>
              <w:spacing w:after="0"/>
              <w:ind w:firstLine="29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hàng nặng</w:t>
            </w:r>
          </w:p>
        </w:tc>
        <w:tc>
          <w:tcPr>
            <w:tcW w:w="2038" w:type="pct"/>
            <w:vAlign w:val="center"/>
          </w:tcPr>
          <w:p w14:paraId="547CF473" w14:textId="23328203" w:rsidR="00BC69DA" w:rsidRPr="00B05757" w:rsidRDefault="00BC69DA" w:rsidP="00BC69DA">
            <w:pPr>
              <w:spacing w:after="0"/>
              <w:ind w:firstLine="2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757">
              <w:rPr>
                <w:rFonts w:ascii="Times New Roman" w:eastAsia="Times New Roman" w:hAnsi="Times New Roman"/>
                <w:sz w:val="26"/>
                <w:szCs w:val="26"/>
              </w:rPr>
              <w:t>Không áp dụng</w:t>
            </w:r>
          </w:p>
        </w:tc>
      </w:tr>
    </w:tbl>
    <w:p w14:paraId="65E693EC" w14:textId="5328F898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2" w:name="_Hlk203731982"/>
      <w:bookmarkEnd w:id="1"/>
      <w:r w:rsidRPr="00B05757">
        <w:rPr>
          <w:rFonts w:ascii="Times New Roman" w:hAnsi="Times New Roman" w:cs="Times New Roman"/>
          <w:b/>
          <w:sz w:val="26"/>
          <w:szCs w:val="26"/>
        </w:rPr>
        <w:t>II. THUẾ, PHỤ PHÍ</w:t>
      </w:r>
    </w:p>
    <w:p w14:paraId="59C5BABF" w14:textId="41A62AC2" w:rsidR="00D046C8" w:rsidRPr="00B05757" w:rsidRDefault="00D046C8" w:rsidP="00530503">
      <w:pPr>
        <w:tabs>
          <w:tab w:val="left" w:pos="567"/>
        </w:tabs>
        <w:spacing w:before="120" w:after="120" w:line="300" w:lineRule="exact"/>
        <w:ind w:right="-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ab/>
        <w:t xml:space="preserve">1. Thuế giá trị gia tăng: </w:t>
      </w:r>
      <w:r w:rsidRPr="00B05757">
        <w:rPr>
          <w:rFonts w:ascii="Times New Roman" w:hAnsi="Times New Roman" w:cs="Times New Roman"/>
          <w:sz w:val="26"/>
          <w:szCs w:val="26"/>
        </w:rPr>
        <w:t xml:space="preserve">Bảng giá cước </w:t>
      </w:r>
      <w:r w:rsidR="004D05D6" w:rsidRPr="00B05757">
        <w:rPr>
          <w:rFonts w:ascii="Times New Roman" w:hAnsi="Times New Roman" w:cs="Times New Roman"/>
          <w:sz w:val="26"/>
          <w:szCs w:val="26"/>
        </w:rPr>
        <w:t>chưa</w:t>
      </w:r>
      <w:r w:rsidRPr="00B05757">
        <w:rPr>
          <w:rFonts w:ascii="Times New Roman" w:hAnsi="Times New Roman" w:cs="Times New Roman"/>
          <w:sz w:val="26"/>
          <w:szCs w:val="26"/>
        </w:rPr>
        <w:t xml:space="preserve"> bao gồm thuế giá trị gia tăng (VAT).</w:t>
      </w:r>
      <w:bookmarkStart w:id="3" w:name="_Hlk149683854"/>
    </w:p>
    <w:p w14:paraId="119A0E73" w14:textId="480FD468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lastRenderedPageBreak/>
        <w:tab/>
        <w:t>2. Phụ phí xăng dầu, vùng xa</w:t>
      </w:r>
    </w:p>
    <w:p w14:paraId="5E291C2E" w14:textId="3512851C" w:rsidR="00D046C8" w:rsidRPr="00B05757" w:rsidRDefault="00D046C8" w:rsidP="00D046C8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- </w:t>
      </w:r>
      <w:r w:rsidR="008B1159" w:rsidRPr="00B05757">
        <w:rPr>
          <w:rFonts w:ascii="Times New Roman" w:hAnsi="Times New Roman" w:cs="Times New Roman"/>
          <w:sz w:val="26"/>
          <w:szCs w:val="26"/>
        </w:rPr>
        <w:t>P</w:t>
      </w:r>
      <w:r w:rsidRPr="00B05757">
        <w:rPr>
          <w:rFonts w:ascii="Times New Roman" w:hAnsi="Times New Roman" w:cs="Times New Roman"/>
          <w:sz w:val="26"/>
          <w:szCs w:val="26"/>
        </w:rPr>
        <w:t>hụ phí xăng dầu:</w:t>
      </w:r>
      <w:r w:rsidR="008B1159" w:rsidRPr="00B05757">
        <w:rPr>
          <w:rFonts w:ascii="Times New Roman" w:hAnsi="Times New Roman" w:cs="Times New Roman"/>
          <w:sz w:val="26"/>
          <w:szCs w:val="26"/>
        </w:rPr>
        <w:t xml:space="preserve"> </w:t>
      </w:r>
      <w:r w:rsidR="00963514" w:rsidRPr="00B05757">
        <w:rPr>
          <w:rFonts w:ascii="Times New Roman" w:hAnsi="Times New Roman" w:cs="Times New Roman"/>
          <w:b/>
          <w:sz w:val="26"/>
          <w:szCs w:val="26"/>
        </w:rPr>
        <w:t>đã bao gồm</w:t>
      </w:r>
      <w:r w:rsidRPr="00B05757">
        <w:rPr>
          <w:rFonts w:ascii="Times New Roman" w:hAnsi="Times New Roman" w:cs="Times New Roman"/>
          <w:sz w:val="26"/>
          <w:szCs w:val="26"/>
        </w:rPr>
        <w:t xml:space="preserve"> </w:t>
      </w:r>
      <w:r w:rsidR="00963514" w:rsidRPr="00B05757">
        <w:rPr>
          <w:rFonts w:ascii="Times New Roman" w:hAnsi="Times New Roman" w:cs="Times New Roman"/>
          <w:sz w:val="26"/>
          <w:szCs w:val="26"/>
        </w:rPr>
        <w:t xml:space="preserve">trong </w:t>
      </w:r>
      <w:r w:rsidRPr="00B05757">
        <w:rPr>
          <w:rFonts w:ascii="Times New Roman" w:hAnsi="Times New Roman" w:cs="Times New Roman"/>
          <w:sz w:val="26"/>
          <w:szCs w:val="26"/>
        </w:rPr>
        <w:t>cước chính nêu tại mục I</w:t>
      </w:r>
      <w:r w:rsidR="00963514" w:rsidRPr="00B05757">
        <w:rPr>
          <w:rFonts w:ascii="Times New Roman" w:hAnsi="Times New Roman" w:cs="Times New Roman"/>
          <w:sz w:val="26"/>
          <w:szCs w:val="26"/>
        </w:rPr>
        <w:t>.</w:t>
      </w:r>
    </w:p>
    <w:p w14:paraId="172C0491" w14:textId="4D6AC351" w:rsidR="005B4DDA" w:rsidRPr="00B05757" w:rsidRDefault="00D046C8" w:rsidP="005B4DDA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- Phụ phí vùng xa: </w:t>
      </w:r>
      <w:r w:rsidR="002C15A0" w:rsidRPr="00B05757">
        <w:rPr>
          <w:rFonts w:ascii="Times New Roman" w:hAnsi="Times New Roman" w:cs="Times New Roman"/>
          <w:sz w:val="26"/>
          <w:szCs w:val="26"/>
        </w:rPr>
        <w:t xml:space="preserve">phụ thu </w:t>
      </w:r>
      <w:r w:rsidRPr="00B05757">
        <w:rPr>
          <w:rFonts w:ascii="Times New Roman" w:hAnsi="Times New Roman" w:cs="Times New Roman"/>
          <w:b/>
          <w:sz w:val="26"/>
          <w:szCs w:val="26"/>
        </w:rPr>
        <w:t>20%</w:t>
      </w:r>
      <w:r w:rsidRPr="00B05757">
        <w:rPr>
          <w:rFonts w:ascii="Times New Roman" w:hAnsi="Times New Roman" w:cs="Times New Roman"/>
          <w:sz w:val="26"/>
          <w:szCs w:val="26"/>
        </w:rPr>
        <w:t xml:space="preserve"> cước chính nêu tại mục I, áp dụng đối với </w:t>
      </w:r>
      <w:r w:rsidR="005C68D0" w:rsidRPr="00B05757">
        <w:rPr>
          <w:rFonts w:ascii="Times New Roman" w:hAnsi="Times New Roman" w:cs="Times New Roman"/>
          <w:sz w:val="26"/>
          <w:szCs w:val="26"/>
        </w:rPr>
        <w:t>địa bàn</w:t>
      </w:r>
      <w:r w:rsidR="004D07F6" w:rsidRPr="00B05757">
        <w:rPr>
          <w:rFonts w:ascii="Times New Roman" w:hAnsi="Times New Roman" w:cs="Times New Roman"/>
          <w:sz w:val="26"/>
          <w:szCs w:val="26"/>
        </w:rPr>
        <w:t xml:space="preserve"> xã,</w:t>
      </w:r>
      <w:r w:rsidR="005C68D0" w:rsidRPr="00B05757">
        <w:rPr>
          <w:rFonts w:ascii="Times New Roman" w:hAnsi="Times New Roman" w:cs="Times New Roman"/>
          <w:sz w:val="26"/>
          <w:szCs w:val="26"/>
        </w:rPr>
        <w:t xml:space="preserve"> </w:t>
      </w:r>
      <w:r w:rsidRPr="00B05757">
        <w:rPr>
          <w:rFonts w:ascii="Times New Roman" w:hAnsi="Times New Roman" w:cs="Times New Roman"/>
          <w:sz w:val="26"/>
          <w:szCs w:val="26"/>
        </w:rPr>
        <w:t xml:space="preserve">vùng xa theo quy định hiện hành của Tổng công ty Bưu điện Việt Nam. </w:t>
      </w:r>
      <w:bookmarkEnd w:id="3"/>
    </w:p>
    <w:p w14:paraId="0D943C75" w14:textId="23A3DB3A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_Hlk203732042"/>
      <w:bookmarkEnd w:id="2"/>
      <w:r w:rsidRPr="00B05757">
        <w:rPr>
          <w:rFonts w:ascii="Times New Roman" w:hAnsi="Times New Roman" w:cs="Times New Roman"/>
          <w:b/>
          <w:sz w:val="26"/>
          <w:szCs w:val="26"/>
        </w:rPr>
        <w:t>III. CƯỚC CÁC DỊCH VỤ GIÁ TRỊ GIA TĂNG</w:t>
      </w:r>
    </w:p>
    <w:bookmarkEnd w:id="4"/>
    <w:p w14:paraId="5D81880F" w14:textId="77777777" w:rsidR="00CD4EA9" w:rsidRPr="00B05757" w:rsidRDefault="00CD4EA9" w:rsidP="00CD4EA9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05757">
        <w:rPr>
          <w:rFonts w:ascii="Times New Roman" w:hAnsi="Times New Roman" w:cs="Times New Roman"/>
          <w:bCs/>
          <w:sz w:val="26"/>
          <w:szCs w:val="26"/>
        </w:rPr>
        <w:t>Áp dụng theo bảng cước các dịch vụ Giá trị gia tăng hiện hành của Tổng công ty Bưu điện Việt Nam.</w:t>
      </w:r>
    </w:p>
    <w:p w14:paraId="4DD02EAD" w14:textId="1BCAB91C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IV. VÙNG TÍNH CƯỚC</w:t>
      </w:r>
      <w:r w:rsidR="00F32A2A" w:rsidRPr="00B0575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69B878D" w14:textId="22546C48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ab/>
        <w:t>1. Danh sách các tỉnh thuộc các vùng cước</w:t>
      </w:r>
    </w:p>
    <w:p w14:paraId="57AC0ADB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- Vùng 1</w:t>
      </w:r>
      <w:r w:rsidRPr="00B05757">
        <w:rPr>
          <w:rFonts w:ascii="Times New Roman" w:hAnsi="Times New Roman" w:cs="Times New Roman"/>
          <w:sz w:val="26"/>
          <w:szCs w:val="26"/>
        </w:rPr>
        <w:t xml:space="preserve"> bao gồm 18 tỉnh Miền Bắc: </w:t>
      </w:r>
    </w:p>
    <w:p w14:paraId="7E295D34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>Điện Biên, Lai Châu, Sơn La, Lào Cai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Yên Bái),</w:t>
      </w:r>
      <w:r w:rsidRPr="00B05757">
        <w:rPr>
          <w:rFonts w:ascii="Times New Roman" w:hAnsi="Times New Roman" w:cs="Times New Roman"/>
          <w:sz w:val="26"/>
          <w:szCs w:val="26"/>
        </w:rPr>
        <w:t xml:space="preserve"> Phú Thọ 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(bao gồm Vĩnh Phúc, Hòa Bình</w:t>
      </w:r>
      <w:r w:rsidRPr="00B05757">
        <w:rPr>
          <w:rFonts w:ascii="Times New Roman" w:hAnsi="Times New Roman" w:cs="Times New Roman"/>
          <w:sz w:val="26"/>
          <w:szCs w:val="26"/>
        </w:rPr>
        <w:t>), Tuyên Quang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Hà Giang</w:t>
      </w:r>
      <w:r w:rsidRPr="00B05757">
        <w:rPr>
          <w:rFonts w:ascii="Times New Roman" w:hAnsi="Times New Roman" w:cs="Times New Roman"/>
          <w:sz w:val="26"/>
          <w:szCs w:val="26"/>
        </w:rPr>
        <w:t>), Cao Bằng, Thái Nguyên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Bắc Kan),</w:t>
      </w:r>
      <w:r w:rsidRPr="00B05757">
        <w:rPr>
          <w:rFonts w:ascii="Times New Roman" w:hAnsi="Times New Roman" w:cs="Times New Roman"/>
          <w:sz w:val="26"/>
          <w:szCs w:val="26"/>
        </w:rPr>
        <w:t xml:space="preserve"> Lạng Sơn, Bắc Ninh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Bắc Giang</w:t>
      </w:r>
      <w:r w:rsidRPr="00B05757">
        <w:rPr>
          <w:rFonts w:ascii="Times New Roman" w:hAnsi="Times New Roman" w:cs="Times New Roman"/>
          <w:sz w:val="26"/>
          <w:szCs w:val="26"/>
        </w:rPr>
        <w:t>), Quảng Ninh, Hải Phòng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hải Dương),</w:t>
      </w:r>
      <w:r w:rsidRPr="00B05757">
        <w:rPr>
          <w:rFonts w:ascii="Times New Roman" w:hAnsi="Times New Roman" w:cs="Times New Roman"/>
          <w:sz w:val="26"/>
          <w:szCs w:val="26"/>
        </w:rPr>
        <w:t xml:space="preserve"> Hưng Yên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Thái Bình),</w:t>
      </w:r>
      <w:r w:rsidRPr="00B05757">
        <w:rPr>
          <w:rFonts w:ascii="Times New Roman" w:hAnsi="Times New Roman" w:cs="Times New Roman"/>
          <w:sz w:val="26"/>
          <w:szCs w:val="26"/>
        </w:rPr>
        <w:t xml:space="preserve"> Ninh Bình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Nam Định, Hà Nam</w:t>
      </w:r>
      <w:r w:rsidRPr="00B05757">
        <w:rPr>
          <w:rFonts w:ascii="Times New Roman" w:hAnsi="Times New Roman" w:cs="Times New Roman"/>
          <w:sz w:val="26"/>
          <w:szCs w:val="26"/>
        </w:rPr>
        <w:t>), Hà Nội, Thanh Hoá, Nghệ An, Hà Tĩnh).</w:t>
      </w:r>
    </w:p>
    <w:p w14:paraId="13E99871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- Vùng 2</w:t>
      </w:r>
      <w:r w:rsidRPr="00B05757">
        <w:rPr>
          <w:rFonts w:ascii="Times New Roman" w:hAnsi="Times New Roman" w:cs="Times New Roman"/>
          <w:sz w:val="26"/>
          <w:szCs w:val="26"/>
        </w:rPr>
        <w:t xml:space="preserve"> bao gồm 10 tỉnh Miền Nam:</w:t>
      </w:r>
    </w:p>
    <w:p w14:paraId="0389E6F8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>Hồ Chí Minh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Bình Dương, Bà Rịa – Vũng Tàu</w:t>
      </w:r>
      <w:r w:rsidRPr="00B05757">
        <w:rPr>
          <w:rFonts w:ascii="Times New Roman" w:hAnsi="Times New Roman" w:cs="Times New Roman"/>
          <w:sz w:val="26"/>
          <w:szCs w:val="26"/>
        </w:rPr>
        <w:t>), Cần Thơ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Sóc Trăng, Hậu Giang</w:t>
      </w:r>
      <w:r w:rsidRPr="00B05757">
        <w:rPr>
          <w:rFonts w:ascii="Times New Roman" w:hAnsi="Times New Roman" w:cs="Times New Roman"/>
          <w:sz w:val="26"/>
          <w:szCs w:val="26"/>
        </w:rPr>
        <w:t>), Đồng Nai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Bình Phước</w:t>
      </w:r>
      <w:r w:rsidRPr="00B05757">
        <w:rPr>
          <w:rFonts w:ascii="Times New Roman" w:hAnsi="Times New Roman" w:cs="Times New Roman"/>
          <w:sz w:val="26"/>
          <w:szCs w:val="26"/>
        </w:rPr>
        <w:t>), Tây Ninh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Long An</w:t>
      </w:r>
      <w:r w:rsidRPr="00B05757">
        <w:rPr>
          <w:rFonts w:ascii="Times New Roman" w:hAnsi="Times New Roman" w:cs="Times New Roman"/>
          <w:sz w:val="26"/>
          <w:szCs w:val="26"/>
        </w:rPr>
        <w:t>), Đồng Tháp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Tiền Giang</w:t>
      </w:r>
      <w:r w:rsidRPr="00B05757">
        <w:rPr>
          <w:rFonts w:ascii="Times New Roman" w:hAnsi="Times New Roman" w:cs="Times New Roman"/>
          <w:sz w:val="26"/>
          <w:szCs w:val="26"/>
        </w:rPr>
        <w:t>), Cà Mau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Bạc Liêu</w:t>
      </w:r>
      <w:r w:rsidRPr="00B05757">
        <w:rPr>
          <w:rFonts w:ascii="Times New Roman" w:hAnsi="Times New Roman" w:cs="Times New Roman"/>
          <w:sz w:val="26"/>
          <w:szCs w:val="26"/>
        </w:rPr>
        <w:t>), An Giang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Kiên Giang</w:t>
      </w:r>
      <w:r w:rsidRPr="00B05757">
        <w:rPr>
          <w:rFonts w:ascii="Times New Roman" w:hAnsi="Times New Roman" w:cs="Times New Roman"/>
          <w:sz w:val="26"/>
          <w:szCs w:val="26"/>
        </w:rPr>
        <w:t>), Vĩnh Long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Bến Tre, Trà Vinh</w:t>
      </w:r>
      <w:r w:rsidRPr="00B05757">
        <w:rPr>
          <w:rFonts w:ascii="Times New Roman" w:hAnsi="Times New Roman" w:cs="Times New Roman"/>
          <w:sz w:val="26"/>
          <w:szCs w:val="26"/>
        </w:rPr>
        <w:t>), Lâm Đồng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Bình Thuận, ĐakNông</w:t>
      </w:r>
      <w:r w:rsidRPr="00B05757">
        <w:rPr>
          <w:rFonts w:ascii="Times New Roman" w:hAnsi="Times New Roman" w:cs="Times New Roman"/>
          <w:sz w:val="26"/>
          <w:szCs w:val="26"/>
        </w:rPr>
        <w:t>), Khánh Hòa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Ninh Thuận</w:t>
      </w:r>
      <w:r w:rsidRPr="00B05757">
        <w:rPr>
          <w:rFonts w:ascii="Times New Roman" w:hAnsi="Times New Roman" w:cs="Times New Roman"/>
          <w:sz w:val="26"/>
          <w:szCs w:val="26"/>
        </w:rPr>
        <w:t>)</w:t>
      </w:r>
    </w:p>
    <w:p w14:paraId="5C6E693F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>- Vùng 3</w:t>
      </w:r>
      <w:r w:rsidRPr="00B05757">
        <w:rPr>
          <w:rFonts w:ascii="Times New Roman" w:hAnsi="Times New Roman" w:cs="Times New Roman"/>
          <w:sz w:val="26"/>
          <w:szCs w:val="26"/>
        </w:rPr>
        <w:t xml:space="preserve"> bao gồm 6 tỉnh Miền Trung:</w:t>
      </w:r>
    </w:p>
    <w:p w14:paraId="12C875B9" w14:textId="77777777" w:rsidR="002F6C8D" w:rsidRPr="00B05757" w:rsidRDefault="002F6C8D" w:rsidP="002F6C8D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Quảng Trị 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(bao gồm Quảng Bình)</w:t>
      </w:r>
      <w:r w:rsidRPr="00B05757">
        <w:rPr>
          <w:rFonts w:ascii="Times New Roman" w:hAnsi="Times New Roman" w:cs="Times New Roman"/>
          <w:sz w:val="26"/>
          <w:szCs w:val="26"/>
        </w:rPr>
        <w:t>, Quảng Ngãi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KonTum</w:t>
      </w:r>
      <w:r w:rsidRPr="00B05757">
        <w:rPr>
          <w:rFonts w:ascii="Times New Roman" w:hAnsi="Times New Roman" w:cs="Times New Roman"/>
          <w:sz w:val="26"/>
          <w:szCs w:val="26"/>
        </w:rPr>
        <w:t>), Huế, Đà Nẵng (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bao gồm Quảng Nam)</w:t>
      </w:r>
      <w:r w:rsidRPr="00B05757">
        <w:rPr>
          <w:rFonts w:ascii="Times New Roman" w:hAnsi="Times New Roman" w:cs="Times New Roman"/>
          <w:sz w:val="26"/>
          <w:szCs w:val="26"/>
        </w:rPr>
        <w:t xml:space="preserve"> Gia Lai 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>(bao gồm Bình Định</w:t>
      </w:r>
      <w:r w:rsidRPr="00B05757">
        <w:rPr>
          <w:rFonts w:ascii="Times New Roman" w:hAnsi="Times New Roman" w:cs="Times New Roman"/>
          <w:sz w:val="26"/>
          <w:szCs w:val="26"/>
        </w:rPr>
        <w:t xml:space="preserve">), ĐakLak </w:t>
      </w:r>
      <w:r w:rsidRPr="00B05757">
        <w:rPr>
          <w:rFonts w:ascii="Times New Roman" w:hAnsi="Times New Roman" w:cs="Times New Roman"/>
          <w:i/>
          <w:iCs/>
          <w:sz w:val="26"/>
          <w:szCs w:val="26"/>
        </w:rPr>
        <w:t xml:space="preserve">(bao gồm Phú Yên). </w:t>
      </w:r>
    </w:p>
    <w:p w14:paraId="2F58F9E6" w14:textId="77777777" w:rsidR="00D046C8" w:rsidRPr="00B05757" w:rsidRDefault="00D046C8" w:rsidP="00D046C8">
      <w:pPr>
        <w:tabs>
          <w:tab w:val="left" w:pos="567"/>
        </w:tabs>
        <w:spacing w:before="120" w:after="120" w:line="30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757">
        <w:rPr>
          <w:rFonts w:ascii="Times New Roman" w:hAnsi="Times New Roman" w:cs="Times New Roman"/>
          <w:b/>
          <w:sz w:val="26"/>
          <w:szCs w:val="26"/>
        </w:rPr>
        <w:tab/>
        <w:t>2. Quy định về vùng tính cước:</w:t>
      </w:r>
    </w:p>
    <w:p w14:paraId="094FEDFC" w14:textId="77777777" w:rsidR="002B44FA" w:rsidRPr="00B05757" w:rsidRDefault="002B44FA" w:rsidP="002B44FA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>- Nội tỉnh: áp dụng với các bưu gửi có địa chỉ gửi và nhận thuộc cùng một tỉnh:</w:t>
      </w:r>
    </w:p>
    <w:p w14:paraId="5A699D0F" w14:textId="77777777" w:rsidR="002B44FA" w:rsidRPr="00B05757" w:rsidRDefault="002B44FA" w:rsidP="002B44FA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 </w:t>
      </w:r>
      <w:bookmarkStart w:id="5" w:name="_Hlk202875520"/>
      <w:r w:rsidRPr="00B05757">
        <w:rPr>
          <w:rFonts w:ascii="Times New Roman" w:hAnsi="Times New Roman" w:cs="Times New Roman"/>
          <w:sz w:val="26"/>
          <w:szCs w:val="26"/>
        </w:rPr>
        <w:t xml:space="preserve">+ </w:t>
      </w:r>
      <w:r w:rsidRPr="00B05757">
        <w:rPr>
          <w:rFonts w:ascii="Times New Roman" w:hAnsi="Times New Roman" w:cs="Times New Roman"/>
          <w:b/>
          <w:bCs/>
          <w:sz w:val="26"/>
          <w:szCs w:val="26"/>
        </w:rPr>
        <w:t>Nội tỉnh</w:t>
      </w:r>
      <w:r w:rsidRPr="00B05757">
        <w:rPr>
          <w:rFonts w:ascii="Times New Roman" w:hAnsi="Times New Roman" w:cs="Times New Roman"/>
          <w:sz w:val="26"/>
          <w:szCs w:val="26"/>
        </w:rPr>
        <w:t xml:space="preserve"> </w:t>
      </w:r>
      <w:r w:rsidRPr="00B0575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B05757">
        <w:rPr>
          <w:rFonts w:ascii="Times New Roman" w:hAnsi="Times New Roman" w:cs="Times New Roman"/>
          <w:sz w:val="26"/>
          <w:szCs w:val="26"/>
        </w:rPr>
        <w:t xml:space="preserve">: Áp dụng cho bưu gửi gửi – nhận trong cùng xã/phường hoặc giữa các xã/phường thuộc trong phạm vi tỉnh, thành cũ và trong cùng xã/phường hoặc giữa các xã/phường tại các tỉnh không sáp nhập. </w:t>
      </w:r>
    </w:p>
    <w:p w14:paraId="20BB315A" w14:textId="77777777" w:rsidR="002B44FA" w:rsidRPr="00B05757" w:rsidRDefault="002B44FA" w:rsidP="002B44FA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 + </w:t>
      </w:r>
      <w:r w:rsidRPr="00B05757">
        <w:rPr>
          <w:rFonts w:ascii="Times New Roman" w:hAnsi="Times New Roman" w:cs="Times New Roman"/>
          <w:b/>
          <w:bCs/>
          <w:sz w:val="26"/>
          <w:szCs w:val="26"/>
        </w:rPr>
        <w:t>Nội tỉnh 2</w:t>
      </w:r>
      <w:r w:rsidRPr="00B05757">
        <w:rPr>
          <w:rFonts w:ascii="Times New Roman" w:hAnsi="Times New Roman" w:cs="Times New Roman"/>
          <w:sz w:val="26"/>
          <w:szCs w:val="26"/>
        </w:rPr>
        <w:t xml:space="preserve">: Áp dụng cho bưu gửi gửi – nhận giữa các xã/phường của tỉnh, thành cũ nay thuộc cùng một tỉnh mới sau sáp nhập đi với nhau. </w:t>
      </w:r>
    </w:p>
    <w:bookmarkEnd w:id="5"/>
    <w:p w14:paraId="2187CA75" w14:textId="77777777" w:rsidR="00D046C8" w:rsidRPr="00B05757" w:rsidRDefault="00D046C8" w:rsidP="00D046C8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 xml:space="preserve">- </w:t>
      </w:r>
      <w:r w:rsidR="002F6C8D" w:rsidRPr="00B05757">
        <w:rPr>
          <w:rFonts w:ascii="Times New Roman" w:hAnsi="Times New Roman" w:cs="Times New Roman"/>
          <w:sz w:val="26"/>
          <w:szCs w:val="26"/>
        </w:rPr>
        <w:t xml:space="preserve">Nội vùng: áp dụng với các bưu gửi được gửi trong mỗi vùng theo địa </w:t>
      </w:r>
      <w:r w:rsidR="00CE43C3" w:rsidRPr="00B05757">
        <w:rPr>
          <w:rFonts w:ascii="Times New Roman" w:hAnsi="Times New Roman" w:cs="Times New Roman"/>
          <w:sz w:val="26"/>
          <w:szCs w:val="26"/>
        </w:rPr>
        <w:t>giới</w:t>
      </w:r>
      <w:r w:rsidR="002F6C8D" w:rsidRPr="00B05757">
        <w:rPr>
          <w:rFonts w:ascii="Times New Roman" w:hAnsi="Times New Roman" w:cs="Times New Roman"/>
          <w:sz w:val="26"/>
          <w:szCs w:val="26"/>
        </w:rPr>
        <w:t xml:space="preserve"> hành chính cũ</w:t>
      </w:r>
    </w:p>
    <w:p w14:paraId="716EA911" w14:textId="77777777" w:rsidR="00D046C8" w:rsidRPr="00B05757" w:rsidRDefault="00D046C8" w:rsidP="00D046C8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>- Cước cận vùng áp dụng cho các bưu gửi được gửi từ các tỉnh thuộc vùng 1, vùng 2 đến các tỉnh thuộc vùng 3 và ngược lại.</w:t>
      </w:r>
    </w:p>
    <w:p w14:paraId="46B0E54B" w14:textId="311BB628" w:rsidR="006A1E15" w:rsidRPr="00B05757" w:rsidRDefault="00D046C8" w:rsidP="00513E70">
      <w:pPr>
        <w:pStyle w:val="ListParagraph"/>
        <w:tabs>
          <w:tab w:val="left" w:pos="567"/>
        </w:tabs>
        <w:spacing w:before="120" w:after="120" w:line="300" w:lineRule="exact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05757">
        <w:rPr>
          <w:rFonts w:ascii="Times New Roman" w:hAnsi="Times New Roman" w:cs="Times New Roman"/>
          <w:sz w:val="26"/>
          <w:szCs w:val="26"/>
        </w:rPr>
        <w:t>- Cước cách vùng áp dụng cho bưu gửi được gửi từ các tỉnh thuộc vùng 1 đến các tỉnh thuộc vùng 2 và ngược lại.</w:t>
      </w:r>
    </w:p>
    <w:p w14:paraId="16ED83E5" w14:textId="77777777" w:rsidR="002D1CF0" w:rsidRPr="00B05757" w:rsidRDefault="002D1CF0"/>
    <w:sectPr w:rsidR="002D1CF0" w:rsidRPr="00B05757" w:rsidSect="00880CA2">
      <w:footerReference w:type="default" r:id="rId9"/>
      <w:pgSz w:w="11907" w:h="16840" w:code="9"/>
      <w:pgMar w:top="1134" w:right="1134" w:bottom="709" w:left="1701" w:header="720" w:footer="720" w:gutter="0"/>
      <w:pgBorders w:offsetFrom="page">
        <w:top w:val="thinThickMediumGap" w:sz="24" w:space="24" w:color="ED7D31" w:themeColor="accent2"/>
        <w:left w:val="thinThickMediumGap" w:sz="24" w:space="24" w:color="ED7D31" w:themeColor="accent2"/>
        <w:bottom w:val="thickThinMediumGap" w:sz="24" w:space="24" w:color="ED7D31" w:themeColor="accent2"/>
        <w:right w:val="thickThinMediumGap" w:sz="2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F5888" w14:textId="77777777" w:rsidR="006375AC" w:rsidRDefault="006375AC">
      <w:pPr>
        <w:spacing w:after="0" w:line="240" w:lineRule="auto"/>
      </w:pPr>
      <w:r>
        <w:separator/>
      </w:r>
    </w:p>
  </w:endnote>
  <w:endnote w:type="continuationSeparator" w:id="0">
    <w:p w14:paraId="66340CEB" w14:textId="77777777" w:rsidR="006375AC" w:rsidRDefault="0063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211D4" w14:textId="77777777" w:rsidR="009E0883" w:rsidRDefault="009E088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14:paraId="4F02B7EC" w14:textId="77777777" w:rsidR="009E0883" w:rsidRDefault="009E0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8CE7C" w14:textId="77777777" w:rsidR="006375AC" w:rsidRDefault="006375AC">
      <w:pPr>
        <w:spacing w:after="0" w:line="240" w:lineRule="auto"/>
      </w:pPr>
      <w:r>
        <w:separator/>
      </w:r>
    </w:p>
  </w:footnote>
  <w:footnote w:type="continuationSeparator" w:id="0">
    <w:p w14:paraId="0F536AFD" w14:textId="77777777" w:rsidR="006375AC" w:rsidRDefault="00637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474"/>
    <w:multiLevelType w:val="hybridMultilevel"/>
    <w:tmpl w:val="385E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9A3"/>
    <w:multiLevelType w:val="hybridMultilevel"/>
    <w:tmpl w:val="E5B4DD3A"/>
    <w:lvl w:ilvl="0" w:tplc="F3B0615E">
      <w:start w:val="201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AEB5CAC"/>
    <w:multiLevelType w:val="multilevel"/>
    <w:tmpl w:val="1944B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C8"/>
    <w:rsid w:val="000371F2"/>
    <w:rsid w:val="000655B2"/>
    <w:rsid w:val="00073220"/>
    <w:rsid w:val="00073F9A"/>
    <w:rsid w:val="000A5B6D"/>
    <w:rsid w:val="000D3F18"/>
    <w:rsid w:val="00105CFE"/>
    <w:rsid w:val="00107570"/>
    <w:rsid w:val="00121A2B"/>
    <w:rsid w:val="001325F8"/>
    <w:rsid w:val="00190D5B"/>
    <w:rsid w:val="001B274B"/>
    <w:rsid w:val="00203538"/>
    <w:rsid w:val="002056BD"/>
    <w:rsid w:val="00206239"/>
    <w:rsid w:val="00225F58"/>
    <w:rsid w:val="00227093"/>
    <w:rsid w:val="0024594C"/>
    <w:rsid w:val="002460E4"/>
    <w:rsid w:val="00260D09"/>
    <w:rsid w:val="002A3276"/>
    <w:rsid w:val="002A6700"/>
    <w:rsid w:val="002B2C6B"/>
    <w:rsid w:val="002B44FA"/>
    <w:rsid w:val="002C15A0"/>
    <w:rsid w:val="002D1CF0"/>
    <w:rsid w:val="002E3BA8"/>
    <w:rsid w:val="002F30EF"/>
    <w:rsid w:val="002F6C8D"/>
    <w:rsid w:val="00303773"/>
    <w:rsid w:val="003109E5"/>
    <w:rsid w:val="00313304"/>
    <w:rsid w:val="00324ECC"/>
    <w:rsid w:val="0033030E"/>
    <w:rsid w:val="00361CF9"/>
    <w:rsid w:val="00382639"/>
    <w:rsid w:val="003B1ED8"/>
    <w:rsid w:val="003D6EF9"/>
    <w:rsid w:val="003D7E00"/>
    <w:rsid w:val="003F0E52"/>
    <w:rsid w:val="00400D9D"/>
    <w:rsid w:val="00412382"/>
    <w:rsid w:val="00413364"/>
    <w:rsid w:val="004328A1"/>
    <w:rsid w:val="00452544"/>
    <w:rsid w:val="004A64C9"/>
    <w:rsid w:val="004A71A0"/>
    <w:rsid w:val="004B3531"/>
    <w:rsid w:val="004D05D6"/>
    <w:rsid w:val="004D07F6"/>
    <w:rsid w:val="004D68CC"/>
    <w:rsid w:val="004F2987"/>
    <w:rsid w:val="004F4A63"/>
    <w:rsid w:val="005063AB"/>
    <w:rsid w:val="00513196"/>
    <w:rsid w:val="00513E70"/>
    <w:rsid w:val="00514681"/>
    <w:rsid w:val="005248F4"/>
    <w:rsid w:val="00530503"/>
    <w:rsid w:val="00530B6B"/>
    <w:rsid w:val="0053143B"/>
    <w:rsid w:val="00540687"/>
    <w:rsid w:val="005713B7"/>
    <w:rsid w:val="00586D2A"/>
    <w:rsid w:val="00594986"/>
    <w:rsid w:val="0059753F"/>
    <w:rsid w:val="005A2DBD"/>
    <w:rsid w:val="005B4DDA"/>
    <w:rsid w:val="005C1287"/>
    <w:rsid w:val="005C5909"/>
    <w:rsid w:val="005C68D0"/>
    <w:rsid w:val="005E3F50"/>
    <w:rsid w:val="005E4068"/>
    <w:rsid w:val="005F26D7"/>
    <w:rsid w:val="00610836"/>
    <w:rsid w:val="006164D3"/>
    <w:rsid w:val="00623B4A"/>
    <w:rsid w:val="006317F4"/>
    <w:rsid w:val="0063240F"/>
    <w:rsid w:val="00637373"/>
    <w:rsid w:val="006375AC"/>
    <w:rsid w:val="0066557C"/>
    <w:rsid w:val="006A1E15"/>
    <w:rsid w:val="006F56A8"/>
    <w:rsid w:val="006F7E6D"/>
    <w:rsid w:val="007008FD"/>
    <w:rsid w:val="00736EAC"/>
    <w:rsid w:val="0075600B"/>
    <w:rsid w:val="007643F5"/>
    <w:rsid w:val="00770F75"/>
    <w:rsid w:val="007C5307"/>
    <w:rsid w:val="007D41A1"/>
    <w:rsid w:val="007E543E"/>
    <w:rsid w:val="007F095E"/>
    <w:rsid w:val="00807BF8"/>
    <w:rsid w:val="008224B4"/>
    <w:rsid w:val="008377C9"/>
    <w:rsid w:val="00841A56"/>
    <w:rsid w:val="0087269E"/>
    <w:rsid w:val="00880CA2"/>
    <w:rsid w:val="00881CD6"/>
    <w:rsid w:val="008849AB"/>
    <w:rsid w:val="00897759"/>
    <w:rsid w:val="008B1159"/>
    <w:rsid w:val="008C1828"/>
    <w:rsid w:val="008E18E8"/>
    <w:rsid w:val="008F1ECE"/>
    <w:rsid w:val="009026AF"/>
    <w:rsid w:val="0093178E"/>
    <w:rsid w:val="00934B6D"/>
    <w:rsid w:val="00944DB2"/>
    <w:rsid w:val="0094775F"/>
    <w:rsid w:val="009617F2"/>
    <w:rsid w:val="00963514"/>
    <w:rsid w:val="009B513E"/>
    <w:rsid w:val="009B69EE"/>
    <w:rsid w:val="009C3E96"/>
    <w:rsid w:val="009D2FB3"/>
    <w:rsid w:val="009D3490"/>
    <w:rsid w:val="009E0883"/>
    <w:rsid w:val="009E6926"/>
    <w:rsid w:val="009E70F8"/>
    <w:rsid w:val="009F5B04"/>
    <w:rsid w:val="00A47250"/>
    <w:rsid w:val="00A602AA"/>
    <w:rsid w:val="00A71D0B"/>
    <w:rsid w:val="00A8605A"/>
    <w:rsid w:val="00AB4582"/>
    <w:rsid w:val="00AC10DA"/>
    <w:rsid w:val="00AD7D5B"/>
    <w:rsid w:val="00AF52A0"/>
    <w:rsid w:val="00B05757"/>
    <w:rsid w:val="00B15925"/>
    <w:rsid w:val="00B4241B"/>
    <w:rsid w:val="00B75C26"/>
    <w:rsid w:val="00B7756B"/>
    <w:rsid w:val="00BC6309"/>
    <w:rsid w:val="00BC69DA"/>
    <w:rsid w:val="00BF100D"/>
    <w:rsid w:val="00BF5A0A"/>
    <w:rsid w:val="00C55237"/>
    <w:rsid w:val="00C5598B"/>
    <w:rsid w:val="00C90DDC"/>
    <w:rsid w:val="00C96EEF"/>
    <w:rsid w:val="00CA19CB"/>
    <w:rsid w:val="00CA68FD"/>
    <w:rsid w:val="00CA6F0A"/>
    <w:rsid w:val="00CB0E4E"/>
    <w:rsid w:val="00CC1797"/>
    <w:rsid w:val="00CD4EA9"/>
    <w:rsid w:val="00CD5D07"/>
    <w:rsid w:val="00CE43C3"/>
    <w:rsid w:val="00D046C8"/>
    <w:rsid w:val="00D26441"/>
    <w:rsid w:val="00D70886"/>
    <w:rsid w:val="00D72823"/>
    <w:rsid w:val="00D94F32"/>
    <w:rsid w:val="00DA2378"/>
    <w:rsid w:val="00DB2687"/>
    <w:rsid w:val="00DC6D06"/>
    <w:rsid w:val="00DD30CB"/>
    <w:rsid w:val="00DD63CB"/>
    <w:rsid w:val="00DE3D5F"/>
    <w:rsid w:val="00E27D42"/>
    <w:rsid w:val="00E7205D"/>
    <w:rsid w:val="00E735C8"/>
    <w:rsid w:val="00E94691"/>
    <w:rsid w:val="00ED64E5"/>
    <w:rsid w:val="00ED7DE4"/>
    <w:rsid w:val="00EF1D36"/>
    <w:rsid w:val="00EF5A14"/>
    <w:rsid w:val="00F0424E"/>
    <w:rsid w:val="00F06561"/>
    <w:rsid w:val="00F06566"/>
    <w:rsid w:val="00F11B61"/>
    <w:rsid w:val="00F3170B"/>
    <w:rsid w:val="00F32A2A"/>
    <w:rsid w:val="00F80DF3"/>
    <w:rsid w:val="00F81D90"/>
    <w:rsid w:val="00F845D7"/>
    <w:rsid w:val="00F85F0B"/>
    <w:rsid w:val="00F862E4"/>
    <w:rsid w:val="00F910AE"/>
    <w:rsid w:val="00FB6EBB"/>
    <w:rsid w:val="00FB791A"/>
    <w:rsid w:val="00FC625D"/>
    <w:rsid w:val="00FD2003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1156"/>
  <w15:chartTrackingRefBased/>
  <w15:docId w15:val="{2BDFAFCC-5442-44F4-ABF4-32235297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C8"/>
    <w:pPr>
      <w:spacing w:after="200" w:line="276" w:lineRule="auto"/>
    </w:pPr>
    <w:rPr>
      <w:rFonts w:eastAsiaTheme="minorHAnsi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046C8"/>
    <w:pPr>
      <w:keepNext/>
      <w:spacing w:after="0" w:line="240" w:lineRule="auto"/>
      <w:ind w:left="1008" w:hanging="1008"/>
      <w:jc w:val="center"/>
      <w:outlineLvl w:val="4"/>
    </w:pPr>
    <w:rPr>
      <w:rFonts w:ascii=".VnTime" w:eastAsia="Times New Roman" w:hAnsi=".VnTime" w:cs="Times New Roman"/>
      <w:sz w:val="28"/>
      <w:szCs w:val="20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46C8"/>
    <w:rPr>
      <w:rFonts w:ascii=".VnTime" w:eastAsia="Times New Roman" w:hAnsi=".VnTime" w:cs="Times New Roman"/>
      <w:sz w:val="28"/>
      <w:szCs w:val="20"/>
      <w:lang w:val="en-GB" w:eastAsia="ko-KR"/>
    </w:rPr>
  </w:style>
  <w:style w:type="table" w:styleId="TableGrid">
    <w:name w:val="Table Grid"/>
    <w:basedOn w:val="TableNormal"/>
    <w:rsid w:val="00D046C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0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C8"/>
    <w:rPr>
      <w:rFonts w:eastAsiaTheme="minorHAnsi"/>
      <w:lang w:eastAsia="en-US"/>
    </w:rPr>
  </w:style>
  <w:style w:type="paragraph" w:styleId="ListParagraph">
    <w:name w:val="List Paragraph"/>
    <w:aliases w:val="bullet 1,bullet,List Paragraph 1,My checklist,Colorful List - Accent 11,VNA - List Paragraph,lp1,List Paragraph2"/>
    <w:basedOn w:val="Normal"/>
    <w:link w:val="ListParagraphChar"/>
    <w:uiPriority w:val="34"/>
    <w:qFormat/>
    <w:rsid w:val="00D046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3F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F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F1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F18"/>
    <w:rPr>
      <w:rFonts w:eastAsiaTheme="minorHAnsi"/>
      <w:b/>
      <w:bCs/>
      <w:sz w:val="20"/>
      <w:szCs w:val="20"/>
      <w:lang w:eastAsia="en-US"/>
    </w:rPr>
  </w:style>
  <w:style w:type="character" w:customStyle="1" w:styleId="ListParagraphChar">
    <w:name w:val="List Paragraph Char"/>
    <w:aliases w:val="bullet 1 Char,bullet Char,List Paragraph 1 Char,My checklist Char,Colorful List - Accent 11 Char,VNA - List Paragraph Char,lp1 Char,List Paragraph2 Char"/>
    <w:link w:val="ListParagraph"/>
    <w:uiPriority w:val="34"/>
    <w:qFormat/>
    <w:locked/>
    <w:rsid w:val="00BC69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2ADD-4944-4590-9AB6-603FDC2B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2</cp:revision>
  <cp:lastPrinted>2025-09-03T01:38:00Z</cp:lastPrinted>
  <dcterms:created xsi:type="dcterms:W3CDTF">2025-09-11T02:37:00Z</dcterms:created>
  <dcterms:modified xsi:type="dcterms:W3CDTF">2025-09-11T02:37:00Z</dcterms:modified>
</cp:coreProperties>
</file>