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Trích xuất văn bản - test_layout.pdf</w:t>
      </w:r>
    </w:p>
    <w:p>
      <w:pPr>
        <w:jc w:val="center"/>
      </w:pPr>
      <w:r>
        <w:rPr>
          <w:i/>
        </w:rPr>
        <w:t>Ngày tạo: 28/12/2025 17:25</w:t>
        <w:br/>
      </w:r>
      <w:r>
        <w:rPr>
          <w:i/>
        </w:rPr>
        <w:t>Nguồn: Trích xuất tự động bằng AI</w:t>
        <w:br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sz w:val="24"/>
        </w:rPr>
        <w:t>HỘI NÔNG DÂN VIỆT NAM</w:t>
      </w:r>
    </w:p>
    <w:p>
      <w:r>
        <w:rPr>
          <w:rFonts w:ascii="Arial" w:hAnsi="Arial"/>
          <w:sz w:val="24"/>
        </w:rPr>
        <w:t>BCH HỘI NÔNG DÂN XÃ GIA KIỆM</w:t>
      </w:r>
    </w:p>
    <w:p>
      <w:r>
        <w:rPr>
          <w:rFonts w:ascii="Arial" w:hAnsi="Arial"/>
          <w:sz w:val="24"/>
        </w:rPr>
        <w:t>Số 04-CV/HNDX</w:t>
      </w:r>
    </w:p>
    <w:p>
      <w:r>
        <w:rPr>
          <w:rFonts w:ascii="Arial" w:hAnsi="Arial"/>
          <w:sz w:val="24"/>
        </w:rPr>
        <w:t>Gia Kiệm, ngày 17 tháng 12 năm 2025</w:t>
      </w:r>
    </w:p>
    <w:p>
      <w:r>
        <w:rPr>
          <w:rFonts w:ascii="Arial" w:hAnsi="Arial"/>
          <w:sz w:val="24"/>
        </w:rPr>
        <w:t>Kính gửi: Các chi hội và tổ hội</w:t>
      </w:r>
    </w:p>
    <w:p>
      <w:r>
        <w:rPr>
          <w:rFonts w:ascii="Arial" w:hAnsi="Arial"/>
          <w:sz w:val="24"/>
        </w:rPr>
        <w:t xml:space="preserve">     Thực hiện Hướng dẫn số 1093-CV/HNDT ngày 15/12/2025 của Ban Thường</w:t>
      </w:r>
    </w:p>
    <w:p>
      <w:r>
        <w:rPr>
          <w:rFonts w:ascii="Arial" w:hAnsi="Arial"/>
          <w:sz w:val="24"/>
        </w:rPr>
        <w:t>trực Ủy Ban Mặt trận Tổ quốc Việt Nam tỉnh về hướng dẫn tuyên truyền cuộc bầu</w:t>
      </w:r>
    </w:p>
    <w:p>
      <w:r>
        <w:rPr>
          <w:rFonts w:ascii="Arial" w:hAnsi="Arial"/>
          <w:sz w:val="24"/>
        </w:rPr>
        <w:t>cử đại biểu Quốc hội khoá XVI và đại biểu Hội đồng nhân dân các cấp nhiệm kỳ</w:t>
      </w:r>
    </w:p>
    <w:p>
      <w:r>
        <w:rPr>
          <w:rFonts w:ascii="Arial" w:hAnsi="Arial"/>
          <w:sz w:val="24"/>
        </w:rPr>
        <w:t>2026 - 2031; Ban Thường vụ Hội Nông dân xã đề nghị các chi hội và tổ hội các</w:t>
      </w:r>
    </w:p>
    <w:p>
      <w:r>
        <w:rPr>
          <w:rFonts w:ascii="Arial" w:hAnsi="Arial"/>
          <w:sz w:val="24"/>
        </w:rPr>
        <w:t>ấp, triển khai thực hiện một số nhiệm vụ sau:</w:t>
      </w:r>
    </w:p>
    <w:p>
      <w:r>
        <w:rPr>
          <w:rFonts w:ascii="Arial" w:hAnsi="Arial"/>
          <w:sz w:val="24"/>
        </w:rPr>
        <w:t>1. Tuyên truyền sâu rộng:</w:t>
      </w:r>
    </w:p>
    <w:p>
      <w:r>
        <w:rPr>
          <w:rFonts w:ascii="Arial" w:hAnsi="Arial"/>
          <w:sz w:val="24"/>
        </w:rPr>
        <w:t>- Nâng cao nhận thức của cán bộ, hội viên nông dân về ý nghĩa</w:t>
      </w:r>
    </w:p>
    <w:p>
      <w:r>
        <w:rPr>
          <w:rFonts w:ascii="Arial" w:hAnsi="Arial"/>
          <w:sz w:val="24"/>
        </w:rPr>
        <w:t>- Góp phần tạo sự thống nhất về tư tưởng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