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pacing w:val="60"/>
          <w:sz w:val="52"/>
          <w:szCs w:val="52"/>
        </w:rPr>
        <w:t xml:space="preserve">ERIC PUIGMARTI</w:t>
      </w:r>
    </w:p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Staff Product Designer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Toronto, ON  ·  eric.puigmarti@gmail.com  ·  ericpuigmarti.com  ·  LinkedIn</w:t>
      </w:r>
    </w:p>
    <w:p>
      <w:pPr>
        <w:pBdr>
          <w:bottom w:val="single" w:color="CCCCCC" w:sz="4" w:space="1"/>
        </w:pBdr>
        <w:spacing w:after="120" w:before="0"/>
      </w:pPr>
    </w:p>
    <w:p>
      <w:pP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12+ years shipping AI-native products that move clinical and business metrics at regulated scale. Turned the highest-friction moment on Canada’s largest virtual care platform into a retention driver — 59–82% engagement lifts, 10% churn reduction, ~40% engineering efficiency gain. Supported $34M+ in enterprise pipeline through design-led sales enablement. Works at the intersection of product strategy, systems thinking, and hands-on execution. Most effective when design is a lever, not a layer.</w:t>
      </w:r>
    </w:p>
    <w:p>
      <w:pPr>
        <w:pBdr>
          <w:bottom w:val="single" w:color="1A1A1A" w:sz="6" w:space="2"/>
        </w:pBdr>
        <w:spacing w:after="60" w:before="28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Product Design Manager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Maple Inc.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Jan 2024 – Present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Canada’s leading virtual care platform — 7M+ patients, 2,000+ providers, B2B/B2C/B2I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Redesigned the AI-powered patient rejection experience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the platform’s highest-friction moment — lifting satisfaction 59%, cutting first-month churn from 36% to 32.4%, and achieving a 95% completion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Shipped AI-powered intake for 2,000+ providers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drove 82% engagement lift at peak demand and saved 5+ minutes of consultation prep time for 66% of the provider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Led design strategy for React Native Web platform consolidation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reduced front-end duplication from 2× to 1.2× effort, delivering ~40% engineering efficiency gains across product and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Scaled holiday consult volume 27% YoY through systems-level design with Clinical Ops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maintained 90%+ match rates and sub-12-minute wait times under peak load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Lead Product Designer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Inflow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2023 – Dec 2023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CBT-based mobile app for adults with ADHD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Grew DAUs 18% through a structured experimentation program designed to surface core product value faster in the first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unified design system that consolidated visual language, reduced accessibility debt, and accelerated design-to-engineering handoff velocity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Staff Product Designer &amp; Design Manager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League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Jun 2022 – Jan 2023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Digital health platform for insurers, employers, and healthcare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Launched PC Health B2C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brought personalised access to nurses, dietitians, and care management to millions of Canadians, expanding League’s direct-to-consumer footprint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Mentored and developed 4 designers across levels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drove measurable skill growth and career progression for every direct report in a high-complexity, multi-surface platform environment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Lead Product Designer &amp; Design Manager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League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Nov 2020 – Jun 2022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Supported $34M+ in new business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partnered with Sales and Product Marketing on enterprise pitches and interactive demos for Providence, Optum, Highmark, and Walgreens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Built multi-brand design system enabling platform licensing across insurers, employers, and healthcare providers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directly unlocking enterprise sales at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Scaled the design org from 5 to 23 while sustaining industry-leading engagement scores and 47%+ BIPOC representation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grew headcount without degrading culture or quality</w:t>
      </w:r>
    </w:p>
    <w:p>
      <w:pPr>
        <w:pBdr>
          <w:bottom w:val="single" w:color="1A1A1A" w:sz="6" w:space="2"/>
        </w:pBdr>
        <w:spacing w:after="60" w:before="28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SKILLS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AI-native product design  ·  Design systems  ·  UX strategy  ·  Cross-functional leadership  ·  Health tech  ·  Inclusive design  ·  Prototyping  ·  Stakeholder alignment  ·  Executive communication</w:t>
      </w:r>
    </w:p>
    <w:p>
      <w:pPr>
        <w:pBdr>
          <w:bottom w:val="single" w:color="1A1A1A" w:sz="6" w:space="2"/>
        </w:pBdr>
        <w:spacing w:after="60" w:before="28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 Digital Media Arts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Seneca College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2012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Business Essentials for Designers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Designer Fund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2020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Continuous Discovery Master Class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Product Talk Academy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2021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  <w:rPr>
        <w:rFonts w:ascii="Arial" w:cs="Arial" w:eastAsia="Arial" w:hAnsi="Arial"/>
        <w:color w:val="44444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2026-04-13T02:04:25.088Z</dcterms:created>
  <dcterms:modified xsi:type="dcterms:W3CDTF">2026-04-13T02:04:25.088Z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