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82C10" w14:textId="28171839" w:rsidR="00BF6C9E" w:rsidRPr="00B53691" w:rsidRDefault="008336F2" w:rsidP="00005333">
      <w:pPr>
        <w:rPr>
          <w:b/>
        </w:rPr>
      </w:pPr>
      <w:r w:rsidRPr="00B53691">
        <w:rPr>
          <w:b/>
        </w:rPr>
        <w:t>&lt;h</w:t>
      </w:r>
      <w:r w:rsidR="00B53691" w:rsidRPr="00B53691">
        <w:rPr>
          <w:b/>
        </w:rPr>
        <w:t>5&gt;</w:t>
      </w:r>
      <w:r w:rsidR="000E682B" w:rsidRPr="00B53691">
        <w:rPr>
          <w:b/>
        </w:rPr>
        <w:t>Our Portfolio Management Philosophy</w:t>
      </w:r>
      <w:r w:rsidR="00B53691" w:rsidRPr="00B53691">
        <w:rPr>
          <w:b/>
        </w:rPr>
        <w:t>&lt;/h5&gt;</w:t>
      </w:r>
    </w:p>
    <w:p w14:paraId="3FB6B86D" w14:textId="41103D35" w:rsidR="00B53691" w:rsidRPr="00B53691" w:rsidRDefault="00B53691" w:rsidP="00B27841">
      <w:pPr>
        <w:rPr>
          <w:highlight w:val="yellow"/>
        </w:rPr>
      </w:pPr>
      <w:r w:rsidRPr="00B53691">
        <w:t>&lt;p&gt;</w:t>
      </w:r>
      <w:r w:rsidR="00B27841" w:rsidRPr="00B53691">
        <w:t xml:space="preserve">While we believe that a strong understanding of mathematical techniques and statistical concepts are essential to the successful implementation of any </w:t>
      </w:r>
      <w:r w:rsidR="00FD4071" w:rsidRPr="00B53691">
        <w:t>portfolio management</w:t>
      </w:r>
      <w:r w:rsidR="00B27841" w:rsidRPr="00B53691">
        <w:t xml:space="preserve"> strategy, the guiding principles should be strongly grounded in a common-sense, practical-business approach.</w:t>
      </w:r>
      <w:r w:rsidR="000E682B" w:rsidRPr="00B53691">
        <w:t xml:space="preserve"> We believe that many of the quantitative-based funds end up using too much math for its own sake</w:t>
      </w:r>
      <w:r w:rsidR="00F95576" w:rsidRPr="00B53691">
        <w:t xml:space="preserve">. </w:t>
      </w:r>
      <w:r w:rsidR="000E682B" w:rsidRPr="00B53691">
        <w:t xml:space="preserve">—a somewhat surprising conclusion, </w:t>
      </w:r>
      <w:r w:rsidR="000E682B" w:rsidRPr="00B53691">
        <w:rPr>
          <w:highlight w:val="yellow"/>
        </w:rPr>
        <w:t xml:space="preserve">given that our </w:t>
      </w:r>
      <w:r w:rsidR="00F656EB" w:rsidRPr="00B53691">
        <w:rPr>
          <w:highlight w:val="yellow"/>
        </w:rPr>
        <w:t>Portfolio Manager</w:t>
      </w:r>
      <w:r w:rsidR="000E682B" w:rsidRPr="00B53691">
        <w:rPr>
          <w:highlight w:val="yellow"/>
        </w:rPr>
        <w:t xml:space="preserve"> himself is a </w:t>
      </w:r>
      <w:r w:rsidR="00B27841" w:rsidRPr="00B53691">
        <w:rPr>
          <w:highlight w:val="yellow"/>
        </w:rPr>
        <w:t>Math. Ph.D.</w:t>
      </w:r>
      <w:r w:rsidR="003D2271" w:rsidRPr="00B53691">
        <w:rPr>
          <w:highlight w:val="yellow"/>
        </w:rPr>
        <w:t xml:space="preserve"> (This last part seems a bit awkward. Might be a better idea to just list credentials somewhere</w:t>
      </w:r>
      <w:r w:rsidR="008E36E2">
        <w:rPr>
          <w:highlight w:val="yellow"/>
        </w:rPr>
        <w:t xml:space="preserve"> or say </w:t>
      </w:r>
      <w:proofErr w:type="gramStart"/>
      <w:r w:rsidR="008E36E2">
        <w:rPr>
          <w:highlight w:val="yellow"/>
        </w:rPr>
        <w:t>“ . . .</w:t>
      </w:r>
      <w:proofErr w:type="gramEnd"/>
      <w:r w:rsidR="008E36E2">
        <w:rPr>
          <w:highlight w:val="yellow"/>
        </w:rPr>
        <w:t xml:space="preserve"> given the </w:t>
      </w:r>
      <w:r w:rsidR="003C2D9D">
        <w:rPr>
          <w:highlight w:val="yellow"/>
        </w:rPr>
        <w:t>extensive math backgrounds of our investing team</w:t>
      </w:r>
      <w:r w:rsidR="003D2271" w:rsidRPr="00B53691">
        <w:rPr>
          <w:highlight w:val="yellow"/>
        </w:rPr>
        <w:t>.)</w:t>
      </w:r>
    </w:p>
    <w:p w14:paraId="125BD650" w14:textId="40029FBC" w:rsidR="004C00D9" w:rsidRPr="00B53691" w:rsidRDefault="00B53691" w:rsidP="00B27841">
      <w:r w:rsidRPr="00B53691">
        <w:t>&lt;/p&gt;</w:t>
      </w:r>
    </w:p>
    <w:p w14:paraId="7D66C068" w14:textId="3017EE81" w:rsidR="004C00D9" w:rsidRPr="00B53691" w:rsidRDefault="004C00D9" w:rsidP="00B27841">
      <w:bookmarkStart w:id="0" w:name="_GoBack"/>
      <w:bookmarkEnd w:id="0"/>
    </w:p>
    <w:p w14:paraId="65FD5067" w14:textId="1282F62F" w:rsidR="00667F19" w:rsidRPr="00B53691" w:rsidRDefault="00B53691" w:rsidP="00B27841">
      <w:r w:rsidRPr="00B53691">
        <w:t>&lt;p&gt;</w:t>
      </w:r>
      <w:r w:rsidR="000C0607" w:rsidRPr="00B53691">
        <w:t xml:space="preserve">Instead, </w:t>
      </w:r>
      <w:r w:rsidR="00667F19" w:rsidRPr="00B53691">
        <w:t xml:space="preserve">we believe that at the portfolio level the most promising long-term approach consists </w:t>
      </w:r>
      <w:r w:rsidR="004C00D9" w:rsidRPr="00B53691">
        <w:t>of</w:t>
      </w:r>
      <w:r w:rsidR="00667F19" w:rsidRPr="00B53691">
        <w:t xml:space="preserve"> a sound marriage of quantitative techniques and logical Fundamental analysis.</w:t>
      </w:r>
      <w:r w:rsidR="00103698" w:rsidRPr="00B53691">
        <w:t xml:space="preserve"> </w:t>
      </w:r>
      <w:r w:rsidR="00103698" w:rsidRPr="00B53691">
        <w:rPr>
          <w:highlight w:val="yellow"/>
        </w:rPr>
        <w:t>As a general rule, we allow no more than 10% - 15% of the portfolio to be allocated to short-term “trading” opportunities, with the remaining portion strictly reserved for long-only, high-conviction picks managed with our Adaptive Harvesting approach.</w:t>
      </w:r>
    </w:p>
    <w:p w14:paraId="55961661" w14:textId="77777777" w:rsidR="00B53691" w:rsidRPr="00B53691" w:rsidRDefault="00B53691" w:rsidP="00B53691">
      <w:r w:rsidRPr="00B53691">
        <w:t>&lt;/p&gt;</w:t>
      </w:r>
    </w:p>
    <w:p w14:paraId="681AB192" w14:textId="21258C47" w:rsidR="009D128D" w:rsidRPr="00B53691" w:rsidRDefault="009D128D" w:rsidP="00B27841"/>
    <w:p w14:paraId="1F633067" w14:textId="7CE89883" w:rsidR="009D128D" w:rsidRPr="00B53691" w:rsidRDefault="00B53691" w:rsidP="009D128D">
      <w:pPr>
        <w:rPr>
          <w:b/>
        </w:rPr>
      </w:pPr>
      <w:r w:rsidRPr="00B53691">
        <w:rPr>
          <w:b/>
        </w:rPr>
        <w:t>&lt;h5</w:t>
      </w:r>
      <w:proofErr w:type="gramStart"/>
      <w:r w:rsidRPr="00B53691">
        <w:rPr>
          <w:b/>
        </w:rPr>
        <w:t>&gt;</w:t>
      </w:r>
      <w:r w:rsidR="00A71F6F" w:rsidRPr="00B53691">
        <w:rPr>
          <w:b/>
        </w:rPr>
        <w:t>“</w:t>
      </w:r>
      <w:proofErr w:type="gramEnd"/>
      <w:r w:rsidR="000E682B" w:rsidRPr="00B53691">
        <w:rPr>
          <w:b/>
        </w:rPr>
        <w:t>Adaptive Harvesting</w:t>
      </w:r>
      <w:r w:rsidR="00A71F6F" w:rsidRPr="00B53691">
        <w:rPr>
          <w:b/>
        </w:rPr>
        <w:t xml:space="preserve">” – </w:t>
      </w:r>
      <w:r w:rsidR="000E682B" w:rsidRPr="00B53691">
        <w:rPr>
          <w:b/>
        </w:rPr>
        <w:t>Our Vegetable Garden Metaphor</w:t>
      </w:r>
      <w:r w:rsidRPr="00B53691">
        <w:rPr>
          <w:b/>
        </w:rPr>
        <w:t>&lt;/h5&gt;</w:t>
      </w:r>
    </w:p>
    <w:p w14:paraId="3B44AC25" w14:textId="2DBFADF0" w:rsidR="009D128D" w:rsidRPr="00B53691" w:rsidRDefault="00B53691" w:rsidP="009D128D">
      <w:r w:rsidRPr="00B53691">
        <w:t>&lt;p&gt;</w:t>
      </w:r>
      <w:r w:rsidR="009D128D" w:rsidRPr="00B53691">
        <w:t>To maintain contact with reality, we find it helpful to describe our overarching portfolio management strategy using a vegetable garden metaphor: Adaptive Harvesting.</w:t>
      </w:r>
    </w:p>
    <w:p w14:paraId="76B72402" w14:textId="77777777" w:rsidR="00B53691" w:rsidRPr="00B53691" w:rsidRDefault="00B53691" w:rsidP="00B53691">
      <w:r w:rsidRPr="00B53691">
        <w:t>&lt;/p&gt;</w:t>
      </w:r>
    </w:p>
    <w:p w14:paraId="62AA7E7C" w14:textId="38834939" w:rsidR="000E682B" w:rsidRPr="00B53691" w:rsidRDefault="000E682B" w:rsidP="009D128D"/>
    <w:p w14:paraId="7C3A92D1" w14:textId="59326546" w:rsidR="000E682B" w:rsidRPr="00B53691" w:rsidRDefault="00B53691" w:rsidP="009D128D">
      <w:r w:rsidRPr="00B53691">
        <w:t>&lt;p&gt;</w:t>
      </w:r>
      <w:r w:rsidR="000E682B" w:rsidRPr="00B53691">
        <w:t xml:space="preserve">Tending to a garden has many attendant activities. There is the </w:t>
      </w:r>
      <w:r w:rsidR="00CF7E18" w:rsidRPr="00B53691">
        <w:t xml:space="preserve">fertilizing, the </w:t>
      </w:r>
      <w:r w:rsidR="000E682B" w:rsidRPr="00B53691">
        <w:t xml:space="preserve">planting, </w:t>
      </w:r>
      <w:r w:rsidR="00CF7E18" w:rsidRPr="00B53691">
        <w:t xml:space="preserve">the watering, and </w:t>
      </w:r>
      <w:r w:rsidR="000E682B" w:rsidRPr="00B53691">
        <w:t>the pruning</w:t>
      </w:r>
      <w:r w:rsidR="00CF7E18" w:rsidRPr="00B53691">
        <w:t xml:space="preserve">, among others. All activities </w:t>
      </w:r>
      <w:r w:rsidR="000E682B" w:rsidRPr="00B53691">
        <w:t>requir</w:t>
      </w:r>
      <w:r w:rsidR="00CF7E18" w:rsidRPr="00B53691">
        <w:t>e</w:t>
      </w:r>
      <w:r w:rsidR="000E682B" w:rsidRPr="00B53691">
        <w:t xml:space="preserve"> just the right mix of personal attention and scientific knowledge</w:t>
      </w:r>
      <w:r w:rsidR="00CF7E18" w:rsidRPr="00B53691">
        <w:t>, for as long as it takes, until the nurtured seedlings are ready for the final activity: the harvesting.</w:t>
      </w:r>
      <w:r w:rsidR="000E682B" w:rsidRPr="00B53691">
        <w:t xml:space="preserve"> </w:t>
      </w:r>
    </w:p>
    <w:p w14:paraId="12966609" w14:textId="77777777" w:rsidR="00B53691" w:rsidRPr="00B53691" w:rsidRDefault="00B53691" w:rsidP="00B53691">
      <w:r w:rsidRPr="00B53691">
        <w:t>&lt;/p&gt;</w:t>
      </w:r>
    </w:p>
    <w:p w14:paraId="548CE148" w14:textId="1F9CE9D9" w:rsidR="009D128D" w:rsidRPr="00B53691" w:rsidRDefault="009D128D" w:rsidP="009D128D"/>
    <w:p w14:paraId="002964AA" w14:textId="47CE59C1" w:rsidR="009D128D" w:rsidRPr="00B53691" w:rsidRDefault="00B53691" w:rsidP="009D128D">
      <w:r w:rsidRPr="00B53691">
        <w:t>&lt;p&gt;</w:t>
      </w:r>
      <w:r w:rsidR="009D128D" w:rsidRPr="00B53691">
        <w:t>Some fruits are ripe to be harvested</w:t>
      </w:r>
      <w:r w:rsidR="00CF7E18" w:rsidRPr="00B53691">
        <w:t xml:space="preserve"> rather quickly, and </w:t>
      </w:r>
      <w:r w:rsidR="009D128D" w:rsidRPr="00B53691">
        <w:t>this should be done promptly</w:t>
      </w:r>
      <w:r w:rsidR="00CF7E18" w:rsidRPr="00B53691">
        <w:t xml:space="preserve"> </w:t>
      </w:r>
      <w:r w:rsidR="009D128D" w:rsidRPr="00B53691">
        <w:t xml:space="preserve">lest they rot on the tree. Likewise, some fruits are growing up nicely but are not yet ripe and should be left on the </w:t>
      </w:r>
      <w:r w:rsidR="00A4609A" w:rsidRPr="00B53691">
        <w:t>vine</w:t>
      </w:r>
      <w:r w:rsidR="009D128D" w:rsidRPr="00B53691">
        <w:t xml:space="preserve"> for just a little bit longer.</w:t>
      </w:r>
      <w:r w:rsidR="00CF7E18" w:rsidRPr="00B53691">
        <w:t xml:space="preserve"> </w:t>
      </w:r>
      <w:r w:rsidR="009D128D" w:rsidRPr="00B53691">
        <w:t>And some plants have been infected by disease and</w:t>
      </w:r>
      <w:r w:rsidR="00CF7E18" w:rsidRPr="00B53691">
        <w:t xml:space="preserve"> may</w:t>
      </w:r>
      <w:r w:rsidR="009D128D" w:rsidRPr="00B53691">
        <w:t xml:space="preserve"> need to be cured or cut off.</w:t>
      </w:r>
    </w:p>
    <w:p w14:paraId="2B2206D9" w14:textId="77777777" w:rsidR="00B53691" w:rsidRPr="00B53691" w:rsidRDefault="00B53691" w:rsidP="00B53691">
      <w:r w:rsidRPr="00B53691">
        <w:t>&lt;/p&gt;</w:t>
      </w:r>
    </w:p>
    <w:p w14:paraId="563B7C2A" w14:textId="61C3F103" w:rsidR="00CF7E18" w:rsidRPr="00B53691" w:rsidRDefault="00CF7E18" w:rsidP="009D128D"/>
    <w:p w14:paraId="4F078847" w14:textId="5BCD38DB" w:rsidR="009D128D" w:rsidRPr="00B53691" w:rsidRDefault="00B53691" w:rsidP="009D128D">
      <w:r w:rsidRPr="00B53691">
        <w:t>&lt;p&gt;</w:t>
      </w:r>
      <w:r w:rsidR="00CF7E18" w:rsidRPr="00B53691">
        <w:t xml:space="preserve">We find the vegetable garden metaphor to be appropriate because, as with investment decisions, each </w:t>
      </w:r>
      <w:r w:rsidR="00A4609A" w:rsidRPr="00B53691">
        <w:t>seedling</w:t>
      </w:r>
      <w:r w:rsidR="00CF7E18" w:rsidRPr="00B53691">
        <w:t xml:space="preserve"> is ready for picking at its own time and pace, </w:t>
      </w:r>
      <w:r w:rsidR="00A4609A" w:rsidRPr="00B53691">
        <w:t>as no two will have identical time horizons.</w:t>
      </w:r>
    </w:p>
    <w:p w14:paraId="4C5F9695" w14:textId="77777777" w:rsidR="00B53691" w:rsidRPr="00B53691" w:rsidRDefault="00B53691" w:rsidP="00B53691">
      <w:r w:rsidRPr="00B53691">
        <w:t>&lt;/p&gt;</w:t>
      </w:r>
    </w:p>
    <w:p w14:paraId="491B8994" w14:textId="3501EF5C" w:rsidR="00191E31" w:rsidRPr="00B53691" w:rsidRDefault="00191E31" w:rsidP="00B27841"/>
    <w:p w14:paraId="21EB1B5F" w14:textId="4F0A383D" w:rsidR="00191E31" w:rsidRPr="00B53691" w:rsidRDefault="00B53691" w:rsidP="00191E31">
      <w:pPr>
        <w:rPr>
          <w:b/>
        </w:rPr>
      </w:pPr>
      <w:r w:rsidRPr="00B53691">
        <w:rPr>
          <w:b/>
        </w:rPr>
        <w:t>&lt;h5&gt;</w:t>
      </w:r>
      <w:r w:rsidR="00A4609A" w:rsidRPr="00B53691">
        <w:rPr>
          <w:b/>
        </w:rPr>
        <w:t>How We Select Stocks</w:t>
      </w:r>
      <w:r w:rsidR="00E541FC" w:rsidRPr="00B53691">
        <w:rPr>
          <w:b/>
        </w:rPr>
        <w:t xml:space="preserve"> </w:t>
      </w:r>
      <w:proofErr w:type="gramStart"/>
      <w:r w:rsidR="00E541FC" w:rsidRPr="00B53691">
        <w:rPr>
          <w:b/>
        </w:rPr>
        <w:t>For</w:t>
      </w:r>
      <w:proofErr w:type="gramEnd"/>
      <w:r w:rsidR="00E541FC" w:rsidRPr="00B53691">
        <w:rPr>
          <w:b/>
        </w:rPr>
        <w:t xml:space="preserve"> </w:t>
      </w:r>
      <w:r w:rsidR="00A4609A" w:rsidRPr="00B53691">
        <w:rPr>
          <w:b/>
        </w:rPr>
        <w:t>The Portfolio</w:t>
      </w:r>
      <w:r w:rsidRPr="00B53691">
        <w:rPr>
          <w:b/>
        </w:rPr>
        <w:t>&lt;/h5&gt;</w:t>
      </w:r>
    </w:p>
    <w:p w14:paraId="4C67184F" w14:textId="60DA018E" w:rsidR="00667F19" w:rsidRPr="00B53691" w:rsidRDefault="00B53691" w:rsidP="00D8570C">
      <w:r w:rsidRPr="00B53691">
        <w:t>&lt;p&gt;</w:t>
      </w:r>
      <w:r w:rsidR="000B16B5" w:rsidRPr="00B53691">
        <w:t xml:space="preserve">At the individual stock level, the opportunities we identify </w:t>
      </w:r>
      <w:r w:rsidR="0087160C" w:rsidRPr="00B53691">
        <w:t>c</w:t>
      </w:r>
      <w:r w:rsidR="00191E31" w:rsidRPr="00B53691">
        <w:t>ome in many forms</w:t>
      </w:r>
      <w:r w:rsidR="003D2271" w:rsidRPr="00B53691">
        <w:t>—</w:t>
      </w:r>
      <w:r w:rsidR="00191E31" w:rsidRPr="00B53691">
        <w:t>the investment universe is a veritable “zoo</w:t>
      </w:r>
      <w:r w:rsidR="00A4609A" w:rsidRPr="00B53691">
        <w:t>,</w:t>
      </w:r>
      <w:r w:rsidR="00191E31" w:rsidRPr="00B53691">
        <w:t>” and there are many different kinds of “animals” out there. Here is a partial</w:t>
      </w:r>
      <w:r w:rsidR="00664F7B" w:rsidRPr="00B53691">
        <w:t xml:space="preserve"> list:</w:t>
      </w:r>
    </w:p>
    <w:p w14:paraId="47C36591" w14:textId="77777777" w:rsidR="00B53691" w:rsidRPr="00B53691" w:rsidRDefault="00B53691" w:rsidP="00B53691">
      <w:r w:rsidRPr="00B53691">
        <w:lastRenderedPageBreak/>
        <w:t>&lt;/p&gt;</w:t>
      </w:r>
    </w:p>
    <w:p w14:paraId="267A956E" w14:textId="26486C26" w:rsidR="00B53691" w:rsidRPr="00B53691" w:rsidRDefault="00B53691" w:rsidP="00D8570C"/>
    <w:p w14:paraId="201F7995" w14:textId="1CF37B4E" w:rsidR="00667F19" w:rsidRPr="00B53691" w:rsidRDefault="00B53691" w:rsidP="00D8570C">
      <w:r w:rsidRPr="00B53691">
        <w:t>&lt;</w:t>
      </w:r>
      <w:proofErr w:type="spellStart"/>
      <w:r w:rsidRPr="00B53691">
        <w:t>ul</w:t>
      </w:r>
      <w:proofErr w:type="spellEnd"/>
      <w:r w:rsidRPr="00B53691">
        <w:t>&gt;</w:t>
      </w:r>
    </w:p>
    <w:p w14:paraId="4ECE21F7" w14:textId="514FD29A" w:rsidR="003D2271" w:rsidRPr="00B53691" w:rsidRDefault="00B53691" w:rsidP="00B53691">
      <w:pPr>
        <w:rPr>
          <w:highlight w:val="yellow"/>
        </w:rPr>
      </w:pPr>
      <w:r w:rsidRPr="00B53691">
        <w:rPr>
          <w:highlight w:val="yellow"/>
        </w:rPr>
        <w:t>&lt;li&gt;</w:t>
      </w:r>
      <w:r w:rsidR="00A27C3F">
        <w:rPr>
          <w:highlight w:val="yellow"/>
        </w:rPr>
        <w:t>&lt;span</w:t>
      </w:r>
      <w:r w:rsidR="008E3E9D">
        <w:rPr>
          <w:highlight w:val="yellow"/>
        </w:rPr>
        <w:t xml:space="preserve"> class=</w:t>
      </w:r>
      <w:r w:rsidR="00087998">
        <w:rPr>
          <w:highlight w:val="yellow"/>
        </w:rPr>
        <w:t>italic</w:t>
      </w:r>
      <w:r w:rsidR="00A27C3F">
        <w:rPr>
          <w:highlight w:val="yellow"/>
        </w:rPr>
        <w:t>&gt;</w:t>
      </w:r>
      <w:r w:rsidR="003D2271" w:rsidRPr="00B53691">
        <w:rPr>
          <w:highlight w:val="yellow"/>
        </w:rPr>
        <w:t xml:space="preserve">Market </w:t>
      </w:r>
      <w:proofErr w:type="spellStart"/>
      <w:r w:rsidR="003D2271" w:rsidRPr="00B53691">
        <w:rPr>
          <w:highlight w:val="yellow"/>
        </w:rPr>
        <w:t>fatiguers</w:t>
      </w:r>
      <w:proofErr w:type="spellEnd"/>
      <w:r w:rsidR="008E3E9D">
        <w:rPr>
          <w:highlight w:val="yellow"/>
        </w:rPr>
        <w:t>:&lt;/span&gt;</w:t>
      </w:r>
      <w:r w:rsidR="003D2271" w:rsidRPr="00B53691">
        <w:rPr>
          <w:highlight w:val="yellow"/>
        </w:rPr>
        <w:t xml:space="preserve"> Stocks that saw a nice rise in price after positive news was announced but have since been ignored and drifted back down</w:t>
      </w:r>
      <w:r w:rsidR="00103698" w:rsidRPr="00B53691">
        <w:rPr>
          <w:highlight w:val="yellow"/>
        </w:rPr>
        <w:t xml:space="preserve"> (“market fatigue”)</w:t>
      </w:r>
      <w:r w:rsidR="003D2271" w:rsidRPr="00B53691">
        <w:rPr>
          <w:highlight w:val="yellow"/>
        </w:rPr>
        <w:t xml:space="preserve">, likely due to the (often) long wait times between meaningful catalysts—and are now thus substantially de-risked while possessing the same upside potential (e.g. FENC, </w:t>
      </w:r>
      <w:r w:rsidR="00103698" w:rsidRPr="00B53691">
        <w:rPr>
          <w:highlight w:val="yellow"/>
        </w:rPr>
        <w:t>February 2020).</w:t>
      </w:r>
      <w:r w:rsidR="003D2271" w:rsidRPr="00B53691">
        <w:rPr>
          <w:highlight w:val="yellow"/>
        </w:rPr>
        <w:t xml:space="preserve"> </w:t>
      </w:r>
    </w:p>
    <w:p w14:paraId="29058DC6" w14:textId="16D48279" w:rsidR="003D2271" w:rsidRPr="00B53691" w:rsidRDefault="00B53691" w:rsidP="00B53691">
      <w:r w:rsidRPr="00B53691">
        <w:t>&lt;/li&gt;</w:t>
      </w:r>
    </w:p>
    <w:p w14:paraId="391903B9" w14:textId="0834D20C" w:rsidR="00B53691" w:rsidRPr="00B53691" w:rsidRDefault="00B53691" w:rsidP="00B53691">
      <w:r w:rsidRPr="00B53691">
        <w:t>&lt;li&gt;</w:t>
      </w:r>
      <w:r w:rsidR="008E3E9D">
        <w:t>&lt;span class=&gt;</w:t>
      </w:r>
      <w:r w:rsidR="00D8570C" w:rsidRPr="00B53691">
        <w:t>Babies in the bathwater</w:t>
      </w:r>
      <w:r w:rsidR="000D459A" w:rsidRPr="00B53691">
        <w:t>:</w:t>
      </w:r>
      <w:r w:rsidR="008E3E9D">
        <w:t>&lt;/span&gt;</w:t>
      </w:r>
      <w:r w:rsidR="00D8570C" w:rsidRPr="00B53691">
        <w:t xml:space="preserve"> Stocks that have been beaten down as part of a macro movement in the economy or as part of an indiscriminate move</w:t>
      </w:r>
      <w:r w:rsidR="00A4609A" w:rsidRPr="00B53691">
        <w:t xml:space="preserve"> in their sector</w:t>
      </w:r>
      <w:r w:rsidR="00C4291E" w:rsidRPr="00B53691">
        <w:t xml:space="preserve"> (e.g.</w:t>
      </w:r>
      <w:r w:rsidR="00E36855" w:rsidRPr="00B53691">
        <w:t xml:space="preserve"> </w:t>
      </w:r>
      <w:r w:rsidR="00A4609A" w:rsidRPr="00B53691">
        <w:t>VCEL, March 2020)</w:t>
      </w:r>
      <w:r w:rsidR="00024BB1" w:rsidRPr="00B53691">
        <w:t>.</w:t>
      </w:r>
      <w:r w:rsidR="00E36855" w:rsidRPr="00B53691">
        <w:t xml:space="preserve"> </w:t>
      </w:r>
      <w:r w:rsidR="002D3AC0" w:rsidRPr="00B53691">
        <w:br/>
      </w:r>
      <w:r w:rsidRPr="00B53691">
        <w:t>&lt;/li&gt;</w:t>
      </w:r>
    </w:p>
    <w:p w14:paraId="23D06B2D" w14:textId="41E6DAC1" w:rsidR="00B53691" w:rsidRPr="00B53691" w:rsidRDefault="00B53691" w:rsidP="00B53691">
      <w:r w:rsidRPr="00B53691">
        <w:t>&lt;li&gt;</w:t>
      </w:r>
      <w:r w:rsidR="008E3E9D">
        <w:t>&lt;span class=&gt;</w:t>
      </w:r>
      <w:r w:rsidR="008E3E9D" w:rsidRPr="00B53691">
        <w:t>Failure to distinguish:</w:t>
      </w:r>
      <w:r w:rsidR="008E3E9D">
        <w:t>&lt;span&gt;</w:t>
      </w:r>
      <w:r w:rsidRPr="00B53691">
        <w:t xml:space="preserve"> Stocks that have fallen in sympathy with a competitor – with investors failing to distinguish important differences (this happens often with biotech stocks when competitors release data). </w:t>
      </w:r>
      <w:r w:rsidRPr="00B53691">
        <w:br/>
        <w:t>&lt;/li&gt;</w:t>
      </w:r>
    </w:p>
    <w:p w14:paraId="456FEA0E" w14:textId="6705BC1D" w:rsidR="00B53691" w:rsidRPr="00B53691" w:rsidRDefault="00B53691" w:rsidP="00B53691">
      <w:r w:rsidRPr="00B53691">
        <w:t>&lt;li&gt;</w:t>
      </w:r>
      <w:r w:rsidR="008E3E9D">
        <w:t>&lt;span class=&gt;</w:t>
      </w:r>
      <w:r w:rsidR="008E3E9D" w:rsidRPr="00B53691">
        <w:t>Changing narratives:</w:t>
      </w:r>
      <w:r w:rsidR="008E3E9D">
        <w:t>&lt;/span&gt;</w:t>
      </w:r>
      <w:r w:rsidRPr="00B53691">
        <w:t xml:space="preserve"> Companies that have performed (very) poorly over the past few months or years but that now are presented with a new channel of opportunities, often with a new and focused management and renewed energy (e.g. AMSC, February 2017).</w:t>
      </w:r>
      <w:r w:rsidRPr="00B53691">
        <w:br/>
        <w:t>&lt;/li&gt;</w:t>
      </w:r>
    </w:p>
    <w:p w14:paraId="06B3017A" w14:textId="05061BE7" w:rsidR="00B53691" w:rsidRPr="00B53691" w:rsidRDefault="00B53691" w:rsidP="00B53691">
      <w:r w:rsidRPr="00B53691">
        <w:t>&lt;li&gt;</w:t>
      </w:r>
      <w:r w:rsidR="008E3E9D">
        <w:t>&lt;span class=&gt;</w:t>
      </w:r>
      <w:r w:rsidR="008E3E9D" w:rsidRPr="00B53691">
        <w:t>Diamonds in the rough:</w:t>
      </w:r>
      <w:r w:rsidR="008E3E9D">
        <w:t>&lt;/span&gt;</w:t>
      </w:r>
      <w:r w:rsidRPr="00B53691">
        <w:t xml:space="preserve"> Companies that are little understood or have been ignored but face great prospects (e.g. OMER, July 2019).</w:t>
      </w:r>
      <w:r w:rsidRPr="00B53691">
        <w:br/>
        <w:t>&lt;/li&gt;</w:t>
      </w:r>
    </w:p>
    <w:p w14:paraId="1B76F3FE" w14:textId="02BB09EC" w:rsidR="00B53691" w:rsidRDefault="00B53691" w:rsidP="00B53691">
      <w:r w:rsidRPr="00B53691">
        <w:t>&lt;li&gt;</w:t>
      </w:r>
      <w:r w:rsidR="008E3E9D">
        <w:t>&lt;span class=&gt;</w:t>
      </w:r>
      <w:r w:rsidR="008E3E9D" w:rsidRPr="00B53691">
        <w:t>Victims of fear:</w:t>
      </w:r>
      <w:r w:rsidR="008E3E9D">
        <w:t>&lt;/span&gt;</w:t>
      </w:r>
      <w:r w:rsidRPr="00B53691">
        <w:t xml:space="preserve"> Companies that have been punished by an exaggerated level of fear but whose business prospects are asymmetrically good (e.g. ENDP, October 2020).</w:t>
      </w:r>
      <w:r w:rsidRPr="00B53691">
        <w:br/>
        <w:t>&lt;/li&gt;</w:t>
      </w:r>
    </w:p>
    <w:p w14:paraId="3112C93F" w14:textId="222B3444" w:rsidR="00B53691" w:rsidRPr="00B53691" w:rsidRDefault="00B53691" w:rsidP="00B53691">
      <w:r w:rsidRPr="00B53691">
        <w:t>&lt;li&gt;</w:t>
      </w:r>
      <w:r w:rsidR="008E3E9D">
        <w:t>&lt;span class=&gt;</w:t>
      </w:r>
      <w:r w:rsidR="008E3E9D" w:rsidRPr="00B53691">
        <w:t>Semi-arbitrages:</w:t>
      </w:r>
      <w:r w:rsidR="008E3E9D">
        <w:t>&lt;/span&gt;</w:t>
      </w:r>
      <w:r w:rsidRPr="00B53691">
        <w:t xml:space="preserve"> Inconsistent pricing in the market due to a merger announcement, volatility of a subsidiary/holding, etc.</w:t>
      </w:r>
      <w:r w:rsidRPr="00B53691">
        <w:br/>
        <w:t>&lt;/li&gt;</w:t>
      </w:r>
    </w:p>
    <w:p w14:paraId="31F8BF9D" w14:textId="6C3769F3" w:rsidR="00E36855" w:rsidRPr="00B53691" w:rsidRDefault="00B53691" w:rsidP="00E36855">
      <w:r w:rsidRPr="00B53691">
        <w:t>&lt;li&gt;</w:t>
      </w:r>
      <w:r w:rsidR="008E3E9D">
        <w:t>&lt;span class=&gt;Temporary setbacks</w:t>
      </w:r>
      <w:r w:rsidR="008E3E9D" w:rsidRPr="00B53691">
        <w:t>:</w:t>
      </w:r>
      <w:r w:rsidR="008E3E9D">
        <w:t xml:space="preserve">&lt;/span&gt; </w:t>
      </w:r>
      <w:r w:rsidRPr="00B53691">
        <w:t>Companies that drop from a justified piece of bad news that may add some near-term uncertainty (such as an FDA filing delay), but whose long-term prospects remain unchanged (e.g. SCPH, January 2021).</w:t>
      </w:r>
      <w:r w:rsidRPr="00B53691">
        <w:br/>
        <w:t>&lt;/li&gt;</w:t>
      </w:r>
    </w:p>
    <w:p w14:paraId="424F78D0" w14:textId="3DD649D5" w:rsidR="00D8570C" w:rsidRPr="00B53691" w:rsidRDefault="00B53691" w:rsidP="00D8570C">
      <w:r w:rsidRPr="00B53691">
        <w:t>&lt;/</w:t>
      </w:r>
      <w:proofErr w:type="spellStart"/>
      <w:r w:rsidRPr="00B53691">
        <w:t>ul</w:t>
      </w:r>
      <w:proofErr w:type="spellEnd"/>
      <w:r w:rsidRPr="00B53691">
        <w:t>&gt;</w:t>
      </w:r>
    </w:p>
    <w:p w14:paraId="60DB4978" w14:textId="4369AB79" w:rsidR="00B53691" w:rsidRPr="00B53691" w:rsidRDefault="00B53691" w:rsidP="00D8570C"/>
    <w:p w14:paraId="0999BDEA" w14:textId="36236DD1" w:rsidR="007C6034" w:rsidRPr="00B53691" w:rsidRDefault="0062151B" w:rsidP="00D8570C">
      <w:r>
        <w:t>&lt;p&gt;</w:t>
      </w:r>
      <w:r w:rsidR="007C6034" w:rsidRPr="00B53691">
        <w:t>Even though the storyline behind each of these types of investments is different, they all have something in common: they share an asymmetric risk/reward profile. They are g</w:t>
      </w:r>
      <w:r w:rsidR="00D8570C" w:rsidRPr="00B53691">
        <w:t>reat bets with very favorable (mathematical) expect</w:t>
      </w:r>
      <w:r w:rsidR="007C6034" w:rsidRPr="00B53691">
        <w:t>ed values,</w:t>
      </w:r>
      <w:r w:rsidR="00D8570C" w:rsidRPr="00B53691">
        <w:t xml:space="preserve"> albeit </w:t>
      </w:r>
      <w:r w:rsidR="00664F7B" w:rsidRPr="00B53691">
        <w:t xml:space="preserve">some may have </w:t>
      </w:r>
      <w:r w:rsidR="00D8570C" w:rsidRPr="00B53691">
        <w:t>high risk</w:t>
      </w:r>
      <w:r w:rsidR="000C0607" w:rsidRPr="00B53691">
        <w:t xml:space="preserve"> as a stand-alone bet</w:t>
      </w:r>
      <w:r w:rsidR="007C6034" w:rsidRPr="00B53691">
        <w:t xml:space="preserve"> (m</w:t>
      </w:r>
      <w:r w:rsidR="00D8570C" w:rsidRPr="00B53691">
        <w:t>any companies in the biotech space have th</w:t>
      </w:r>
      <w:r w:rsidR="007C6034" w:rsidRPr="00B53691">
        <w:t>i</w:t>
      </w:r>
      <w:r w:rsidR="00D8570C" w:rsidRPr="00B53691">
        <w:t>s characteristic</w:t>
      </w:r>
      <w:r w:rsidR="007C6034" w:rsidRPr="00B53691">
        <w:t>)</w:t>
      </w:r>
      <w:r w:rsidR="00D8570C" w:rsidRPr="00B53691">
        <w:t xml:space="preserve">. </w:t>
      </w:r>
    </w:p>
    <w:p w14:paraId="20799817" w14:textId="21ADD76A" w:rsidR="007C6034" w:rsidRDefault="0062151B" w:rsidP="00D8570C">
      <w:r>
        <w:t>&lt;/p&gt;</w:t>
      </w:r>
    </w:p>
    <w:p w14:paraId="252DB242" w14:textId="47E4073D" w:rsidR="0062151B" w:rsidRPr="00B53691" w:rsidRDefault="0062151B" w:rsidP="00D8570C"/>
    <w:p w14:paraId="7DDA8FE9" w14:textId="6CB44FB5" w:rsidR="00D8570C" w:rsidRPr="00B53691" w:rsidRDefault="0062151B" w:rsidP="00D8570C">
      <w:r>
        <w:lastRenderedPageBreak/>
        <w:t>&lt;p&gt;</w:t>
      </w:r>
      <w:r w:rsidR="00D8570C" w:rsidRPr="00B53691">
        <w:t>The high risk dictate</w:t>
      </w:r>
      <w:r w:rsidR="007C6034" w:rsidRPr="00B53691">
        <w:t>s</w:t>
      </w:r>
      <w:r w:rsidR="00D8570C" w:rsidRPr="00B53691">
        <w:t xml:space="preserve"> that any </w:t>
      </w:r>
      <w:r w:rsidR="000C0607" w:rsidRPr="00B53691">
        <w:t xml:space="preserve">single </w:t>
      </w:r>
      <w:r w:rsidR="00D8570C" w:rsidRPr="00B53691">
        <w:t xml:space="preserve">position be small. However, in a </w:t>
      </w:r>
      <w:r w:rsidR="009D128D" w:rsidRPr="00B53691">
        <w:t xml:space="preserve">wide </w:t>
      </w:r>
      <w:r w:rsidR="00D8570C" w:rsidRPr="00B53691">
        <w:t>portfolio</w:t>
      </w:r>
      <w:r w:rsidR="00125F4E" w:rsidRPr="00B53691">
        <w:t>,</w:t>
      </w:r>
      <w:r w:rsidR="00D8570C" w:rsidRPr="00B53691">
        <w:t xml:space="preserve"> the risk is diversified away and is </w:t>
      </w:r>
      <w:r w:rsidR="000C0607" w:rsidRPr="00B53691">
        <w:t>(eventually) uncorrelated with the market.</w:t>
      </w:r>
    </w:p>
    <w:p w14:paraId="287CC796" w14:textId="77777777" w:rsidR="0062151B" w:rsidRDefault="0062151B" w:rsidP="0062151B">
      <w:r>
        <w:t>&lt;/p&gt;</w:t>
      </w:r>
    </w:p>
    <w:p w14:paraId="7605B993" w14:textId="11F6978A" w:rsidR="00D8570C" w:rsidRPr="00B53691" w:rsidRDefault="00D8570C" w:rsidP="00D8570C"/>
    <w:p w14:paraId="54AD21DB" w14:textId="283C5147" w:rsidR="00D8570C" w:rsidRPr="00B53691" w:rsidRDefault="0062151B" w:rsidP="00D8570C">
      <w:r>
        <w:t>&lt;p&gt;</w:t>
      </w:r>
      <w:r w:rsidR="00D8570C" w:rsidRPr="00B53691">
        <w:t>For th</w:t>
      </w:r>
      <w:r w:rsidR="00125F4E" w:rsidRPr="00B53691">
        <w:t xml:space="preserve">ese </w:t>
      </w:r>
      <w:r w:rsidR="00D8570C" w:rsidRPr="00B53691">
        <w:t>type</w:t>
      </w:r>
      <w:r w:rsidR="00125F4E" w:rsidRPr="00B53691">
        <w:t>s</w:t>
      </w:r>
      <w:r w:rsidR="00D8570C" w:rsidRPr="00B53691">
        <w:t xml:space="preserve"> of stock</w:t>
      </w:r>
      <w:r w:rsidR="00F656EB" w:rsidRPr="00B53691">
        <w:t>s</w:t>
      </w:r>
      <w:r w:rsidR="00D8570C" w:rsidRPr="00B53691">
        <w:t>, each position should be viewed as a</w:t>
      </w:r>
      <w:r w:rsidR="00125F4E" w:rsidRPr="00B53691">
        <w:t>n individual</w:t>
      </w:r>
      <w:r w:rsidR="000C0607" w:rsidRPr="00B53691">
        <w:t xml:space="preserve"> bet which should be </w:t>
      </w:r>
      <w:r w:rsidR="00D8570C" w:rsidRPr="00B53691">
        <w:t>included in a well-diversified portfolio</w:t>
      </w:r>
      <w:r w:rsidR="00201E9F" w:rsidRPr="00B53691">
        <w:t>,</w:t>
      </w:r>
      <w:r w:rsidR="00D8570C" w:rsidRPr="00B53691">
        <w:t xml:space="preserve"> with </w:t>
      </w:r>
      <w:r w:rsidR="00125F4E" w:rsidRPr="00B53691">
        <w:t xml:space="preserve">each individual </w:t>
      </w:r>
      <w:r w:rsidR="00103698" w:rsidRPr="00B53691">
        <w:rPr>
          <w:highlight w:val="yellow"/>
        </w:rPr>
        <w:t>initial</w:t>
      </w:r>
      <w:r w:rsidR="00103698" w:rsidRPr="00B53691">
        <w:t xml:space="preserve"> </w:t>
      </w:r>
      <w:r w:rsidR="00125F4E" w:rsidRPr="00B53691">
        <w:t>w</w:t>
      </w:r>
      <w:r w:rsidR="00D8570C" w:rsidRPr="00B53691">
        <w:t xml:space="preserve">eight in the range </w:t>
      </w:r>
      <w:r w:rsidR="00125F4E" w:rsidRPr="00B53691">
        <w:t xml:space="preserve">of </w:t>
      </w:r>
      <w:r w:rsidR="00D8570C" w:rsidRPr="00B53691">
        <w:rPr>
          <w:highlight w:val="yellow"/>
        </w:rPr>
        <w:t>1%-</w:t>
      </w:r>
      <w:r w:rsidR="00E541FC" w:rsidRPr="00B53691">
        <w:rPr>
          <w:highlight w:val="yellow"/>
        </w:rPr>
        <w:t>5</w:t>
      </w:r>
      <w:r w:rsidR="00D8570C" w:rsidRPr="00B53691">
        <w:rPr>
          <w:highlight w:val="yellow"/>
        </w:rPr>
        <w:t>%.</w:t>
      </w:r>
      <w:r w:rsidR="00014030" w:rsidRPr="00B53691">
        <w:t xml:space="preserve"> </w:t>
      </w:r>
    </w:p>
    <w:p w14:paraId="270BDB25" w14:textId="77777777" w:rsidR="0062151B" w:rsidRDefault="0062151B" w:rsidP="0062151B">
      <w:r>
        <w:t>&lt;/p&gt;</w:t>
      </w:r>
    </w:p>
    <w:p w14:paraId="408725EE" w14:textId="3C203D95" w:rsidR="00573719" w:rsidRPr="00B53691" w:rsidRDefault="00573719" w:rsidP="00D8570C"/>
    <w:p w14:paraId="23CF9A3C" w14:textId="064C68A3" w:rsidR="00D8570C" w:rsidRPr="00B53691" w:rsidRDefault="0062151B" w:rsidP="00D8570C">
      <w:pPr>
        <w:rPr>
          <w:b/>
        </w:rPr>
      </w:pPr>
      <w:r>
        <w:rPr>
          <w:b/>
        </w:rPr>
        <w:t>&lt;h5&gt;</w:t>
      </w:r>
      <w:r w:rsidR="00573719" w:rsidRPr="00B53691">
        <w:rPr>
          <w:b/>
        </w:rPr>
        <w:t>T</w:t>
      </w:r>
      <w:r w:rsidR="00294162" w:rsidRPr="00B53691">
        <w:rPr>
          <w:b/>
        </w:rPr>
        <w:t xml:space="preserve">echnical Note: Pitfalls Of Common Portfolio Management Approaches And The Genesis Of “Adaptive </w:t>
      </w:r>
      <w:proofErr w:type="gramStart"/>
      <w:r w:rsidR="00294162" w:rsidRPr="00B53691">
        <w:rPr>
          <w:b/>
        </w:rPr>
        <w:t>Harvesting”</w:t>
      </w:r>
      <w:r>
        <w:rPr>
          <w:b/>
        </w:rPr>
        <w:t>&lt;</w:t>
      </w:r>
      <w:proofErr w:type="gramEnd"/>
      <w:r>
        <w:rPr>
          <w:b/>
        </w:rPr>
        <w:t>/h5&gt;</w:t>
      </w:r>
    </w:p>
    <w:p w14:paraId="38B40FC0" w14:textId="6EFB4B05" w:rsidR="009B2208" w:rsidRPr="00B53691" w:rsidRDefault="0062151B" w:rsidP="009B2208">
      <w:r>
        <w:t>&lt;p&gt;</w:t>
      </w:r>
      <w:r w:rsidR="009B2208" w:rsidRPr="00B53691">
        <w:t>Markowitz-style Portfolio Optimization (the foundation of Modern Portfolio Theory) and its variants underlie the strategies of most asset management funds</w:t>
      </w:r>
      <w:r w:rsidR="00294162" w:rsidRPr="00B53691">
        <w:t>,</w:t>
      </w:r>
      <w:r w:rsidR="009B2208" w:rsidRPr="00B53691">
        <w:t xml:space="preserve"> and for almost 70 years have permeated</w:t>
      </w:r>
      <w:r w:rsidR="00294162" w:rsidRPr="00B53691">
        <w:t xml:space="preserve"> (and been the bedrock of)</w:t>
      </w:r>
      <w:r w:rsidR="009B2208" w:rsidRPr="00B53691">
        <w:t xml:space="preserve"> the thinking of Finance professionals.</w:t>
      </w:r>
    </w:p>
    <w:p w14:paraId="64FE1D9A" w14:textId="77777777" w:rsidR="0062151B" w:rsidRDefault="0062151B" w:rsidP="0062151B">
      <w:r>
        <w:t>&lt;/p&gt;</w:t>
      </w:r>
    </w:p>
    <w:p w14:paraId="6ECD0B52" w14:textId="3BE75CAA" w:rsidR="009B2208" w:rsidRPr="00B53691" w:rsidRDefault="009B2208" w:rsidP="009B2208"/>
    <w:p w14:paraId="4B382912" w14:textId="583E3045" w:rsidR="009B2208" w:rsidRPr="00B53691" w:rsidRDefault="0062151B" w:rsidP="009B2208">
      <w:r>
        <w:t>&lt;p&gt;</w:t>
      </w:r>
      <w:r w:rsidR="009B2208" w:rsidRPr="00B53691">
        <w:t xml:space="preserve">Yet these </w:t>
      </w:r>
      <w:r w:rsidR="00F01685" w:rsidRPr="00B53691">
        <w:t>models</w:t>
      </w:r>
      <w:r w:rsidR="009B2208" w:rsidRPr="00B53691">
        <w:t xml:space="preserve"> are fraught with both theoretical and practical issues.</w:t>
      </w:r>
    </w:p>
    <w:p w14:paraId="4B4ABFD1" w14:textId="77777777" w:rsidR="0062151B" w:rsidRDefault="0062151B" w:rsidP="0062151B">
      <w:r>
        <w:t>&lt;/p&gt;</w:t>
      </w:r>
    </w:p>
    <w:p w14:paraId="448C811D" w14:textId="35DAAFF0" w:rsidR="009B2208" w:rsidRPr="00B53691" w:rsidRDefault="009B2208" w:rsidP="009B2208"/>
    <w:p w14:paraId="18A53D9E" w14:textId="5EAEE291" w:rsidR="009B2208" w:rsidRPr="00B53691" w:rsidRDefault="000662F0" w:rsidP="009B2208">
      <w:r>
        <w:t>&lt;p&gt;</w:t>
      </w:r>
      <w:r w:rsidR="009B2208" w:rsidRPr="00B53691">
        <w:t>As we do not wish to delve too deeply into theory</w:t>
      </w:r>
      <w:r w:rsidR="0087160C" w:rsidRPr="00B53691">
        <w:t xml:space="preserve"> here, </w:t>
      </w:r>
      <w:r w:rsidR="009B2208" w:rsidRPr="00B53691">
        <w:t>we provide at the end a few select references of interest for those who are more scientifically inclined. But in short, our critiques of Modern Portfolio Theory can be summed up by the following three comments:</w:t>
      </w:r>
    </w:p>
    <w:p w14:paraId="413268F9" w14:textId="77777777" w:rsidR="000662F0" w:rsidRDefault="000662F0" w:rsidP="000662F0">
      <w:r>
        <w:t>&lt;/p&gt;</w:t>
      </w:r>
    </w:p>
    <w:p w14:paraId="45F1E1A9" w14:textId="219C5D49" w:rsidR="000662F0" w:rsidRPr="00B53691" w:rsidRDefault="000662F0" w:rsidP="000662F0"/>
    <w:p w14:paraId="1639A4A0" w14:textId="6D899106" w:rsidR="009B2208" w:rsidRDefault="000662F0" w:rsidP="009B2208">
      <w:r>
        <w:t>&lt;</w:t>
      </w:r>
      <w:proofErr w:type="spellStart"/>
      <w:r>
        <w:t>ul</w:t>
      </w:r>
      <w:proofErr w:type="spellEnd"/>
      <w:r>
        <w:t>&gt;</w:t>
      </w:r>
    </w:p>
    <w:p w14:paraId="518D97E0" w14:textId="7824A0ED" w:rsidR="000662F0" w:rsidRDefault="000662F0" w:rsidP="009B2208">
      <w:r>
        <w:t>&lt;li&gt;</w:t>
      </w:r>
      <w:r w:rsidRPr="000662F0">
        <w:t xml:space="preserve"> </w:t>
      </w:r>
      <w:r w:rsidRPr="00B53691">
        <w:t>The parameters that go into the calculations are estimated from the past and may have little relevance to the future;</w:t>
      </w:r>
    </w:p>
    <w:p w14:paraId="759358FD" w14:textId="5F3D0E58" w:rsidR="000662F0" w:rsidRDefault="000662F0" w:rsidP="009B2208">
      <w:r>
        <w:t>&lt;/li&gt;</w:t>
      </w:r>
    </w:p>
    <w:p w14:paraId="1D14DBAF" w14:textId="6C43C995" w:rsidR="000662F0" w:rsidRDefault="000662F0" w:rsidP="000662F0">
      <w:r>
        <w:t>&lt;li&gt;</w:t>
      </w:r>
      <w:r w:rsidRPr="000662F0">
        <w:t xml:space="preserve"> </w:t>
      </w:r>
      <w:r w:rsidRPr="00B53691">
        <w:t>Complicated mathematical calculations and modeling give an illusion of precision and accuracy that is just not there;</w:t>
      </w:r>
    </w:p>
    <w:p w14:paraId="445C1EC2" w14:textId="7F9946F8" w:rsidR="000662F0" w:rsidRDefault="000662F0" w:rsidP="009B2208">
      <w:r>
        <w:t>&lt;/li&gt;</w:t>
      </w:r>
    </w:p>
    <w:p w14:paraId="061BC2F4" w14:textId="69885CFC" w:rsidR="000662F0" w:rsidRDefault="000662F0" w:rsidP="000662F0">
      <w:r>
        <w:t>&lt;li&gt;</w:t>
      </w:r>
      <w:r w:rsidRPr="000662F0">
        <w:t xml:space="preserve"> </w:t>
      </w:r>
      <w:r w:rsidRPr="00B53691">
        <w:t>The entire methodology is based on a fixed horizon which is the same for all securities (whereas our garden metaphor approach is much closer to reality).</w:t>
      </w:r>
    </w:p>
    <w:p w14:paraId="7212D14C" w14:textId="60B11243" w:rsidR="000662F0" w:rsidRDefault="000662F0" w:rsidP="000662F0">
      <w:r>
        <w:t>&lt;/li&gt;</w:t>
      </w:r>
    </w:p>
    <w:p w14:paraId="04166B7C" w14:textId="3DE85573" w:rsidR="000662F0" w:rsidRDefault="000662F0" w:rsidP="000662F0">
      <w:r>
        <w:t>&lt;/</w:t>
      </w:r>
      <w:proofErr w:type="spellStart"/>
      <w:r>
        <w:t>ul</w:t>
      </w:r>
      <w:proofErr w:type="spellEnd"/>
      <w:r>
        <w:t>&gt;</w:t>
      </w:r>
    </w:p>
    <w:p w14:paraId="1522F678" w14:textId="06B37DDC" w:rsidR="004F3D9E" w:rsidRPr="00B53691" w:rsidRDefault="004F3D9E" w:rsidP="000662F0"/>
    <w:p w14:paraId="1F3906AA" w14:textId="0CC0EF82" w:rsidR="000662F0" w:rsidRPr="00B53691" w:rsidRDefault="000662F0" w:rsidP="000662F0">
      <w:r>
        <w:t>&lt;p&gt;</w:t>
      </w:r>
      <w:r w:rsidRPr="000662F0">
        <w:t xml:space="preserve"> </w:t>
      </w:r>
      <w:r w:rsidRPr="00B53691">
        <w:t>The Adaptive Harvesting strategy, in contrast, is based on combining and refining well-accepted value and behavioral analysis ideas:</w:t>
      </w:r>
    </w:p>
    <w:p w14:paraId="69C17981" w14:textId="77777777" w:rsidR="000662F0" w:rsidRDefault="000662F0" w:rsidP="000662F0">
      <w:r>
        <w:t>&lt;/p&gt;</w:t>
      </w:r>
    </w:p>
    <w:p w14:paraId="3E5F2A39" w14:textId="2EF00736" w:rsidR="000662F0" w:rsidRDefault="000662F0" w:rsidP="000662F0"/>
    <w:p w14:paraId="1C320EA0" w14:textId="77777777" w:rsidR="000662F0" w:rsidRDefault="000662F0" w:rsidP="000662F0">
      <w:r>
        <w:t>&lt;</w:t>
      </w:r>
      <w:proofErr w:type="spellStart"/>
      <w:r>
        <w:t>ul</w:t>
      </w:r>
      <w:proofErr w:type="spellEnd"/>
      <w:r>
        <w:t>&gt;</w:t>
      </w:r>
    </w:p>
    <w:p w14:paraId="4767BE48" w14:textId="6229804D" w:rsidR="000662F0" w:rsidRDefault="000662F0" w:rsidP="000662F0">
      <w:r>
        <w:t>&lt;li&gt;</w:t>
      </w:r>
      <w:r w:rsidRPr="000662F0">
        <w:t xml:space="preserve"> </w:t>
      </w:r>
      <w:r w:rsidRPr="00B53691">
        <w:t>Qualitative analysis of company fundamentals can identify undervalued stocks – stocks that are poised for growth once investors recognize their true value;</w:t>
      </w:r>
    </w:p>
    <w:p w14:paraId="71FBA5CC" w14:textId="77777777" w:rsidR="000662F0" w:rsidRDefault="000662F0" w:rsidP="000662F0">
      <w:r>
        <w:t>&lt;/li&gt;</w:t>
      </w:r>
    </w:p>
    <w:p w14:paraId="5E14748D" w14:textId="06607235" w:rsidR="000662F0" w:rsidRDefault="000662F0" w:rsidP="000662F0">
      <w:r>
        <w:lastRenderedPageBreak/>
        <w:t>&lt;li&gt;</w:t>
      </w:r>
      <w:r w:rsidRPr="000662F0">
        <w:t xml:space="preserve"> </w:t>
      </w:r>
      <w:r w:rsidRPr="00B53691">
        <w:t>Behavioral analyses either looks for catalysts that might cause a change in market sentiment or tries to identify ongoing trends in support of the underlying thesis;</w:t>
      </w:r>
    </w:p>
    <w:p w14:paraId="51C81F5C" w14:textId="77777777" w:rsidR="000662F0" w:rsidRDefault="000662F0" w:rsidP="000662F0">
      <w:r>
        <w:t>&lt;/li&gt;</w:t>
      </w:r>
    </w:p>
    <w:p w14:paraId="0567F9F9" w14:textId="4B2DD5EA" w:rsidR="000662F0" w:rsidRDefault="000662F0" w:rsidP="000662F0">
      <w:r>
        <w:t>&lt;li&gt;</w:t>
      </w:r>
      <w:r w:rsidRPr="000662F0">
        <w:t xml:space="preserve"> </w:t>
      </w:r>
      <w:r w:rsidRPr="00B53691">
        <w:t>Without going into details, at the portfolio level the collection of single-stock bets is managed with a methodology more akin to an “à la Thorpe” style than to the mainstream Mean-Variance portfolio models.</w:t>
      </w:r>
    </w:p>
    <w:p w14:paraId="00ED6801" w14:textId="77777777" w:rsidR="000662F0" w:rsidRDefault="000662F0" w:rsidP="000662F0">
      <w:r>
        <w:t>&lt;/li&gt;</w:t>
      </w:r>
    </w:p>
    <w:p w14:paraId="2EBB97BA" w14:textId="503905D4" w:rsidR="000662F0" w:rsidRDefault="000662F0" w:rsidP="000662F0">
      <w:r>
        <w:t>&lt;/</w:t>
      </w:r>
      <w:proofErr w:type="spellStart"/>
      <w:r>
        <w:t>ul</w:t>
      </w:r>
      <w:proofErr w:type="spellEnd"/>
      <w:r>
        <w:t>&gt;</w:t>
      </w:r>
    </w:p>
    <w:p w14:paraId="36A16E35" w14:textId="4951757D" w:rsidR="000662F0" w:rsidRPr="00B53691" w:rsidRDefault="000662F0" w:rsidP="000662F0"/>
    <w:p w14:paraId="725BB8DA" w14:textId="3333CA8B" w:rsidR="002D4096" w:rsidRPr="00B53691" w:rsidRDefault="000662F0" w:rsidP="00D8570C">
      <w:r>
        <w:t>&lt;p&gt;</w:t>
      </w:r>
      <w:r w:rsidR="00877D1E" w:rsidRPr="00B53691">
        <w:rPr>
          <w:highlight w:val="yellow"/>
        </w:rPr>
        <w:t>W</w:t>
      </w:r>
      <w:r w:rsidR="003706FD" w:rsidRPr="00B53691">
        <w:rPr>
          <w:highlight w:val="yellow"/>
        </w:rPr>
        <w:t xml:space="preserve">e </w:t>
      </w:r>
      <w:r w:rsidR="002D4096" w:rsidRPr="00B53691">
        <w:rPr>
          <w:highlight w:val="yellow"/>
        </w:rPr>
        <w:t>welcome any thoughts or comments you may have.</w:t>
      </w:r>
    </w:p>
    <w:p w14:paraId="1CD5083B" w14:textId="680596CF" w:rsidR="00DC7E2F" w:rsidRDefault="000662F0" w:rsidP="00DC7E2F">
      <w:r>
        <w:t>&lt;/p&gt;</w:t>
      </w:r>
    </w:p>
    <w:p w14:paraId="3977613C" w14:textId="55151234" w:rsidR="000662F0" w:rsidRPr="00B53691" w:rsidRDefault="000662F0" w:rsidP="00DC7E2F"/>
    <w:p w14:paraId="672873C7" w14:textId="36E87BEF" w:rsidR="00877D1E" w:rsidRPr="00B53691" w:rsidRDefault="00877D1E" w:rsidP="00DC7E2F">
      <w:r w:rsidRPr="00B53691">
        <w:rPr>
          <w:highlight w:val="yellow"/>
        </w:rPr>
        <w:t>Shouldn’t there be a source specifically titled something like “The Shortcomings of Modern Portfolio Theory”?</w:t>
      </w:r>
    </w:p>
    <w:p w14:paraId="33A982B8" w14:textId="2A947517" w:rsidR="00DC7E2F" w:rsidRDefault="000662F0" w:rsidP="00DC7E2F">
      <w:pPr>
        <w:rPr>
          <w:b/>
        </w:rPr>
      </w:pPr>
      <w:r>
        <w:rPr>
          <w:b/>
        </w:rPr>
        <w:t>&lt;h5&gt;Selected Readings&lt;/h5&gt;</w:t>
      </w:r>
    </w:p>
    <w:p w14:paraId="1C5CBC43" w14:textId="33E8D120" w:rsidR="000662F0" w:rsidRPr="00C36162" w:rsidRDefault="000662F0" w:rsidP="00DC7E2F">
      <w:r w:rsidRPr="00C36162">
        <w:t>&lt;</w:t>
      </w:r>
      <w:proofErr w:type="spellStart"/>
      <w:r w:rsidRPr="00C36162">
        <w:t>ul</w:t>
      </w:r>
      <w:proofErr w:type="spellEnd"/>
      <w:r w:rsidRPr="00C36162">
        <w:t>&gt;</w:t>
      </w:r>
    </w:p>
    <w:p w14:paraId="0908AB08" w14:textId="58808A04" w:rsidR="00DC7E2F" w:rsidRDefault="000662F0" w:rsidP="00DC7E2F">
      <w:r>
        <w:t>&lt;li&gt;</w:t>
      </w:r>
      <w:r w:rsidR="00DC7E2F" w:rsidRPr="00B53691">
        <w:t xml:space="preserve">Chua, D.; </w:t>
      </w:r>
      <w:proofErr w:type="spellStart"/>
      <w:r w:rsidR="00DC7E2F" w:rsidRPr="00B53691">
        <w:t>Krizman</w:t>
      </w:r>
      <w:proofErr w:type="spellEnd"/>
      <w:r w:rsidR="00DC7E2F" w:rsidRPr="00B53691">
        <w:t>, M.; Page, S. (2009). "The Myth of Diversification". Journal of Portfolio Management. 36 (1): 26–35.</w:t>
      </w:r>
    </w:p>
    <w:p w14:paraId="563B99F0" w14:textId="7A35AB7D" w:rsidR="000662F0" w:rsidRDefault="000662F0" w:rsidP="00DC7E2F">
      <w:r>
        <w:t>&lt;/li&gt;</w:t>
      </w:r>
    </w:p>
    <w:p w14:paraId="54622443" w14:textId="4C16BA45" w:rsidR="000662F0" w:rsidRDefault="000662F0" w:rsidP="000662F0">
      <w:r>
        <w:t>&lt;li&gt;</w:t>
      </w:r>
      <w:r w:rsidRPr="000662F0">
        <w:t xml:space="preserve"> </w:t>
      </w:r>
      <w:r w:rsidRPr="00B53691">
        <w:t>Duke, A. (2018). “Thinking in Bets: Making Smarter Decisions When You Don't Have All the Facts”, ISBN-13: 978-0735216358.</w:t>
      </w:r>
    </w:p>
    <w:p w14:paraId="7800DE6E" w14:textId="1777E6E7" w:rsidR="000662F0" w:rsidRDefault="000662F0" w:rsidP="00DC7E2F">
      <w:r>
        <w:t>&lt;/li&gt;</w:t>
      </w:r>
    </w:p>
    <w:p w14:paraId="0754F786" w14:textId="2C7CB6A5" w:rsidR="000662F0" w:rsidRDefault="000662F0" w:rsidP="000662F0">
      <w:r>
        <w:t>&lt;li&gt;</w:t>
      </w:r>
      <w:r w:rsidRPr="000662F0">
        <w:t xml:space="preserve"> </w:t>
      </w:r>
      <w:r w:rsidRPr="00B53691">
        <w:t xml:space="preserve">Humphrey, J.; Benson, K.; Low, R.K.Y.; Lee, W.L. (2015). "Is diversification always optimal?". Pacific Basin Finance Journal. 35 (B): B. </w:t>
      </w:r>
      <w:proofErr w:type="gramStart"/>
      <w:r w:rsidRPr="00B53691">
        <w:t>doi:10.1016/j.pacfin</w:t>
      </w:r>
      <w:proofErr w:type="gramEnd"/>
      <w:r w:rsidRPr="00B53691">
        <w:t>.2015.09.003.</w:t>
      </w:r>
    </w:p>
    <w:p w14:paraId="1205E5FE" w14:textId="6DE1EBFB" w:rsidR="000662F0" w:rsidRDefault="000662F0" w:rsidP="00DC7E2F">
      <w:r>
        <w:t>&lt;/li&gt;</w:t>
      </w:r>
    </w:p>
    <w:p w14:paraId="3868801A" w14:textId="20C297FE" w:rsidR="000662F0" w:rsidRDefault="000662F0" w:rsidP="000662F0">
      <w:r>
        <w:t>&lt;li&gt;</w:t>
      </w:r>
      <w:r w:rsidRPr="000662F0">
        <w:t xml:space="preserve"> </w:t>
      </w:r>
      <w:r w:rsidRPr="00B53691">
        <w:t>MacLean, L.C.; Thorp, E.O.; Ziemba, W.T. (2011). “The Kelly Capital Growth Investment Criterion: Theory and Practice (World Scientific Handbook in Financial Economics Series 3)”, ISBN-13: 978-9814383134.</w:t>
      </w:r>
    </w:p>
    <w:p w14:paraId="0E539ADB" w14:textId="0F26E1A4" w:rsidR="000662F0" w:rsidRDefault="000662F0" w:rsidP="00DC7E2F">
      <w:r>
        <w:t>&lt;/li&gt;</w:t>
      </w:r>
    </w:p>
    <w:p w14:paraId="1527E7B2" w14:textId="28CB3EA1" w:rsidR="000662F0" w:rsidRDefault="000662F0" w:rsidP="000662F0">
      <w:r>
        <w:t>&lt;li&gt;</w:t>
      </w:r>
      <w:r w:rsidRPr="000662F0">
        <w:t xml:space="preserve"> </w:t>
      </w:r>
      <w:r w:rsidRPr="00B53691">
        <w:t>Markowitz, H.M. (1952). "Portfolio Selection". The Journal of Finance. 7 (1): 77–91. doi:10.2307/2975974. JSTOR 2975974.</w:t>
      </w:r>
    </w:p>
    <w:p w14:paraId="36F06404" w14:textId="03D77CEE" w:rsidR="000662F0" w:rsidRDefault="000662F0" w:rsidP="000662F0">
      <w:r>
        <w:t>&lt;/li&gt;</w:t>
      </w:r>
    </w:p>
    <w:p w14:paraId="4ABF91AA" w14:textId="725212E2" w:rsidR="00C36162" w:rsidRDefault="00C36162" w:rsidP="00C36162">
      <w:r>
        <w:t>&lt;li&gt;</w:t>
      </w:r>
      <w:r w:rsidRPr="000662F0">
        <w:t xml:space="preserve"> </w:t>
      </w:r>
      <w:r w:rsidRPr="00B53691">
        <w:t>Markowitz, H.M. (1959). Portfolio Selection: Efficient Diversification of Investments. New York: John Wiley &amp; Sons. (reprinted by Yale University Press, 1970.</w:t>
      </w:r>
    </w:p>
    <w:p w14:paraId="7CE07A45" w14:textId="49DB766C" w:rsidR="00C36162" w:rsidRDefault="00C36162" w:rsidP="000662F0">
      <w:r>
        <w:t>&lt;/li&gt;</w:t>
      </w:r>
    </w:p>
    <w:p w14:paraId="5F1F41DF" w14:textId="035AFA7C" w:rsidR="00C36162" w:rsidRDefault="00C36162" w:rsidP="00C36162">
      <w:r>
        <w:t>&lt;li&gt;</w:t>
      </w:r>
      <w:r w:rsidRPr="000662F0">
        <w:t xml:space="preserve"> </w:t>
      </w:r>
      <w:proofErr w:type="spellStart"/>
      <w:r w:rsidRPr="00B53691">
        <w:t>Poundstone</w:t>
      </w:r>
      <w:proofErr w:type="spellEnd"/>
      <w:r w:rsidRPr="00B53691">
        <w:t>, W. (2006). "Fortune’s Formula: The Untold Story of the Scientific Betting System that Beat the Casinos and Wall Street”, ISBN-13: 978-0809045990.</w:t>
      </w:r>
    </w:p>
    <w:p w14:paraId="3921C214" w14:textId="5B98663B" w:rsidR="00C36162" w:rsidRDefault="00C36162" w:rsidP="000662F0">
      <w:r>
        <w:t>&lt;/li&gt;</w:t>
      </w:r>
    </w:p>
    <w:p w14:paraId="67B585DF" w14:textId="591D7EDA" w:rsidR="00C36162" w:rsidRDefault="00C36162" w:rsidP="00C36162">
      <w:r>
        <w:t>&lt;li&gt;</w:t>
      </w:r>
      <w:r w:rsidRPr="000662F0">
        <w:t xml:space="preserve"> </w:t>
      </w:r>
      <w:proofErr w:type="spellStart"/>
      <w:r w:rsidRPr="00B53691">
        <w:t>Taleb</w:t>
      </w:r>
      <w:proofErr w:type="spellEnd"/>
      <w:r w:rsidRPr="00B53691">
        <w:t>, N. (2005). “Fooled by Randomness: The Hidden Role of Chance in Life and in the Markets (</w:t>
      </w:r>
      <w:proofErr w:type="spellStart"/>
      <w:r w:rsidRPr="00B53691">
        <w:t>Incerto</w:t>
      </w:r>
      <w:proofErr w:type="spellEnd"/>
      <w:r w:rsidRPr="00B53691">
        <w:t>)”, ISBN-13: 978-1587991905.</w:t>
      </w:r>
    </w:p>
    <w:p w14:paraId="39DD9C98" w14:textId="0C667463" w:rsidR="00C36162" w:rsidRDefault="00C36162" w:rsidP="00C36162">
      <w:r>
        <w:t>&lt;/li&gt;</w:t>
      </w:r>
    </w:p>
    <w:p w14:paraId="744AB396" w14:textId="6AAD01B6" w:rsidR="00C36162" w:rsidRDefault="00C36162" w:rsidP="00C36162">
      <w:r>
        <w:t>&lt;li&gt;</w:t>
      </w:r>
      <w:r w:rsidRPr="000662F0">
        <w:t xml:space="preserve"> </w:t>
      </w:r>
      <w:r w:rsidRPr="00B53691">
        <w:t>Thorpe, E.O. (2018). “A Man for All Markets: From Las Vegas to Wall Street, How I Beat the Dealer and the Market”, ISBN-13: 978-0812979909.</w:t>
      </w:r>
    </w:p>
    <w:p w14:paraId="518B9E74" w14:textId="0B71BA56" w:rsidR="00C36162" w:rsidRDefault="00C36162" w:rsidP="00C36162">
      <w:r>
        <w:t>&lt;/li&gt;</w:t>
      </w:r>
    </w:p>
    <w:p w14:paraId="613D8717" w14:textId="2D5E0850" w:rsidR="00C36162" w:rsidRDefault="00C36162" w:rsidP="00C36162">
      <w:r>
        <w:lastRenderedPageBreak/>
        <w:t>&lt;li&gt;</w:t>
      </w:r>
      <w:r w:rsidRPr="000662F0">
        <w:t xml:space="preserve"> </w:t>
      </w:r>
      <w:r w:rsidRPr="00B53691">
        <w:t>Wong, C.X. (2011). “Precision: Statistical and Mathematical Methods in Horse Racing”, ISBN-13: 978-1432768522.</w:t>
      </w:r>
    </w:p>
    <w:p w14:paraId="24B37F50" w14:textId="76A5BFE9" w:rsidR="000662F0" w:rsidRDefault="00C36162" w:rsidP="00DC7E2F">
      <w:r>
        <w:t>&lt;/li&gt;</w:t>
      </w:r>
    </w:p>
    <w:p w14:paraId="4FC051BE" w14:textId="2973D168" w:rsidR="00C36162" w:rsidRPr="00B53691" w:rsidRDefault="00C36162" w:rsidP="00DC7E2F">
      <w:r>
        <w:t>&lt;/</w:t>
      </w:r>
      <w:proofErr w:type="spellStart"/>
      <w:r>
        <w:t>ul</w:t>
      </w:r>
      <w:proofErr w:type="spellEnd"/>
      <w:r>
        <w:t>&gt;</w:t>
      </w:r>
    </w:p>
    <w:sectPr w:rsidR="00C36162" w:rsidRPr="00B53691" w:rsidSect="007E4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B20CD"/>
    <w:multiLevelType w:val="hybridMultilevel"/>
    <w:tmpl w:val="1A0EF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735B4"/>
    <w:multiLevelType w:val="hybridMultilevel"/>
    <w:tmpl w:val="0400E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E1D31"/>
    <w:multiLevelType w:val="hybridMultilevel"/>
    <w:tmpl w:val="0A6E9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95500"/>
    <w:multiLevelType w:val="hybridMultilevel"/>
    <w:tmpl w:val="72DE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379FD"/>
    <w:multiLevelType w:val="hybridMultilevel"/>
    <w:tmpl w:val="6D863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D5304"/>
    <w:multiLevelType w:val="hybridMultilevel"/>
    <w:tmpl w:val="0B6A3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4B3"/>
    <w:rsid w:val="00005333"/>
    <w:rsid w:val="00014030"/>
    <w:rsid w:val="00024BB1"/>
    <w:rsid w:val="00037ED0"/>
    <w:rsid w:val="000662F0"/>
    <w:rsid w:val="00087998"/>
    <w:rsid w:val="000B16B5"/>
    <w:rsid w:val="000C0607"/>
    <w:rsid w:val="000D459A"/>
    <w:rsid w:val="000E682B"/>
    <w:rsid w:val="00103698"/>
    <w:rsid w:val="00125F4E"/>
    <w:rsid w:val="00143249"/>
    <w:rsid w:val="0018333A"/>
    <w:rsid w:val="00191E31"/>
    <w:rsid w:val="001F1ABF"/>
    <w:rsid w:val="00201E9F"/>
    <w:rsid w:val="00225987"/>
    <w:rsid w:val="002921DA"/>
    <w:rsid w:val="00294162"/>
    <w:rsid w:val="002B1082"/>
    <w:rsid w:val="002C2E8D"/>
    <w:rsid w:val="002D3AC0"/>
    <w:rsid w:val="002D4096"/>
    <w:rsid w:val="003706FD"/>
    <w:rsid w:val="00375CAF"/>
    <w:rsid w:val="003838A0"/>
    <w:rsid w:val="00394832"/>
    <w:rsid w:val="003C2D9D"/>
    <w:rsid w:val="003C4B10"/>
    <w:rsid w:val="003D2271"/>
    <w:rsid w:val="003E1B49"/>
    <w:rsid w:val="004279E4"/>
    <w:rsid w:val="004524CC"/>
    <w:rsid w:val="00457455"/>
    <w:rsid w:val="00461F7D"/>
    <w:rsid w:val="004C00D9"/>
    <w:rsid w:val="004F3D9E"/>
    <w:rsid w:val="00513020"/>
    <w:rsid w:val="00573719"/>
    <w:rsid w:val="005761E6"/>
    <w:rsid w:val="005B2098"/>
    <w:rsid w:val="005B6B6C"/>
    <w:rsid w:val="0060407A"/>
    <w:rsid w:val="0062151B"/>
    <w:rsid w:val="00664F7B"/>
    <w:rsid w:val="00667F19"/>
    <w:rsid w:val="006722BF"/>
    <w:rsid w:val="00695CA9"/>
    <w:rsid w:val="006D5CB1"/>
    <w:rsid w:val="007B1E20"/>
    <w:rsid w:val="007C6034"/>
    <w:rsid w:val="007E41A3"/>
    <w:rsid w:val="008336F2"/>
    <w:rsid w:val="0087160C"/>
    <w:rsid w:val="00877D1E"/>
    <w:rsid w:val="008D1BAE"/>
    <w:rsid w:val="008E36E2"/>
    <w:rsid w:val="008E3E9D"/>
    <w:rsid w:val="009426C3"/>
    <w:rsid w:val="0096783B"/>
    <w:rsid w:val="00983EA5"/>
    <w:rsid w:val="009A03ED"/>
    <w:rsid w:val="009A7215"/>
    <w:rsid w:val="009B2208"/>
    <w:rsid w:val="009D128D"/>
    <w:rsid w:val="00A2185D"/>
    <w:rsid w:val="00A27C3F"/>
    <w:rsid w:val="00A4609A"/>
    <w:rsid w:val="00A71F6F"/>
    <w:rsid w:val="00A80380"/>
    <w:rsid w:val="00AA7F87"/>
    <w:rsid w:val="00AD14B3"/>
    <w:rsid w:val="00AD701A"/>
    <w:rsid w:val="00AE631C"/>
    <w:rsid w:val="00B24C87"/>
    <w:rsid w:val="00B27841"/>
    <w:rsid w:val="00B44879"/>
    <w:rsid w:val="00B52DA7"/>
    <w:rsid w:val="00B53691"/>
    <w:rsid w:val="00BA016B"/>
    <w:rsid w:val="00BF66EA"/>
    <w:rsid w:val="00BF6C9E"/>
    <w:rsid w:val="00C11FE9"/>
    <w:rsid w:val="00C26954"/>
    <w:rsid w:val="00C36162"/>
    <w:rsid w:val="00C4291E"/>
    <w:rsid w:val="00CF7E18"/>
    <w:rsid w:val="00D8570C"/>
    <w:rsid w:val="00DC7E2F"/>
    <w:rsid w:val="00E36855"/>
    <w:rsid w:val="00E541FC"/>
    <w:rsid w:val="00E93618"/>
    <w:rsid w:val="00EB7818"/>
    <w:rsid w:val="00F01685"/>
    <w:rsid w:val="00F473B7"/>
    <w:rsid w:val="00F656EB"/>
    <w:rsid w:val="00F75A25"/>
    <w:rsid w:val="00F95576"/>
    <w:rsid w:val="00FD09BD"/>
    <w:rsid w:val="00FD4071"/>
    <w:rsid w:val="00FE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13E23D"/>
  <w15:docId w15:val="{2752CC58-EBFE-5642-8645-8708DE9E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E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7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2E8D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A7F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7F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0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1312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2019-02-21T20:37:00Z</dcterms:created>
  <dcterms:modified xsi:type="dcterms:W3CDTF">2021-03-01T21:48:00Z</dcterms:modified>
</cp:coreProperties>
</file>