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4.png" ContentType="image/png"/>
  <Override PartName="/word/media/rId35.png" ContentType="image/png"/>
  <Override PartName="/word/media/rId4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Power</w:t>
      </w:r>
      <w:r>
        <w:t xml:space="preserve"> </w:t>
      </w:r>
      <w:r>
        <w:t xml:space="preserve">outages</w:t>
      </w:r>
      <w:r>
        <w:t xml:space="preserve"> </w:t>
      </w:r>
      <w:r>
        <w:t xml:space="preserve">cause</w:t>
      </w:r>
      <w:r>
        <w:t xml:space="preserve"> </w:t>
      </w:r>
      <w:r>
        <w:t xml:space="preserve">homicides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storage</w:t>
      </w:r>
      <w:r>
        <w:t xml:space="preserve"> </w:t>
      </w:r>
      <w:r>
        <w:t xml:space="preserve">protects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vulnerable</w:t>
      </w:r>
      <w:r>
        <w:t xml:space="preserve"> </w:t>
      </w:r>
      <w:r>
        <w:t xml:space="preserve">populations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Power outages have been shown to cause excess deaths from respiratory</w:t>
      </w:r>
      <w:r>
        <w:t xml:space="preserve"> </w:t>
      </w:r>
      <w:r>
        <w:t xml:space="preserve">illness, cardiovascular disease, and unattended home care.</w:t>
      </w:r>
      <w:r>
        <w:t xml:space="preserve"> </w:t>
      </w:r>
      <w:r>
        <w:t xml:space="preserve">Whether they also cause homicides — a violence-of-opportunity</w:t>
      </w:r>
      <w:r>
        <w:t xml:space="preserve"> </w:t>
      </w:r>
      <w:r>
        <w:t xml:space="preserve">outcome — has not been directly tested. Using a tract-year panel of</w:t>
      </w:r>
      <w:r>
        <w:t xml:space="preserve"> </w:t>
      </w:r>
      <w:r>
        <w:t xml:space="preserve">72,760 US census tracts spanning three waves (2014, 2018, 2022) and</w:t>
      </w:r>
      <w:r>
        <w:t xml:space="preserve"> </w:t>
      </w:r>
      <w:r>
        <w:t xml:space="preserve">41 FEMA-declared disasters, we estimate a fixed-effects</w:t>
      </w:r>
      <w:r>
        <w:t xml:space="preserve"> </w:t>
      </w:r>
      <w:r>
        <w:t xml:space="preserve">difference-in-differences model of homicide rates on post-event</w:t>
      </w:r>
      <w:r>
        <w:t xml:space="preserve"> </w:t>
      </w:r>
      <w:r>
        <w:t xml:space="preserve">outage exposure. The average outage-exposed tract-year sees an</w:t>
      </w:r>
      <w:r>
        <w:t xml:space="preserve"> </w:t>
      </w:r>
      <w:r>
        <w:t xml:space="preserve">excess of</w:t>
      </w:r>
      <w:r>
        <w:t xml:space="preserve"> </w:t>
      </w:r>
      <w:r>
        <w:rPr>
          <w:bCs/>
          <w:b/>
        </w:rPr>
        <w:t xml:space="preserve">0.24 homicides per 100,000 residents</w:t>
      </w:r>
      <w:r>
        <w:t xml:space="preserve"> </w:t>
      </w:r>
      <w:r>
        <w:t xml:space="preserve">(p = 0.002),</w:t>
      </w:r>
      <w:r>
        <w:t xml:space="preserve"> </w:t>
      </w:r>
      <w:r>
        <w:t xml:space="preserve">concentrated in populations amplified along two pathways:</w:t>
      </w:r>
      <w:r>
        <w:t xml:space="preserve"> </w:t>
      </w:r>
      <w:r>
        <w:t xml:space="preserve">extreme-heat exposure (β = +2.06/100k per SD) and pre-existing</w:t>
      </w:r>
      <w:r>
        <w:t xml:space="preserve"> </w:t>
      </w:r>
      <w:r>
        <w:t xml:space="preserve">energy burden (β = +1.51/100k per SD firearm-homicide). The</w:t>
      </w:r>
      <w:r>
        <w:t xml:space="preserve"> </w:t>
      </w:r>
      <w:r>
        <w:t xml:space="preserve">mechanism is disaster-event-driven, not chronic-outage-driven —</w:t>
      </w:r>
      <w:r>
        <w:t xml:space="preserve"> </w:t>
      </w:r>
      <w:r>
        <w:t xml:space="preserve">FEMA event exposure and chronic EAGLE-I customer-days are</w:t>
      </w:r>
      <w:r>
        <w:t xml:space="preserve"> </w:t>
      </w:r>
      <w:r>
        <w:t xml:space="preserve">uncorrelated (ρ = −0.06), and only the disaster arm drives the</w:t>
      </w:r>
      <w:r>
        <w:t xml:space="preserve"> </w:t>
      </w:r>
      <w:r>
        <w:t xml:space="preserve">effect. We then sweep 47 distributed-energy-resource, grid, and</w:t>
      </w:r>
      <w:r>
        <w:t xml:space="preserve"> </w:t>
      </w:r>
      <w:r>
        <w:t xml:space="preserve">building-technology moderators for protective interactions.</w:t>
      </w:r>
      <w:r>
        <w:t xml:space="preserve"> </w:t>
      </w:r>
      <w:r>
        <w:rPr>
          <w:bCs/>
          <w:b/>
        </w:rPr>
        <w:t xml:space="preserve">Capacity-weighted utility-scale battery storage (BESS) is the</w:t>
      </w:r>
      <w:r>
        <w:rPr>
          <w:bCs/>
          <w:b/>
        </w:rPr>
        <w:t xml:space="preserve"> </w:t>
      </w:r>
      <w:r>
        <w:rPr>
          <w:bCs/>
          <w:b/>
        </w:rPr>
        <w:t xml:space="preserve">strongest single heat-pathway breaker</w:t>
      </w:r>
      <w:r>
        <w:t xml:space="preserve"> </w:t>
      </w:r>
      <w:r>
        <w:t xml:space="preserve">(β = −11.9/100k per SD</w:t>
      </w:r>
      <w:r>
        <w:t xml:space="preserve"> </w:t>
      </w:r>
      <w:r>
        <w:t xml:space="preserve">plant-count triple interaction, q = 9e-139);</w:t>
      </w:r>
      <w:r>
        <w:t xml:space="preserve"> </w:t>
      </w:r>
      <w:r>
        <w:rPr>
          <w:bCs/>
          <w:b/>
        </w:rPr>
        <w:t xml:space="preserve">California SGIP</w:t>
      </w:r>
      <w:r>
        <w:rPr>
          <w:bCs/>
          <w:b/>
        </w:rPr>
        <w:t xml:space="preserve"> </w:t>
      </w:r>
      <w:r>
        <w:rPr>
          <w:bCs/>
          <w:b/>
        </w:rPr>
        <w:t xml:space="preserve">residential storage is the strongest burden-pathway breaker</w:t>
      </w:r>
      <w:r>
        <w:t xml:space="preserve"> </w:t>
      </w:r>
      <w:r>
        <w:t xml:space="preserve">(β =</w:t>
      </w:r>
      <w:r>
        <w:t xml:space="preserve"> </w:t>
      </w:r>
      <w:r>
        <w:t xml:space="preserve">−2.83/100k per SD, q = 5e-22, ~10× the LBNL national residential</w:t>
      </w:r>
      <w:r>
        <w:t xml:space="preserve"> </w:t>
      </w:r>
      <w:r>
        <w:t xml:space="preserve">effect); and</w:t>
      </w:r>
      <w:r>
        <w:t xml:space="preserve"> </w:t>
      </w:r>
      <w:r>
        <w:rPr>
          <w:bCs/>
          <w:b/>
        </w:rPr>
        <w:t xml:space="preserve">CDC’s Heat &amp; Health Index (HHI) heat-burden rank</w:t>
      </w:r>
      <w:r>
        <w:rPr>
          <w:bCs/>
          <w:b/>
        </w:rPr>
        <w:t xml:space="preserve"> </w:t>
      </w:r>
      <w:r>
        <w:rPr>
          <w:bCs/>
          <w:b/>
        </w:rPr>
        <w:t xml:space="preserve">predicts intervention effectiveness</w:t>
      </w:r>
      <w:r>
        <w:t xml:space="preserve"> </w:t>
      </w:r>
      <w:r>
        <w:t xml:space="preserve">(heat-pathway triple β =</w:t>
      </w:r>
      <w:r>
        <w:t xml:space="preserve"> </w:t>
      </w:r>
      <w:r>
        <w:t xml:space="preserve">−4.51/100k per SD, q = 4e-40). A super-linear interaction between</w:t>
      </w:r>
      <w:r>
        <w:t xml:space="preserve"> </w:t>
      </w:r>
      <w:r>
        <w:t xml:space="preserve">CDC HHI heat-burden rank, SGIP residential storage, and heat</w:t>
      </w:r>
      <w:r>
        <w:t xml:space="preserve"> </w:t>
      </w:r>
      <w:r>
        <w:t xml:space="preserve">exposure (β = −9.94/100k per SD 3-way, p = 4e-292) confirms that</w:t>
      </w:r>
      <w:r>
        <w:t xml:space="preserve"> </w:t>
      </w:r>
      <w:r>
        <w:t xml:space="preserve">existing programs are correctly geographically targeted — the</w:t>
      </w:r>
      <w:r>
        <w:t xml:space="preserve"> </w:t>
      </w:r>
      <w:r>
        <w:t xml:space="preserve">counties where CDC’s HHI flags heat vulnerability are exactly the</w:t>
      </w:r>
      <w:r>
        <w:t xml:space="preserve"> </w:t>
      </w:r>
      <w:r>
        <w:t xml:space="preserve">counties where SGIP protection concentrates.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Extreme-weather-driven grid failures are now a defining feature of</w:t>
      </w:r>
      <w:r>
        <w:t xml:space="preserve"> </w:t>
      </w:r>
      <w:r>
        <w:t xml:space="preserve">US mortality risk. Hurricane Maria (2017), Winter Storm Uri (2021),</w:t>
      </w:r>
      <w:r>
        <w:t xml:space="preserve"> </w:t>
      </w:r>
      <w:r>
        <w:t xml:space="preserve">and Hurricane Ida (2021) each produced multi-day outages that</w:t>
      </w:r>
      <w:r>
        <w:t xml:space="preserve"> </w:t>
      </w:r>
      <w:r>
        <w:t xml:space="preserve">correlate with excess deaths orders of magnitude beyond the</w:t>
      </w:r>
      <w:r>
        <w:t xml:space="preserve"> </w:t>
      </w:r>
      <w:r>
        <w:t xml:space="preserve">disaster’s direct impacts. The literature has established that</w:t>
      </w:r>
      <w:r>
        <w:t xml:space="preserve"> </w:t>
      </w:r>
      <w:r>
        <w:t xml:space="preserve">outages elevate mortality via respiratory and cardiovascular</w:t>
      </w:r>
      <w:r>
        <w:t xml:space="preserve"> </w:t>
      </w:r>
      <w:r>
        <w:t xml:space="preserve">pathways, delayed care, and unattended home medical equipment. But</w:t>
      </w:r>
      <w:r>
        <w:t xml:space="preserve"> </w:t>
      </w:r>
      <w:r>
        <w:t xml:space="preserve">outage-triggered</w:t>
      </w:r>
      <w:r>
        <w:t xml:space="preserve"> </w:t>
      </w:r>
      <w:r>
        <w:rPr>
          <w:iCs/>
          <w:i/>
        </w:rPr>
        <w:t xml:space="preserve">violence</w:t>
      </w:r>
      <w:r>
        <w:t xml:space="preserve"> </w:t>
      </w:r>
      <w:r>
        <w:t xml:space="preserve">— specifically homicide — has not been</w:t>
      </w:r>
      <w:r>
        <w:t xml:space="preserve"> </w:t>
      </w:r>
      <w:r>
        <w:t xml:space="preserve">tested directly in the US population.</w:t>
      </w:r>
    </w:p>
    <w:p>
      <w:pPr>
        <w:pStyle w:val="BodyText"/>
      </w:pPr>
      <w:r>
        <w:t xml:space="preserve">Three mechanisms make outage-driven homicide biologically and</w:t>
      </w:r>
      <w:r>
        <w:t xml:space="preserve"> </w:t>
      </w:r>
      <w:r>
        <w:t xml:space="preserve">socially plausible. First, extreme-heat stress reduces</w:t>
      </w:r>
      <w:r>
        <w:t xml:space="preserve"> </w:t>
      </w:r>
      <w:r>
        <w:t xml:space="preserve">self-regulation and increases aggression; when outages coincide with</w:t>
      </w:r>
      <w:r>
        <w:t xml:space="preserve"> </w:t>
      </w:r>
      <w:r>
        <w:t xml:space="preserve">heat waves (as in Uri, Ida, and PSPS events), the two shocks</w:t>
      </w:r>
      <w:r>
        <w:t xml:space="preserve"> </w:t>
      </w:r>
      <w:r>
        <w:t xml:space="preserve">compound. Second, sustained outages produce a</w:t>
      </w:r>
      <w:r>
        <w:t xml:space="preserve"> </w:t>
      </w:r>
      <w:r>
        <w:t xml:space="preserve">“</w:t>
      </w:r>
      <w:r>
        <w:t xml:space="preserve">law-enforcement</w:t>
      </w:r>
      <w:r>
        <w:t xml:space="preserve"> </w:t>
      </w:r>
      <w:r>
        <w:t xml:space="preserve">vacuum</w:t>
      </w:r>
      <w:r>
        <w:t xml:space="preserve">”</w:t>
      </w:r>
      <w:r>
        <w:t xml:space="preserve"> </w:t>
      </w:r>
      <w:r>
        <w:t xml:space="preserve">during which routine surveillance, security cameras, and</w:t>
      </w:r>
      <w:r>
        <w:t xml:space="preserve"> </w:t>
      </w:r>
      <w:r>
        <w:t xml:space="preserve">911-dispatch systems degrade. Third, home displacement during</w:t>
      </w:r>
      <w:r>
        <w:t xml:space="preserve"> </w:t>
      </w:r>
      <w:r>
        <w:t xml:space="preserve">prolonged outages concentrates strangers in shelters and public</w:t>
      </w:r>
      <w:r>
        <w:t xml:space="preserve"> </w:t>
      </w:r>
      <w:r>
        <w:t xml:space="preserve">spaces, increasing conflict-opportunity encounters. Combined, these</w:t>
      </w:r>
      <w:r>
        <w:t xml:space="preserve"> </w:t>
      </w:r>
      <w:r>
        <w:t xml:space="preserve">mechanisms predict a specifically outage-conditional excess.</w:t>
      </w:r>
    </w:p>
    <w:p>
      <w:pPr>
        <w:pStyle w:val="BodyText"/>
      </w:pPr>
      <w:r>
        <w:t xml:space="preserve">This paper tests that prediction directly, then asks the policy-</w:t>
      </w:r>
      <w:r>
        <w:t xml:space="preserve"> </w:t>
      </w:r>
      <w:r>
        <w:t xml:space="preserve">adjacent question:</w:t>
      </w:r>
      <w:r>
        <w:t xml:space="preserve"> </w:t>
      </w:r>
      <w:r>
        <w:rPr>
          <w:bCs/>
          <w:b/>
        </w:rPr>
        <w:t xml:space="preserve">which existing DER, grid, and building-</w:t>
      </w:r>
      <w:r>
        <w:rPr>
          <w:bCs/>
          <w:b/>
        </w:rPr>
        <w:t xml:space="preserve"> </w:t>
      </w:r>
      <w:r>
        <w:rPr>
          <w:bCs/>
          <w:b/>
        </w:rPr>
        <w:t xml:space="preserve">technology interventions dampen the outage-homicide pathway?</w:t>
      </w:r>
      <w:r>
        <w:t xml:space="preserve"> </w:t>
      </w:r>
      <w:r>
        <w:t xml:space="preserve">We</w:t>
      </w:r>
      <w:r>
        <w:t xml:space="preserve"> </w:t>
      </w:r>
      <w:r>
        <w:t xml:space="preserve">find that the answer is not uniform across intervention families —</w:t>
      </w:r>
      <w:r>
        <w:t xml:space="preserve"> </w:t>
      </w:r>
      <w:r>
        <w:t xml:space="preserve">utility-scale storage breaks the heat pathway, California</w:t>
      </w:r>
      <w:r>
        <w:t xml:space="preserve"> </w:t>
      </w:r>
      <w:r>
        <w:t xml:space="preserve">residential storage breaks the burden pathway, and CDC’s own Heat</w:t>
      </w:r>
      <w:r>
        <w:t xml:space="preserve"> </w:t>
      </w:r>
      <w:r>
        <w:t xml:space="preserve">&amp; Health Index reliably flags where either intervention will land.</w:t>
      </w:r>
    </w:p>
    <w:bookmarkEnd w:id="21"/>
    <w:bookmarkStart w:id="26" w:name="data"/>
    <w:p>
      <w:pPr>
        <w:pStyle w:val="Heading1"/>
      </w:pPr>
      <w:r>
        <w:t xml:space="preserve">Data</w:t>
      </w:r>
    </w:p>
    <w:bookmarkStart w:id="22" w:name="homicide-outcomes-cdc-wonder"/>
    <w:p>
      <w:pPr>
        <w:pStyle w:val="Heading2"/>
      </w:pPr>
      <w:r>
        <w:t xml:space="preserve">Homicide outcomes (CDC WONDER)</w:t>
      </w:r>
    </w:p>
    <w:p>
      <w:pPr>
        <w:pStyle w:val="FirstParagraph"/>
      </w:pPr>
      <w:r>
        <w:t xml:space="preserve">We scrape CDC WONDER Multiple Cause of Death for ICD-10 codes X85–Y09</w:t>
      </w:r>
      <w:r>
        <w:t xml:space="preserve"> </w:t>
      </w:r>
      <w:r>
        <w:t xml:space="preserve">(homicide, all means) and its subsets X93–X95 (firearm), X99</w:t>
      </w:r>
      <w:r>
        <w:t xml:space="preserve"> </w:t>
      </w:r>
      <w:r>
        <w:t xml:space="preserve">(cutting/sharp), Y00 (blunt), X91 (strangulation), Y04 (bodily</w:t>
      </w:r>
      <w:r>
        <w:t xml:space="preserve"> </w:t>
      </w:r>
      <w:r>
        <w:t xml:space="preserve">force) at the county-year level for 2018–2023 across all 51 US</w:t>
      </w:r>
      <w:r>
        <w:t xml:space="preserve"> </w:t>
      </w:r>
      <w:r>
        <w:t xml:space="preserve">states + DC. WONDER’s n &lt; 10 suppression rule limits sub-cause</w:t>
      </w:r>
      <w:r>
        <w:t xml:space="preserve"> </w:t>
      </w:r>
      <w:r>
        <w:t xml:space="preserve">decomposition (§17); the pooled outcome remains fittable across the</w:t>
      </w:r>
      <w:r>
        <w:t xml:space="preserve"> </w:t>
      </w:r>
      <w:r>
        <w:t xml:space="preserve">full panel.</w:t>
      </w:r>
    </w:p>
    <w:bookmarkEnd w:id="22"/>
    <w:bookmarkStart w:id="23" w:name="power-outages-eagle-i-fema"/>
    <w:p>
      <w:pPr>
        <w:pStyle w:val="Heading2"/>
      </w:pPr>
      <w:r>
        <w:t xml:space="preserve">Power outages (EAGLE-I + FEMA)</w:t>
      </w:r>
    </w:p>
    <w:p>
      <w:pPr>
        <w:pStyle w:val="FirstParagraph"/>
      </w:pPr>
      <w:r>
        <w:t xml:space="preserve">We combine two complementary outage-exposure signals: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EAGLE-I customer-hour outages</w:t>
      </w:r>
      <w:r>
        <w:t xml:space="preserve"> </w:t>
      </w:r>
      <w:r>
        <w:t xml:space="preserve">at the county × 15-minute grain</w:t>
      </w:r>
      <w:r>
        <w:t xml:space="preserve"> </w:t>
      </w:r>
      <w:r>
        <w:t xml:space="preserve">from Oak Ridge National Laboratory, 2014–2024, via Figshare</w:t>
      </w:r>
      <w:r>
        <w:t xml:space="preserve"> </w:t>
      </w:r>
      <w:r>
        <w:t xml:space="preserve">article 24237376 (</w:t>
      </w:r>
      <w:r>
        <w:rPr>
          <w:rStyle w:val="VerbatimChar"/>
        </w:rPr>
        <w:t xml:space="preserve">emburdendata::download_eagle_i()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FEMA disaster declarations</w:t>
      </w:r>
      <w:r>
        <w:t xml:space="preserve"> </w:t>
      </w:r>
      <w:r>
        <w:t xml:space="preserve">for 41 events across 2014–2024,</w:t>
      </w:r>
      <w:r>
        <w:t xml:space="preserve"> </w:t>
      </w:r>
      <w:r>
        <w:t xml:space="preserve">matched to county exposure windows post-declaration.</w:t>
      </w:r>
    </w:p>
    <w:p>
      <w:pPr>
        <w:pStyle w:val="FirstParagraph"/>
      </w:pPr>
      <w:r>
        <w:t xml:space="preserve">The two signals are near-uncorrelated (ρ = −0.06 at the tract-year</w:t>
      </w:r>
      <w:r>
        <w:t xml:space="preserve"> </w:t>
      </w:r>
      <w:r>
        <w:t xml:space="preserve">level, §14) and identify different mechanisms — FEMA-event exposure</w:t>
      </w:r>
      <w:r>
        <w:t xml:space="preserve"> </w:t>
      </w:r>
      <w:r>
        <w:t xml:space="preserve">identifies acute disaster impact; EAGLE-I chronic customer-days</w:t>
      </w:r>
      <w:r>
        <w:t xml:space="preserve"> </w:t>
      </w:r>
      <w:r>
        <w:t xml:space="preserve">identifies routine reliability. We report both and show that the</w:t>
      </w:r>
      <w:r>
        <w:t xml:space="preserve"> </w:t>
      </w:r>
      <w:r>
        <w:t xml:space="preserve">homicide effect operates entirely through the FEMA-event arm.</w:t>
      </w:r>
    </w:p>
    <w:bookmarkEnd w:id="23"/>
    <w:bookmarkStart w:id="24" w:name="distributed-energy-resources-der-panel"/>
    <w:p>
      <w:pPr>
        <w:pStyle w:val="Heading2"/>
      </w:pPr>
      <w:r>
        <w:t xml:space="preserve">Distributed energy resources (DER panel)</w:t>
      </w:r>
    </w:p>
    <w:p>
      <w:pPr>
        <w:pStyle w:val="FirstParagraph"/>
      </w:pPr>
      <w:r>
        <w:rPr>
          <w:rStyle w:val="VerbatimChar"/>
        </w:rPr>
        <w:t xml:space="preserve">emburdender::build_der_panel()</w:t>
      </w:r>
      <w:r>
        <w:t xml:space="preserve"> </w:t>
      </w:r>
      <w:r>
        <w:t xml:space="preserve">composes eight source layers into a</w:t>
      </w:r>
      <w:r>
        <w:t xml:space="preserve"> </w:t>
      </w:r>
      <w:r>
        <w:t xml:space="preserve">unified tract-year DER inventory: LBNL Tracking-the-Sun rooftop</w:t>
      </w:r>
      <w:r>
        <w:t xml:space="preserve"> </w:t>
      </w:r>
      <w:r>
        <w:t xml:space="preserve">solar (with paired-battery storage counts), EIA-860 utility-scale</w:t>
      </w:r>
      <w:r>
        <w:t xml:space="preserve"> </w:t>
      </w:r>
      <w:r>
        <w:t xml:space="preserve">generators (including Schedule 3.4 battery storage), EIA-861</w:t>
      </w:r>
      <w:r>
        <w:t xml:space="preserve"> </w:t>
      </w:r>
      <w:r>
        <w:t xml:space="preserve">net-metering + demand-response + dynamic-pricing enrollments, USGS</w:t>
      </w:r>
      <w:r>
        <w:t xml:space="preserve"> </w:t>
      </w:r>
      <w:r>
        <w:t xml:space="preserve">USPVDB utility PV, NCSL / SEIA community solar, eGRID grid-mix and</w:t>
      </w:r>
      <w:r>
        <w:t xml:space="preserve"> </w:t>
      </w:r>
      <w:r>
        <w:t xml:space="preserve">carbon-intensity, AFDC alternative-fuels stations, and DSIRE policy</w:t>
      </w:r>
      <w:r>
        <w:t xml:space="preserve"> </w:t>
      </w:r>
      <w:r>
        <w:t xml:space="preserve">inventory. See</w:t>
      </w:r>
      <w:r>
        <w:t xml:space="preserve"> </w:t>
      </w:r>
      <w:r>
        <w:rPr>
          <w:rStyle w:val="VerbatimChar"/>
        </w:rPr>
        <w:t xml:space="preserve">emburdender::build_der_panel()</w:t>
      </w:r>
      <w:r>
        <w:t xml:space="preserve"> </w:t>
      </w:r>
      <w:r>
        <w:t xml:space="preserve">documentation for</w:t>
      </w:r>
      <w:r>
        <w:t xml:space="preserve"> </w:t>
      </w:r>
      <w:r>
        <w:t xml:space="preserve">the full source list. The composed panel yields ~1.36M tract-year</w:t>
      </w:r>
      <w:r>
        <w:t xml:space="preserve"> </w:t>
      </w:r>
      <w:r>
        <w:t xml:space="preserve">rows across 2009–2024.</w:t>
      </w:r>
    </w:p>
    <w:bookmarkEnd w:id="24"/>
    <w:bookmarkStart w:id="25" w:name="X350d3b18308b2b2f976657a19e495ef5e9eff0e"/>
    <w:p>
      <w:pPr>
        <w:pStyle w:val="Heading2"/>
      </w:pPr>
      <w:r>
        <w:t xml:space="preserve">Wave-M additions: ownership-typed BESS, HHI, SGIP</w:t>
      </w:r>
    </w:p>
    <w:p>
      <w:pPr>
        <w:pStyle w:val="FirstParagraph"/>
      </w:pPr>
      <w:r>
        <w:t xml:space="preserve">Three additional data layers were integrated to answer the</w:t>
      </w:r>
      <w:r>
        <w:t xml:space="preserve"> </w:t>
      </w:r>
      <w:r>
        <w:t xml:space="preserve">mitigation questions: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EIA-860 Schedule 4 owner 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emburdendata:: load_eia860_owners()</w:t>
      </w:r>
      <w:r>
        <w:t xml:space="preserve">) joined to Schedule 1 utility entity-type,</w:t>
      </w:r>
      <w:r>
        <w:t xml:space="preserve"> </w:t>
      </w:r>
      <w:r>
        <w:t xml:space="preserve">classified into IOU / IPP-non-CHP / IPP-CHP / muni / coop / federal</w:t>
      </w:r>
      <w:r>
        <w:t xml:space="preserve"> </w:t>
      </w:r>
      <w:r>
        <w:t xml:space="preserve">/ state / political-subdivision / unknown via</w:t>
      </w:r>
      <w:r>
        <w:t xml:space="preserve"> </w:t>
      </w:r>
      <w:r>
        <w:rPr>
          <w:rStyle w:val="VerbatimChar"/>
        </w:rPr>
        <w:t xml:space="preserve">emburdendata::classify_owner_type()</w:t>
      </w:r>
      <w:r>
        <w:t xml:space="preserve">. Owner-share-weighted BESS MW</w:t>
      </w:r>
      <w:r>
        <w:t xml:space="preserve"> </w:t>
      </w:r>
      <w:r>
        <w:t xml:space="preserve">by class rolled up to county-year via</w:t>
      </w:r>
      <w:r>
        <w:t xml:space="preserve"> </w:t>
      </w:r>
      <w:r>
        <w:rPr>
          <w:rStyle w:val="VerbatimChar"/>
        </w:rPr>
        <w:t xml:space="preserve">emburdender:: build_county_year_bess(by_owner = TRUE)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CDC Heat &amp; Health Index (HHI, 2024)</w:t>
      </w:r>
      <w:r>
        <w:t xml:space="preserve"> </w:t>
      </w:r>
      <w:r>
        <w:t xml:space="preserve">via Harvard Dataverse</w:t>
      </w:r>
      <w:r>
        <w:t xml:space="preserve"> </w:t>
      </w:r>
      <w:r>
        <w:t xml:space="preserve">mirror (DOI 10.7910/DVN/IIGITP), read by</w:t>
      </w:r>
      <w:r>
        <w:t xml:space="preserve"> </w:t>
      </w:r>
      <w:r>
        <w:rPr>
          <w:rStyle w:val="VerbatimChar"/>
        </w:rPr>
        <w:t xml:space="preserve">emburdendata::download_cdc_hhi()</w:t>
      </w:r>
      <w:r>
        <w:t xml:space="preserve">. 32,195 ZCTA5 records covering</w:t>
      </w:r>
      <w:r>
        <w:t xml:space="preserve"> </w:t>
      </w:r>
      <w:r>
        <w:t xml:space="preserve">307M population across 49 states, aggregated to 3,108 US counties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tigris</w:t>
      </w:r>
      <w:r>
        <w:t xml:space="preserve">-built area × POP-weighted crosswalk in</w:t>
      </w:r>
      <w:r>
        <w:t xml:space="preserve"> </w:t>
      </w:r>
      <w:r>
        <w:rPr>
          <w:rStyle w:val="VerbatimChar"/>
        </w:rPr>
        <w:t xml:space="preserve">emburdendata::aggregate_cdc_hhi_to_county()</w:t>
      </w:r>
      <w:r>
        <w:t xml:space="preserve">. Five primary rank</w:t>
      </w:r>
      <w:r>
        <w:t xml:space="preserve"> </w:t>
      </w:r>
      <w:r>
        <w:t xml:space="preserve">fields: overall, historical heat-burden, sensitivity, natural &amp;</w:t>
      </w:r>
      <w:r>
        <w:t xml:space="preserve"> </w:t>
      </w:r>
      <w:r>
        <w:t xml:space="preserve">built environment, sociodemographic (see</w:t>
      </w:r>
      <w:r>
        <w:t xml:space="preserve"> </w:t>
      </w:r>
      <w:r>
        <w:rPr>
          <w:rStyle w:val="VerbatimChar"/>
        </w:rPr>
        <w:t xml:space="preserve">emburdendata:: list_cdc_hhi_fields()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California SGIP residential storage</w:t>
      </w:r>
      <w:r>
        <w:t xml:space="preserve"> </w:t>
      </w:r>
      <w:r>
        <w:t xml:space="preserve">via CPUC weekly workbook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selfgenca.com</w:t>
      </w:r>
      <w:r>
        <w:t xml:space="preserve">), read by</w:t>
      </w:r>
      <w:r>
        <w:t xml:space="preserve"> </w:t>
      </w:r>
      <w:r>
        <w:rPr>
          <w:rStyle w:val="VerbatimChar"/>
        </w:rPr>
        <w:t xml:space="preserve">emburdendata::download_ca_sgip()</w:t>
      </w:r>
      <w:r>
        <w:t xml:space="preserve"> </w:t>
      </w:r>
      <w:r>
        <w:t xml:space="preserve">and</w:t>
      </w:r>
      <w:r>
        <w:t xml:space="preserve"> </w:t>
      </w:r>
      <w:r>
        <w:t xml:space="preserve">aggregated cumulative by county-year through wave endpoints via</w:t>
      </w:r>
      <w:r>
        <w:t xml:space="preserve"> </w:t>
      </w:r>
      <w:r>
        <w:rPr>
          <w:rStyle w:val="VerbatimChar"/>
        </w:rPr>
        <w:t xml:space="preserve">emburdendata::aggregate_ca_sgip_to_county()</w:t>
      </w:r>
      <w:r>
        <w:t xml:space="preserve">. 106,432 project</w:t>
      </w:r>
      <w:r>
        <w:t xml:space="preserve"> </w:t>
      </w:r>
      <w:r>
        <w:t xml:space="preserve">records 2001–2026, filtered to storage tech (Electrochemical +</w:t>
      </w:r>
      <w:r>
        <w:t xml:space="preserve"> </w:t>
      </w:r>
      <w:r>
        <w:t xml:space="preserve">Mechanical), 58 California counties across three waves. Includes</w:t>
      </w:r>
      <w:r>
        <w:t xml:space="preserve"> </w:t>
      </w:r>
      <w:r>
        <w:t xml:space="preserve">sub-cohorts for residential-only and equity-budget-category projects.</w:t>
      </w:r>
    </w:p>
    <w:p>
      <w:pPr>
        <w:pStyle w:val="FirstParagraph"/>
      </w:pPr>
      <w:r>
        <w:t xml:space="preserve">The enriched analysis panel is</w:t>
      </w:r>
      <w:r>
        <w:t xml:space="preserve"> </w:t>
      </w:r>
      <w:r>
        <w:rPr>
          <w:rStyle w:val="VerbatimChar"/>
        </w:rPr>
        <w:t xml:space="preserve">data/tract_panel_enhanced_with_ders. csv</w:t>
      </w:r>
      <w:r>
        <w:t xml:space="preserve"> </w:t>
      </w:r>
      <w:r>
        <w:t xml:space="preserve">(295,134 rows × 234 columns), produced by</w:t>
      </w:r>
      <w:r>
        <w:t xml:space="preserve"> </w:t>
      </w:r>
      <w:r>
        <w:rPr>
          <w:rStyle w:val="VerbatimChar"/>
        </w:rPr>
        <w:t xml:space="preserve">analysis/merge_ders_into_tract_panel.R</w:t>
      </w:r>
      <w:r>
        <w:t xml:space="preserve">. Full column-family</w:t>
      </w:r>
      <w:r>
        <w:t xml:space="preserve"> </w:t>
      </w:r>
      <w:r>
        <w:t xml:space="preserve">documentation:</w:t>
      </w:r>
      <w:r>
        <w:t xml:space="preserve"> </w:t>
      </w:r>
      <w:r>
        <w:rPr>
          <w:rStyle w:val="VerbatimChar"/>
        </w:rPr>
        <w:t xml:space="preserve">data/PANEL_SCHEMA.md</w:t>
      </w:r>
      <w:r>
        <w:t xml:space="preserve">.</w:t>
      </w:r>
    </w:p>
    <w:bookmarkEnd w:id="25"/>
    <w:bookmarkEnd w:id="26"/>
    <w:bookmarkStart w:id="30" w:name="methods"/>
    <w:p>
      <w:pPr>
        <w:pStyle w:val="Heading1"/>
      </w:pPr>
      <w:r>
        <w:t xml:space="preserve">Methods</w:t>
      </w:r>
    </w:p>
    <w:bookmarkStart w:id="27" w:name="fixed-effects-difference-in-differences"/>
    <w:p>
      <w:pPr>
        <w:pStyle w:val="Heading2"/>
      </w:pPr>
      <w:r>
        <w:t xml:space="preserve">Fixed-effects difference-in-differences</w:t>
      </w:r>
    </w:p>
    <w:p>
      <w:pPr>
        <w:pStyle w:val="FirstParagraph"/>
      </w:pPr>
      <w:r>
        <w:t xml:space="preserve">Our headline specification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homicide rate per 100,000 in tract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year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= 1 if tract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was in the</w:t>
      </w:r>
      <w:r>
        <w:t xml:space="preserve"> </w:t>
      </w:r>
      <w:r>
        <w:t xml:space="preserve">post-event exposure window of Ida, Uri, Harvey, or a California PSPS</w:t>
      </w:r>
      <w:r>
        <w:t xml:space="preserve"> </w:t>
      </w:r>
      <w:r>
        <w:t xml:space="preserve">event,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tract fixed effect (absorbing all</w:t>
      </w:r>
      <w:r>
        <w:t xml:space="preserve"> </w:t>
      </w:r>
      <w:r>
        <w:t xml:space="preserve">time-invariant confounders including baseline crime propensity),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 year fixed effect. Standard errors are cluster-</w:t>
      </w:r>
      <w:r>
        <w:t xml:space="preserve"> </w:t>
      </w:r>
      <w:r>
        <w:t xml:space="preserve">robust at the tract level. All fits use</w:t>
      </w:r>
      <w:r>
        <w:t xml:space="preserve"> </w:t>
      </w:r>
      <w:r>
        <w:rPr>
          <w:rStyle w:val="VerbatimChar"/>
        </w:rPr>
        <w:t xml:space="preserve">fixest::feols</w:t>
      </w:r>
      <w:r>
        <w:t xml:space="preserve">.</w:t>
      </w:r>
    </w:p>
    <w:bookmarkEnd w:id="27"/>
    <w:bookmarkStart w:id="28" w:name="moderator-interactions"/>
    <w:p>
      <w:pPr>
        <w:pStyle w:val="Heading2"/>
      </w:pPr>
      <w:r>
        <w:t xml:space="preserve">Moderator interactions</w:t>
      </w:r>
    </w:p>
    <w:p>
      <w:pPr>
        <w:pStyle w:val="FirstParagraph"/>
      </w:pPr>
      <w:r>
        <w:t xml:space="preserve">For each of 47 candidate DER / grid / building-technology</w:t>
      </w:r>
      <w:r>
        <w:t xml:space="preserve"> </w:t>
      </w:r>
      <w:r>
        <w:t xml:space="preserve">moderators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(see §Results Table 2), we fit the two-way</w:t>
      </w:r>
      <w:r>
        <w:t xml:space="preserve"> </w:t>
      </w:r>
      <w:r>
        <w:t xml:space="preserve">interaction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M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the county-year standardized moderator (z-score after</w:t>
      </w:r>
      <w:r>
        <w:t xml:space="preserve"> </w:t>
      </w:r>
      <w:r>
        <w:t xml:space="preserve">median imputation of NAs). We report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as the change in the</w:t>
      </w:r>
      <w:r>
        <w:t xml:space="preserve"> </w:t>
      </w:r>
      <w:r>
        <w:t xml:space="preserve">outage effect per 1-SD increase in the moderator. Negative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protective; positive = amplifier.</w:t>
      </w:r>
    </w:p>
    <w:p>
      <w:pPr>
        <w:pStyle w:val="BodyText"/>
      </w:pPr>
      <w:r>
        <w:t xml:space="preserve">We also fit heat- and burden-pathway triples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T</m:t>
          </m:r>
          <m:r>
            <m:rPr>
              <m:sty m:val="p"/>
            </m:rPr>
            <m:t>⋅</m:t>
          </m:r>
          <m:r>
            <m:t>Z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+</m:t>
          </m:r>
          <m:r>
            <m:t>δ</m:t>
          </m:r>
          <m:r>
            <m:t>Z</m:t>
          </m:r>
          <m:r>
            <m:rPr>
              <m:sty m:val="p"/>
            </m:rPr>
            <m:t>+</m:t>
          </m:r>
          <m:r>
            <m:t>γ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either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(annual count of extreme-heat</w:t>
      </w:r>
      <w:r>
        <w:t xml:space="preserve"> </w:t>
      </w:r>
      <w:r>
        <w:t xml:space="preserve">days, CDC EPHT) or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(average energy burden, LEAD</w:t>
      </w:r>
      <w:r>
        <w:t xml:space="preserve"> </w:t>
      </w:r>
      <w:r>
        <w:t xml:space="preserve">tool). Multiple-testing correction: BH-FDR joint across all 47</w:t>
      </w:r>
      <w:r>
        <w:t xml:space="preserve"> </w:t>
      </w:r>
      <w:r>
        <w:t xml:space="preserve">interaction terms per specification, threshold q &lt; 0.10.</w:t>
      </w:r>
    </w:p>
    <w:bookmarkEnd w:id="28"/>
    <w:bookmarkStart w:id="29" w:name="pre-registration-and-reproducibility"/>
    <w:p>
      <w:pPr>
        <w:pStyle w:val="Heading2"/>
      </w:pPr>
      <w:r>
        <w:t xml:space="preserve">Pre-registration and reproducibility</w:t>
      </w:r>
    </w:p>
    <w:p>
      <w:pPr>
        <w:pStyle w:val="FirstParagraph"/>
      </w:pPr>
      <w:r>
        <w:t xml:space="preserve">Analysis specifications, hypothesis directions, and multiple-testing</w:t>
      </w:r>
      <w:r>
        <w:t xml:space="preserve"> </w:t>
      </w:r>
      <w:r>
        <w:t xml:space="preserve">thresholds were pre-registered at</w:t>
      </w:r>
      <w:r>
        <w:t xml:space="preserve"> </w:t>
      </w:r>
      <w:r>
        <w:rPr>
          <w:rStyle w:val="VerbatimChar"/>
        </w:rPr>
        <w:t xml:space="preserve">analysis/PRE_REGISTRATION.md</w:t>
      </w:r>
      <w:r>
        <w:t xml:space="preserve"> </w:t>
      </w:r>
      <w:r>
        <w:t xml:space="preserve">at</w:t>
      </w:r>
      <w:r>
        <w:t xml:space="preserve"> </w:t>
      </w:r>
      <w:r>
        <w:t xml:space="preserve">the commit-locked tag</w:t>
      </w:r>
      <w:r>
        <w:t xml:space="preserve"> </w:t>
      </w:r>
      <w:r>
        <w:rPr>
          <w:rStyle w:val="VerbatimChar"/>
        </w:rPr>
        <w:t xml:space="preserve">wave-L2-locked</w:t>
      </w:r>
      <w:r>
        <w:t xml:space="preserve">. R environment and all 13</w:t>
      </w:r>
      <w:r>
        <w:t xml:space="preserve"> </w:t>
      </w:r>
      <w:r>
        <w:t xml:space="preserve">emburden ecosystem package git SHAs at the lock are captured in</w:t>
      </w:r>
      <w:r>
        <w:t xml:space="preserve"> </w:t>
      </w:r>
      <w:r>
        <w:rPr>
          <w:rStyle w:val="VerbatimChar"/>
        </w:rPr>
        <w:t xml:space="preserve">analysis/session_info.md</w:t>
      </w:r>
      <w:r>
        <w:t xml:space="preserve">.</w:t>
      </w:r>
    </w:p>
    <w:bookmarkEnd w:id="29"/>
    <w:bookmarkEnd w:id="30"/>
    <w:bookmarkStart w:id="53" w:name="results"/>
    <w:p>
      <w:pPr>
        <w:pStyle w:val="Heading1"/>
      </w:pPr>
      <w:r>
        <w:t xml:space="preserve">Results</w:t>
      </w:r>
    </w:p>
    <w:bookmarkStart w:id="34" w:name="headline-outages-cause-homicides"/>
    <w:p>
      <w:pPr>
        <w:pStyle w:val="Heading2"/>
      </w:pPr>
      <w:r>
        <w:t xml:space="preserve">Headline: outages cause homicides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Annual event-study coefficients from the FE-DiD headline specification. Reference year is -1 (year before treatment)." title="" id="32" name="Picture"/>
            <a:graphic>
              <a:graphicData uri="http://schemas.openxmlformats.org/drawingml/2006/picture">
                <pic:pic>
                  <pic:nvPicPr>
                    <pic:cNvPr descr="figures/outage_homicide_fig1_event_study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Annual event-study coefficients from the FE-DiD headline specification. Reference year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(year before treatment).</w:t>
      </w:r>
    </w:p>
    <w:p>
      <w:pPr>
        <w:pStyle w:val="BodyText"/>
      </w:pPr>
      <w:r>
        <w:t xml:space="preserve">The pooled treatment effect is</w:t>
      </w:r>
      <w:r>
        <w:t xml:space="preserve"> </w:t>
      </w:r>
      <w:r>
        <w:rPr>
          <w:bCs/>
          <w:b/>
        </w:rPr>
        <w:t xml:space="preserve">+0.24 homicides per 100,000</w:t>
      </w:r>
      <w:r>
        <w:rPr>
          <w:bCs/>
          <w:b/>
        </w:rPr>
        <w:t xml:space="preserve"> </w:t>
      </w:r>
      <w:r>
        <w:rPr>
          <w:bCs/>
          <w:b/>
        </w:rPr>
        <w:t xml:space="preserve">residents per outage-exposed tract-year</w:t>
      </w:r>
      <w:r>
        <w:t xml:space="preserve"> </w:t>
      </w:r>
      <w:r>
        <w:t xml:space="preserve">(p = 0.002, 95% CI [+0.09,</w:t>
      </w:r>
      <w:r>
        <w:t xml:space="preserve"> </w:t>
      </w:r>
      <w:r>
        <w:t xml:space="preserve">+0.39]). Event-study coefficients (Figure 1) show flat pre-trends</w:t>
      </w:r>
      <w:r>
        <w:t xml:space="preserve"> </w:t>
      </w:r>
      <w:r>
        <w:t xml:space="preserve">and a positive discontinuity at treatment onset, consistent with the</w:t>
      </w:r>
      <w:r>
        <w:t xml:space="preserve"> </w:t>
      </w:r>
      <w:r>
        <w:t xml:space="preserve">identifying assumption. All 41 FEMA events combined (Table SI-1)</w:t>
      </w:r>
      <w:r>
        <w:t xml:space="preserve"> </w:t>
      </w:r>
      <w:r>
        <w:t xml:space="preserve">produce coefficients ranging from +0.02 (Isaias 2020) to +12.4</w:t>
      </w:r>
      <w:r>
        <w:t xml:space="preserve"> </w:t>
      </w:r>
      <w:r>
        <w:t xml:space="preserve">(Uri 2021), with hurricane-family events pooling to +1.8/100k</w:t>
      </w:r>
      <w:r>
        <w:t xml:space="preserve"> </w:t>
      </w:r>
      <w:r>
        <w:t xml:space="preserve">(p &lt; 1e-6).</w:t>
      </w:r>
    </w:p>
    <w:bookmarkEnd w:id="34"/>
    <w:bookmarkStart w:id="38" w:name="mitigation-landscape"/>
    <w:p>
      <w:pPr>
        <w:pStyle w:val="Heading2"/>
      </w:pPr>
      <w:r>
        <w:t xml:space="preserve">Mitigation landscape</w:t>
      </w:r>
    </w:p>
    <w:p>
      <w:pPr>
        <w:pStyle w:val="CaptionedFigure"/>
      </w:pPr>
      <w:r>
        <w:drawing>
          <wp:inline>
            <wp:extent cx="5334000" cy="6400799"/>
            <wp:effectExtent b="0" l="0" r="0" t="0"/>
            <wp:docPr descr="Full 47-moderator sweep, ordered by 2-way interaction magnitude. Color denotes moderator family (utility BESS, residential storage, community solar, dynamic pricing, HHI, SGIP, other DER). Protective moderators (β &lt; 0) on left; amplifying (β &gt; 0) on right. All FDR-significant at q &lt; 0.10 unless annotated." title="" id="36" name="Picture"/>
            <a:graphic>
              <a:graphicData uri="http://schemas.openxmlformats.org/drawingml/2006/picture">
                <pic:pic>
                  <pic:nvPicPr>
                    <pic:cNvPr descr="figures/outage_homicide_fig1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47-moderator sweep, ordered by 2-way interaction magnitude. Color denotes moderator family (utility BESS, residential storage, community solar, dynamic pricing, HHI, SGIP, other DER). Protective moderators (β &lt; 0) on left; amplifying (β &gt; 0) on right. All FDR-significant at q &lt; 0.10 unless annotated.</w:t>
      </w:r>
    </w:p>
    <w:p>
      <w:pPr>
        <w:pStyle w:val="BodyText"/>
      </w:pPr>
      <w:r>
        <w:t xml:space="preserve">Figure 12 shows the full 47-moderator horse race. Of 47 moderators</w:t>
      </w:r>
      <w:r>
        <w:t xml:space="preserve"> </w:t>
      </w:r>
      <w:r>
        <w:t xml:space="preserve">sweep-tested,</w:t>
      </w:r>
      <w:r>
        <w:t xml:space="preserve"> </w:t>
      </w:r>
      <w:r>
        <w:rPr>
          <w:bCs/>
          <w:b/>
        </w:rPr>
        <w:t xml:space="preserve">21 are FDR-significant</w:t>
      </w:r>
      <w:r>
        <w:t xml:space="preserve"> </w:t>
      </w:r>
      <w:r>
        <w:t xml:space="preserve">at q &lt; 0.10 (BH-corrected</w:t>
      </w:r>
      <w:r>
        <w:t xml:space="preserve"> </w:t>
      </w:r>
      <w:r>
        <w:t xml:space="preserve">across all interaction terms). Protective families dominate; the</w:t>
      </w:r>
      <w:r>
        <w:t xml:space="preserve"> </w:t>
      </w:r>
      <w:r>
        <w:t xml:space="preserve">strongest positive amplifiers are AMI penetration and utility PV</w:t>
      </w:r>
      <w:r>
        <w:t xml:space="preserve"> </w:t>
      </w:r>
      <w:r>
        <w:t xml:space="preserve">count (interpreted below).</w:t>
      </w:r>
    </w:p>
    <w:bookmarkEnd w:id="38"/>
    <w:bookmarkStart w:id="42" w:name="heat-pathway-breakers"/>
    <w:p>
      <w:pPr>
        <w:pStyle w:val="Heading2"/>
      </w:pPr>
      <w:r>
        <w:t xml:space="preserve">Heat-pathway breakers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eat-pathway triple interaction coefficients (\beta for the term T \cdot \text{heat} \cdot M) across the 15 storage moderators. All coefficients FDR-significant at q &lt; 0.10. Utility BESS plant count is the strongest single heat-pathway breaker." title="" id="40" name="Picture"/>
            <a:graphic>
              <a:graphicData uri="http://schemas.openxmlformats.org/drawingml/2006/picture">
                <pic:pic>
                  <pic:nvPicPr>
                    <pic:cNvPr descr="figures/outage_homicide_fig1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Heat-pathway triple interaction coefficients (</w:t>
      </w:r>
      <m:oMath>
        <m:r>
          <m:t>β</m:t>
        </m:r>
      </m:oMath>
      <w:r>
        <w:t xml:space="preserve"> </w:t>
      </w:r>
      <w:r>
        <w:t xml:space="preserve">for the term</w:t>
      </w:r>
      <w:r>
        <w:t xml:space="preserve"> </w:t>
      </w:r>
      <m:oMath>
        <m:r>
          <m:t>T</m:t>
        </m:r>
        <m:r>
          <m:rPr>
            <m:sty m:val="p"/>
          </m:rPr>
          <m:t>⋅</m:t>
        </m:r>
        <m:r>
          <m:rPr>
            <m:nor/>
            <m:sty m:val="p"/>
          </m:rPr>
          <m:t>heat</m:t>
        </m:r>
        <m:r>
          <m:rPr>
            <m:sty m:val="p"/>
          </m:rPr>
          <m:t>⋅</m:t>
        </m:r>
        <m:r>
          <m:t>M</m:t>
        </m:r>
      </m:oMath>
      <w:r>
        <w:t xml:space="preserve">) across the 15 storage moderators. All coefficients FDR-significant at q &lt; 0.10. Utility BESS plant count is the strongest single heat-pathway breaker.</w:t>
      </w:r>
    </w:p>
    <w:p>
      <w:pPr>
        <w:pStyle w:val="BodyText"/>
      </w:pPr>
      <w:r>
        <w:t xml:space="preserve">Under heat-pathway conditioning (Figure 10), utility-scale BESS</w:t>
      </w:r>
      <w:r>
        <w:t xml:space="preserve"> </w:t>
      </w:r>
      <w:r>
        <w:t xml:space="preserve">plant count carries a triple interaction β =</w:t>
      </w:r>
      <w:r>
        <w:t xml:space="preserve"> </w:t>
      </w:r>
      <w:r>
        <w:rPr>
          <w:bCs/>
          <w:b/>
        </w:rPr>
        <w:t xml:space="preserve">−11.9/100k per SD</w:t>
      </w:r>
      <w:r>
        <w:t xml:space="preserve"> </w:t>
      </w:r>
      <w:r>
        <w:t xml:space="preserve">(q = 9e-139) — the largest single protective coefficient in the</w:t>
      </w:r>
      <w:r>
        <w:t xml:space="preserve"> </w:t>
      </w:r>
      <w:r>
        <w:t xml:space="preserve">inventory. Capacity-weighted operating BESS MWh (β = −0.80) and</w:t>
      </w:r>
      <w:r>
        <w:t xml:space="preserve"> </w:t>
      </w:r>
      <w:r>
        <w:t xml:space="preserve">IOU-owned MW (β = −1.99) also protect. CDC HHI heat-burden rank</w:t>
      </w:r>
      <w:r>
        <w:t xml:space="preserve"> </w:t>
      </w:r>
      <w:r>
        <w:t xml:space="preserve">(β = −4.51, q = 4e-40) captures the same signal from the population</w:t>
      </w:r>
      <w:r>
        <w:t xml:space="preserve"> </w:t>
      </w:r>
      <w:r>
        <w:t xml:space="preserve">side: the counties CDC flags as high-heat-burden are exactly the</w:t>
      </w:r>
      <w:r>
        <w:t xml:space="preserve"> </w:t>
      </w:r>
      <w:r>
        <w:t xml:space="preserve">counties where outage × heat produces the smallest excess homicide.</w:t>
      </w:r>
      <w:r>
        <w:t xml:space="preserve"> </w:t>
      </w:r>
      <w:r>
        <w:t xml:space="preserve">Community solar plants (β = −20.7 in the 2-way, q = 1e-65) are the</w:t>
      </w:r>
      <w:r>
        <w:t xml:space="preserve"> </w:t>
      </w:r>
      <w:r>
        <w:t xml:space="preserve">largest ecosystem-level protector.</w:t>
      </w:r>
    </w:p>
    <w:bookmarkEnd w:id="42"/>
    <w:bookmarkStart w:id="43" w:name="burden-pathway-breakers"/>
    <w:p>
      <w:pPr>
        <w:pStyle w:val="Heading2"/>
      </w:pPr>
      <w:r>
        <w:t xml:space="preserve">Burden-pathway breakers</w:t>
      </w:r>
    </w:p>
    <w:p>
      <w:pPr>
        <w:pStyle w:val="FirstParagraph"/>
      </w:pPr>
      <w:r>
        <w:t xml:space="preserve">CDC’s HHI sociodemographic rank has a positive 2-way marginal</w:t>
      </w:r>
      <w:r>
        <w:t xml:space="preserve"> </w:t>
      </w:r>
      <w:r>
        <w:t xml:space="preserve">(β = +1.11) but a strongly protective triple interaction under the</w:t>
      </w:r>
      <w:r>
        <w:t xml:space="preserve"> </w:t>
      </w:r>
      <w:r>
        <w:t xml:space="preserve">heat pathway (β = −4.05, q = 1e-31). This</w:t>
      </w:r>
      <w:r>
        <w:t xml:space="preserve"> </w:t>
      </w:r>
      <w:r>
        <w:t xml:space="preserve">“</w:t>
      </w:r>
      <w:r>
        <w:t xml:space="preserve">Simpson-style</w:t>
      </w:r>
      <w:r>
        <w:t xml:space="preserve">”</w:t>
      </w:r>
      <w:r>
        <w:t xml:space="preserve"> </w:t>
      </w:r>
      <w:r>
        <w:t xml:space="preserve">pattern</w:t>
      </w:r>
      <w:r>
        <w:t xml:space="preserve"> </w:t>
      </w:r>
      <w:r>
        <w:t xml:space="preserve">recurs across the equity-tier moderators: on average, sociodem-</w:t>
      </w:r>
      <w:r>
        <w:t xml:space="preserve"> </w:t>
      </w:r>
      <w:r>
        <w:t xml:space="preserve">vulnerable counties have higher outage-conditional homicide, but</w:t>
      </w:r>
      <w:r>
        <w:t xml:space="preserve"> </w:t>
      </w:r>
      <w:r>
        <w:t xml:space="preserve">their marginal shock trajectory is dampened relative to a</w:t>
      </w:r>
      <w:r>
        <w:t xml:space="preserve"> </w:t>
      </w:r>
      <w:r>
        <w:t xml:space="preserve">counterfactual with the same shock and no intervention.</w:t>
      </w:r>
    </w:p>
    <w:p>
      <w:pPr>
        <w:pStyle w:val="BodyText"/>
      </w:pPr>
      <w:r>
        <w:t xml:space="preserve">The strongest single burden-pathway breaker across the ecosystem is</w:t>
      </w:r>
      <w:r>
        <w:t xml:space="preserve"> </w:t>
      </w:r>
      <w:r>
        <w:rPr>
          <w:bCs/>
          <w:b/>
        </w:rPr>
        <w:t xml:space="preserve">CA SGIP residential storage</w:t>
      </w:r>
      <w:r>
        <w:t xml:space="preserve">: burden-triple β =</w:t>
      </w:r>
      <w:r>
        <w:t xml:space="preserve"> </w:t>
      </w:r>
      <w:r>
        <w:rPr>
          <w:bCs/>
          <w:b/>
        </w:rPr>
        <w:t xml:space="preserve">−2.83/100k per</w:t>
      </w:r>
      <w:r>
        <w:rPr>
          <w:bCs/>
          <w:b/>
        </w:rPr>
        <w:t xml:space="preserve"> </w:t>
      </w:r>
      <w:r>
        <w:rPr>
          <w:bCs/>
          <w:b/>
        </w:rPr>
        <w:t xml:space="preserve">SD</w:t>
      </w:r>
      <w:r>
        <w:t xml:space="preserve"> </w:t>
      </w:r>
      <w:r>
        <w:t xml:space="preserve">(q = 5e-22, count) and β =</w:t>
      </w:r>
      <w:r>
        <w:t xml:space="preserve"> </w:t>
      </w:r>
      <w:r>
        <w:rPr>
          <w:bCs/>
          <w:b/>
        </w:rPr>
        <w:t xml:space="preserve">−2.67/100k per SD</w:t>
      </w:r>
      <w:r>
        <w:t xml:space="preserve"> </w:t>
      </w:r>
      <w:r>
        <w:t xml:space="preserve">(q = 7e-21,</w:t>
      </w:r>
      <w:r>
        <w:t xml:space="preserve"> </w:t>
      </w:r>
      <w:r>
        <w:t xml:space="preserve">kWh) — 10× the LBNL national residential effect (β = −0.29 count,</w:t>
      </w:r>
      <w:r>
        <w:t xml:space="preserve"> </w:t>
      </w:r>
      <w:r>
        <w:t xml:space="preserve">β = −0.36 kWh). SGIP equity-budget storage (which is explicitly</w:t>
      </w:r>
      <w:r>
        <w:t xml:space="preserve"> </w:t>
      </w:r>
      <w:r>
        <w:t xml:space="preserve">LMI-targeted) delivers the same magnitude. The 2-way marginal is</w:t>
      </w:r>
      <w:r>
        <w:t xml:space="preserve"> </w:t>
      </w:r>
      <w:r>
        <w:t xml:space="preserve">positive (+0.45 to +0.64), consistent with the LA / SD / Riverside</w:t>
      </w:r>
      <w:r>
        <w:t xml:space="preserve"> </w:t>
      </w:r>
      <w:r>
        <w:t xml:space="preserve">counties (where SGIP concentrates) having high homicide baselines,</w:t>
      </w:r>
      <w:r>
        <w:t xml:space="preserve"> </w:t>
      </w:r>
      <w:r>
        <w:t xml:space="preserve">but the burden-conditional trajectory is strongly protective.</w:t>
      </w:r>
    </w:p>
    <w:bookmarkEnd w:id="43"/>
    <w:bookmarkStart w:id="47" w:name="ownership-typed-bess"/>
    <w:p>
      <w:pPr>
        <w:pStyle w:val="Heading2"/>
      </w:pPr>
      <w:r>
        <w:t xml:space="preserve">Ownership-typed BESS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Utility-scale BESS interaction coefficients by owner class. Ownership assigned via EIA-860 Schedule 4 records joined to Schedule 1 entity type, with owner-name pattern-match fallback for corporate LLCs. Owner shares normalized to sum to 1 per plant; plants without Schedule 4 records assigned to “unknown” (single-owner arrangements)." title="" id="45" name="Picture"/>
            <a:graphic>
              <a:graphicData uri="http://schemas.openxmlformats.org/drawingml/2006/picture">
                <pic:pic>
                  <pic:nvPicPr>
                    <pic:cNvPr descr="figures/outage_homicide_fig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Utility-scale BESS interaction coefficients by owner class. Ownership assigned via EIA-860 Schedule 4 records joined to Schedule 1 entity type, with owner-name pattern-match fallback for corporate LLCs. Owner shares normalized to sum to 1 per plant; plants without Schedule 4 records assigned to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(single-owner arrangements).</w:t>
      </w:r>
    </w:p>
    <w:p>
      <w:pPr>
        <w:pStyle w:val="BodyText"/>
      </w:pPr>
      <w:r>
        <w:t xml:space="preserve">Ownership-typed BESS coefficients (Figure 11): unknown-owner</w:t>
      </w:r>
      <w:r>
        <w:t xml:space="preserve"> </w:t>
      </w:r>
      <w:r>
        <w:t xml:space="preserve">(single-owner plants, ~85% of US 2022 MW) shows the largest</w:t>
      </w:r>
      <w:r>
        <w:t xml:space="preserve"> </w:t>
      </w:r>
      <w:r>
        <w:t xml:space="preserve">protective 2-way β = −0.499/100k per SD (q = 2e-16). IOU/muni/coop</w:t>
      </w:r>
      <w:r>
        <w:t xml:space="preserve"> </w:t>
      </w:r>
      <w:r>
        <w:t xml:space="preserve">subsets are too sparse for stable individual estimates in the</w:t>
      </w:r>
      <w:r>
        <w:t xml:space="preserve"> </w:t>
      </w:r>
      <w:r>
        <w:t xml:space="preserve">current 2019–2022 EIA-860 window. Interpretation: the composite</w:t>
      </w:r>
      <w:r>
        <w:t xml:space="preserve"> </w:t>
      </w:r>
      <w:r>
        <w:t xml:space="preserve">signal is strong but attribution to specific ownership types</w:t>
      </w:r>
      <w:r>
        <w:t xml:space="preserve"> </w:t>
      </w:r>
      <w:r>
        <w:t xml:space="preserve">requires operator-side utility_id enrichment (deferred).</w:t>
      </w:r>
    </w:p>
    <w:bookmarkEnd w:id="47"/>
    <w:bookmarkStart w:id="48" w:name="hhi-sgip-super-linear-interaction-wave-x"/>
    <w:p>
      <w:pPr>
        <w:pStyle w:val="Heading2"/>
      </w:pPr>
      <w:r>
        <w:t xml:space="preserve">HHI × SGIP super-linear interaction (Wave X)</w:t>
      </w:r>
    </w:p>
    <w:p>
      <w:pPr>
        <w:pStyle w:val="FirstParagraph"/>
      </w:pPr>
      <w:r>
        <w:t xml:space="preserve">The pre-registered 4-way interaction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treated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heat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HHI-HB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SGIP-res</m:t>
          </m:r>
        </m:oMath>
      </m:oMathPara>
    </w:p>
    <w:p>
      <w:pPr>
        <w:pStyle w:val="FirstParagraph"/>
      </w:pPr>
      <w:r>
        <w:t xml:space="preserve">was dropped as collinear against the tract fixed effect — SGIP is a</w:t>
      </w:r>
      <w:r>
        <w:t xml:space="preserve"> </w:t>
      </w:r>
      <w:r>
        <w:t xml:space="preserve">county-level variable and every California tract-year has SGIP &gt; 0,</w:t>
      </w:r>
      <w:r>
        <w:t xml:space="preserve"> </w:t>
      </w:r>
      <w:r>
        <w:t xml:space="preserve">producing rank-deficiency when fully interacted. The pre-registered</w:t>
      </w:r>
      <w:r>
        <w:t xml:space="preserve"> </w:t>
      </w:r>
      <w:r>
        <w:t xml:space="preserve">fallback specification, the 3-way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heat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HHI-HB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SGIP-res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fittable and yields</w:t>
      </w:r>
      <w:r>
        <w:t xml:space="preserve"> </w:t>
      </w:r>
      <w:r>
        <w:rPr>
          <w:bCs/>
          <w:b/>
        </w:rPr>
        <w:t xml:space="preserve">β = −9.94/100k per SD (p = 4e-292)</w:t>
      </w:r>
      <w:r>
        <w:t xml:space="preserve"> </w:t>
      </w:r>
      <w:r>
        <w:t xml:space="preserve">—</w:t>
      </w:r>
      <w:r>
        <w:t xml:space="preserve"> </w:t>
      </w:r>
      <w:r>
        <w:t xml:space="preserve">super-linear protection under heat when SGIP deployment coincides</w:t>
      </w:r>
      <w:r>
        <w:t xml:space="preserve"> </w:t>
      </w:r>
      <w:r>
        <w:t xml:space="preserve">with high-HHI heat-burden counties. This is the strongest single-</w:t>
      </w:r>
      <w:r>
        <w:t xml:space="preserve"> </w:t>
      </w:r>
      <w:r>
        <w:t xml:space="preserve">mechanism finding in the analysis: the combination of a</w:t>
      </w:r>
      <w:r>
        <w:t xml:space="preserve"> </w:t>
      </w:r>
      <w:r>
        <w:t xml:space="preserve">CDC-identified heat-vulnerable county and CA-administered</w:t>
      </w:r>
      <w:r>
        <w:t xml:space="preserve"> </w:t>
      </w:r>
      <w:r>
        <w:t xml:space="preserve">residential storage protects</w:t>
      </w:r>
      <w:r>
        <w:t xml:space="preserve"> </w:t>
      </w:r>
      <w:r>
        <w:rPr>
          <w:bCs/>
          <w:b/>
        </w:rPr>
        <w:t xml:space="preserve">beyond</w:t>
      </w:r>
      <w:r>
        <w:t xml:space="preserve"> </w:t>
      </w:r>
      <w:r>
        <w:t xml:space="preserve">the additive prediction of</w:t>
      </w:r>
      <w:r>
        <w:t xml:space="preserve"> </w:t>
      </w:r>
      <w:r>
        <w:t xml:space="preserve">the two marginals.</w:t>
      </w:r>
    </w:p>
    <w:bookmarkEnd w:id="48"/>
    <w:bookmarkStart w:id="52" w:name="source-reconciliation"/>
    <w:p>
      <w:pPr>
        <w:pStyle w:val="Heading2"/>
      </w:pPr>
      <w:r>
        <w:t xml:space="preserve">Source reconciliation</w:t>
      </w:r>
    </w:p>
    <w:p>
      <w:pPr>
        <w:pStyle w:val="CaptionedFigure"/>
      </w:pPr>
      <w:r>
        <w:drawing>
          <wp:inline>
            <wp:extent cx="5334000" cy="5926666"/>
            <wp:effectExtent b="0" l="0" r="0" t="0"/>
            <wp:docPr descr="Multi-source outage reconciliation. Left panel: scatter of FEMA-event tract-year outage exposure vs EAGLE-I customer-days-per-capita in the same tract-year, correlation \rho = -0.06. Right panel: forest plot of the outage-homicide coefficient estimated using FEMA-event exposure only (top) vs EAGLE-I chronic exposure only (bottom). The effect operates entirely through the FEMA-event arm." title="" id="50" name="Picture"/>
            <a:graphic>
              <a:graphicData uri="http://schemas.openxmlformats.org/drawingml/2006/picture">
                <pic:pic>
                  <pic:nvPicPr>
                    <pic:cNvPr descr="figures/outage_homicide_fig1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Multi-source outage reconciliation. Left panel: scatter of FEMA-event tract-year outage exposure vs EAGLE-I customer-days-per-capita in the same tract-year, correlation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0.06</m:t>
        </m:r>
      </m:oMath>
      <w:r>
        <w:t xml:space="preserve">. Right panel: forest plot of the outage-homicide coefficient estimated using FEMA-event exposure only (top) vs EAGLE-I chronic exposure only (bottom). The effect operates entirely through the FEMA-event arm.</w:t>
      </w:r>
    </w:p>
    <w:p>
      <w:pPr>
        <w:pStyle w:val="BodyText"/>
      </w:pPr>
      <w:r>
        <w:t xml:space="preserve">The two independent outage signals (FEMA disaster declarations vs</w:t>
      </w:r>
      <w:r>
        <w:t xml:space="preserve"> </w:t>
      </w:r>
      <w:r>
        <w:t xml:space="preserve">EAGLE-I customer-hours) are near-uncorrelated at the tract-year</w:t>
      </w:r>
      <w:r>
        <w:t xml:space="preserve"> </w:t>
      </w:r>
      <w:r>
        <w:t xml:space="preserve">level (ρ = −0.06). Estimating the homicide effect using each signal</w:t>
      </w:r>
      <w:r>
        <w:t xml:space="preserve"> </w:t>
      </w:r>
      <w:r>
        <w:t xml:space="preserve">alone (Figure 13, right panel) shows the effect is entirely</w:t>
      </w:r>
      <w:r>
        <w:t xml:space="preserve"> </w:t>
      </w:r>
      <w:r>
        <w:t xml:space="preserve">FEMA-event-driven: β = +0.239 (p = 0.003) using FEMA alone; β =</w:t>
      </w:r>
      <w:r>
        <w:t xml:space="preserve"> </w:t>
      </w:r>
      <w:r>
        <w:t xml:space="preserve">+0.001 (n.s.) using EAGLE-I chronic exposure alone. The mechanism</w:t>
      </w:r>
      <w:r>
        <w:t xml:space="preserve"> </w:t>
      </w:r>
      <w:r>
        <w:t xml:space="preserve">is acute-disaster-driven, not routine-reliability-driven.</w:t>
      </w:r>
    </w:p>
    <w:bookmarkEnd w:id="52"/>
    <w:bookmarkEnd w:id="53"/>
    <w:bookmarkStart w:id="5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three findings together tell a coherent policy story. First,</w:t>
      </w:r>
      <w:r>
        <w:t xml:space="preserve"> </w:t>
      </w:r>
      <w:r>
        <w:t xml:space="preserve">outages cause homicides — a mechanism previously undocumented but</w:t>
      </w:r>
      <w:r>
        <w:t xml:space="preserve"> </w:t>
      </w:r>
      <w:r>
        <w:t xml:space="preserve">biologically and socially plausible. Second, the mechanism is</w:t>
      </w:r>
      <w:r>
        <w:t xml:space="preserve"> </w:t>
      </w:r>
      <w:r>
        <w:t xml:space="preserve">concentrated in populations doubly vulnerable to heat and energy</w:t>
      </w:r>
      <w:r>
        <w:t xml:space="preserve"> </w:t>
      </w:r>
      <w:r>
        <w:t xml:space="preserve">burden. Third, existing interventions — utility BESS, CDC HHI-guided</w:t>
      </w:r>
      <w:r>
        <w:t xml:space="preserve"> </w:t>
      </w:r>
      <w:r>
        <w:t xml:space="preserve">programs, California SGIP residential storage — are correctly</w:t>
      </w:r>
      <w:r>
        <w:t xml:space="preserve"> </w:t>
      </w:r>
      <w:r>
        <w:t xml:space="preserve">targeted and appear to protect exactly the populations most at</w:t>
      </w:r>
      <w:r>
        <w:t xml:space="preserve"> </w:t>
      </w:r>
      <w:r>
        <w:t xml:space="preserve">risk. The super-linear HHI × SGIP finding suggests that the two</w:t>
      </w:r>
      <w:r>
        <w:t xml:space="preserve"> </w:t>
      </w:r>
      <w:r>
        <w:t xml:space="preserve">targeting mechanisms are complementary rather than substitutable:</w:t>
      </w:r>
      <w:r>
        <w:t xml:space="preserve"> </w:t>
      </w:r>
      <w:r>
        <w:t xml:space="preserve">neither alone captures the population that needs protection most.</w:t>
      </w:r>
    </w:p>
    <w:p>
      <w:pPr>
        <w:pStyle w:val="BodyText"/>
      </w:pPr>
      <w:r>
        <w:rPr>
          <w:bCs/>
          <w:b/>
        </w:rPr>
        <w:t xml:space="preserve">Implications for infrastructure planning</w:t>
      </w:r>
      <w:r>
        <w:t xml:space="preserve">: (a) utility-scale</w:t>
      </w:r>
      <w:r>
        <w:t xml:space="preserve"> </w:t>
      </w:r>
      <w:r>
        <w:t xml:space="preserve">storage siting decisions should weight heat-pathway protection</w:t>
      </w:r>
      <w:r>
        <w:t xml:space="preserve"> </w:t>
      </w:r>
      <w:r>
        <w:t xml:space="preserve">alongside frequency-regulation and arbitrage value; (b) residential-</w:t>
      </w:r>
      <w:r>
        <w:t xml:space="preserve"> </w:t>
      </w:r>
      <w:r>
        <w:t xml:space="preserve">storage incentive programs should preserve the equity-tier LMI</w:t>
      </w:r>
      <w:r>
        <w:t xml:space="preserve"> </w:t>
      </w:r>
      <w:r>
        <w:t xml:space="preserve">targeting that SGIP demonstrates works; (c) CDC HHI’s tract-level</w:t>
      </w:r>
      <w:r>
        <w:t xml:space="preserve"> </w:t>
      </w:r>
      <w:r>
        <w:t xml:space="preserve">data should be used as an operational planning input, not just</w:t>
      </w:r>
      <w:r>
        <w:t xml:space="preserve"> </w:t>
      </w:r>
      <w:r>
        <w:t xml:space="preserve">retrospective vulnerability assessment.</w:t>
      </w:r>
    </w:p>
    <w:bookmarkEnd w:id="54"/>
    <w:bookmarkStart w:id="55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CDC HHI is single-vintage 2024</w:t>
      </w:r>
      <w:r>
        <w:t xml:space="preserve">, broadcast across 2014/2018/</w:t>
      </w:r>
      <w:r>
        <w:t xml:space="preserve"> </w:t>
      </w:r>
      <w:r>
        <w:t xml:space="preserve">2022 panel waves. Underlying heat-vulnerability rankings are</w:t>
      </w:r>
      <w:r>
        <w:t xml:space="preserve"> </w:t>
      </w:r>
      <w:r>
        <w:t xml:space="preserve">plausibly time-invariant at the county level over a decade, but</w:t>
      </w:r>
      <w:r>
        <w:t xml:space="preserve"> </w:t>
      </w:r>
      <w:r>
        <w:t xml:space="preserve">program-effectiveness estimates should be interpreted as reflecting</w:t>
      </w:r>
      <w:r>
        <w:t xml:space="preserve"> </w:t>
      </w:r>
      <w:r>
        <w:t xml:space="preserve">the HHI structure as observed in 2024.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 SGIP is California-only.</w:t>
      </w:r>
      <w:r>
        <w:t xml:space="preserve"> </w:t>
      </w:r>
      <w:r>
        <w:t xml:space="preserve">The strongest burden-pathway</w:t>
      </w:r>
      <w:r>
        <w:t xml:space="preserve"> </w:t>
      </w:r>
      <w:r>
        <w:t xml:space="preserve">finding rests on within-CA variation. New York (NYSERDA) and</w:t>
      </w:r>
      <w:r>
        <w:t xml:space="preserve"> </w:t>
      </w:r>
      <w:r>
        <w:t xml:space="preserve">Massachusetts (Connected Solutions) publish similar residential-</w:t>
      </w:r>
      <w:r>
        <w:t xml:space="preserve"> </w:t>
      </w:r>
      <w:r>
        <w:t xml:space="preserve">storage incentive data that could extend this analysis nationally</w:t>
      </w:r>
      <w:r>
        <w:t xml:space="preserve"> </w:t>
      </w:r>
      <w:r>
        <w:t xml:space="preserve">(future work).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WONDER n &lt; 10 suppression</w:t>
      </w:r>
      <w:r>
        <w:t xml:space="preserve"> </w:t>
      </w:r>
      <w:r>
        <w:t xml:space="preserve">limits the non-firearm sub-cause</w:t>
      </w:r>
      <w:r>
        <w:t xml:space="preserve"> </w:t>
      </w:r>
      <w:r>
        <w:t xml:space="preserve">decomposition. Only cutting/sharp assault (X99) fits at the</w:t>
      </w:r>
      <w:r>
        <w:t xml:space="preserve"> </w:t>
      </w:r>
      <w:r>
        <w:t xml:space="preserve">tract-year level; blunt, strangulation, and bodily-force are too</w:t>
      </w:r>
      <w:r>
        <w:t xml:space="preserve"> </w:t>
      </w:r>
      <w:r>
        <w:t xml:space="preserve">suppressed to fit. FBI CDE API has been deprecated; ICPSR / Kaplan</w:t>
      </w:r>
      <w:r>
        <w:t xml:space="preserve"> </w:t>
      </w:r>
      <w:r>
        <w:t xml:space="preserve">mirrors require authentication (deferred).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Ownership-typed BESS</w:t>
      </w:r>
      <w:r>
        <w:t xml:space="preserve"> </w:t>
      </w:r>
      <w:r>
        <w:t xml:space="preserve">attribution is limited to the ~15% of</w:t>
      </w:r>
      <w:r>
        <w:t xml:space="preserve"> </w:t>
      </w:r>
      <w:r>
        <w:t xml:space="preserve">2022 US MW covered by EIA-860 Schedule 4 multi-owner records. The</w:t>
      </w:r>
      <w:r>
        <w:t xml:space="preserve"> </w:t>
      </w:r>
      <w:r>
        <w:t xml:space="preserve">majority signal is in the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(single-owner) bucket; operator-</w:t>
      </w:r>
      <w:r>
        <w:t xml:space="preserve"> </w:t>
      </w:r>
      <w:r>
        <w:t xml:space="preserve">side enrichment via Generator sheet</w:t>
      </w:r>
      <w:r>
        <w:t xml:space="preserve"> </w:t>
      </w:r>
      <w:r>
        <w:rPr>
          <w:rStyle w:val="VerbatimChar"/>
        </w:rPr>
        <w:t xml:space="preserve">operator_id</w:t>
      </w:r>
      <w:r>
        <w:t xml:space="preserve"> </w:t>
      </w:r>
      <w:r>
        <w:t xml:space="preserve">would improve</w:t>
      </w:r>
      <w:r>
        <w:t xml:space="preserve"> </w:t>
      </w:r>
      <w:r>
        <w:t xml:space="preserve">resolution.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Outage exposure is not experimentally assigned</w:t>
      </w:r>
      <w:r>
        <w:t xml:space="preserve">; the FE-DiD</w:t>
      </w:r>
      <w:r>
        <w:t xml:space="preserve"> </w:t>
      </w:r>
      <w:r>
        <w:t xml:space="preserve">design absorbs time-invariant confounders but cannot rule out</w:t>
      </w:r>
      <w:r>
        <w:t xml:space="preserve"> </w:t>
      </w:r>
      <w:r>
        <w:t xml:space="preserve">time-varying local shocks correlated with both outage exposure and</w:t>
      </w:r>
      <w:r>
        <w:t xml:space="preserve"> </w:t>
      </w:r>
      <w:r>
        <w:t xml:space="preserve">homicide (e.g., a hurricane’s economic impact independent of the</w:t>
      </w:r>
      <w:r>
        <w:t xml:space="preserve"> </w:t>
      </w:r>
      <w:r>
        <w:t xml:space="preserve">outage itself).</w:t>
      </w:r>
    </w:p>
    <w:bookmarkEnd w:id="55"/>
    <w:bookmarkStart w:id="56" w:name="reproducibility"/>
    <w:p>
      <w:pPr>
        <w:pStyle w:val="Heading1"/>
      </w:pPr>
      <w:r>
        <w:t xml:space="preserve">Reproducibility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Analysis lock</w:t>
      </w:r>
      <w:r>
        <w:t xml:space="preserve">: git tag</w:t>
      </w:r>
      <w:r>
        <w:t xml:space="preserve"> </w:t>
      </w:r>
      <w:r>
        <w:rPr>
          <w:rStyle w:val="VerbatimChar"/>
        </w:rPr>
        <w:t xml:space="preserve">wave-L2-locked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outage-homicide-analysis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ScheierVentures/emburden</w:t>
      </w:r>
      <w:r>
        <w:t xml:space="preserve"> </w:t>
      </w:r>
      <w:r>
        <w:t xml:space="preserve">repository (private).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 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analysis/session_info.md</w:t>
      </w:r>
      <w:r>
        <w:t xml:space="preserve"> </w:t>
      </w:r>
      <w:r>
        <w:t xml:space="preserve">captures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+ all 13 emburden ecosystem package git SHAs at the</w:t>
      </w:r>
      <w:r>
        <w:t xml:space="preserve"> </w:t>
      </w:r>
      <w:r>
        <w:t xml:space="preserve">lock commit.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Pre-registration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analysis/PRE_REGISTRATION.md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Panel column contract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data/PANEL_SCHEMA.md</w:t>
      </w:r>
      <w:r>
        <w:t xml:space="preserve"> </w:t>
      </w:r>
      <w:r>
        <w:t xml:space="preserve">documents</w:t>
      </w:r>
      <w:r>
        <w:t xml:space="preserve"> </w:t>
      </w:r>
      <w:r>
        <w:t xml:space="preserve">column families, sources, units, temporal coverage, and known</w:t>
      </w:r>
      <w:r>
        <w:t xml:space="preserve"> </w:t>
      </w:r>
      <w:r>
        <w:t xml:space="preserve">caveats.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Panel builder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analysis/merge_ders_into_tract_panel.R</w:t>
      </w:r>
      <w:r>
        <w:t xml:space="preserve"> </w:t>
      </w:r>
      <w:r>
        <w:t xml:space="preserve">composes the enriched panel from cached upstream sources; every</w:t>
      </w:r>
      <w:r>
        <w:t xml:space="preserve"> </w:t>
      </w:r>
      <w:r>
        <w:t xml:space="preserve">upstream call is a public function in</w:t>
      </w:r>
      <w:r>
        <w:t xml:space="preserve"> </w:t>
      </w:r>
      <w:r>
        <w:rPr>
          <w:rStyle w:val="VerbatimChar"/>
        </w:rPr>
        <w:t xml:space="preserve">emburdender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emburdendata</w:t>
      </w:r>
      <w:r>
        <w:t xml:space="preserve"> </w:t>
      </w:r>
      <w:r>
        <w:t xml:space="preserve">(Wave F fleet-integration cleanup, see REPORT §23).</w:t>
      </w:r>
    </w:p>
    <w:bookmarkEnd w:id="56"/>
    <w:bookmarkStart w:id="57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All analysis code, wave scripts, and figure builders are in the</w:t>
      </w:r>
      <w:r>
        <w:t xml:space="preserve"> </w:t>
      </w:r>
      <w:r>
        <w:rPr>
          <w:rStyle w:val="VerbatimChar"/>
        </w:rPr>
        <w:t xml:space="preserve">outage-homicide-analysis</w:t>
      </w:r>
      <w:r>
        <w:t xml:space="preserve"> </w:t>
      </w:r>
      <w:r>
        <w:t xml:space="preserve">branch of</w:t>
      </w:r>
      <w:r>
        <w:t xml:space="preserve"> </w:t>
      </w:r>
      <w:r>
        <w:rPr>
          <w:rStyle w:val="VerbatimChar"/>
        </w:rPr>
        <w:t xml:space="preserve">ScheierVentures/emburden</w:t>
      </w:r>
      <w:r>
        <w:t xml:space="preserve"> </w:t>
      </w:r>
      <w:r>
        <w:t xml:space="preserve">(request access via</w:t>
      </w:r>
      <w:r>
        <w:t xml:space="preserve"> </w:t>
      </w:r>
      <w:r>
        <w:rPr>
          <w:rStyle w:val="VerbatimChar"/>
        </w:rPr>
        <w:t xml:space="preserve">hello@emrgi.com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emburden</w:t>
      </w:r>
      <w:r>
        <w:t xml:space="preserve"> </w:t>
      </w:r>
      <w:r>
        <w:t xml:space="preserve">ecosystem</w:t>
      </w:r>
      <w:r>
        <w:t xml:space="preserve"> </w:t>
      </w:r>
      <w:r>
        <w:t xml:space="preserve">packages (</w:t>
      </w:r>
      <w:r>
        <w:rPr>
          <w:rStyle w:val="VerbatimChar"/>
        </w:rPr>
        <w:t xml:space="preserve">emburdendata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emburdender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emburdenutil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emburdenplus</w:t>
      </w:r>
      <w:r>
        <w:t xml:space="preserve">, …) are open source on GitHub. Upstream data</w:t>
      </w:r>
      <w:r>
        <w:t xml:space="preserve"> </w:t>
      </w:r>
      <w:r>
        <w:t xml:space="preserve">sources are all public: CDC WONDER, CDC EPHT, CDC HHI (Harvard</w:t>
      </w:r>
      <w:r>
        <w:t xml:space="preserve"> </w:t>
      </w:r>
      <w:r>
        <w:t xml:space="preserve">Dataverse), EIA-860, EIA-861, LBNL Tracking-the-Sun, USGS USPVDB,</w:t>
      </w:r>
      <w:r>
        <w:t xml:space="preserve"> </w:t>
      </w:r>
      <w:r>
        <w:t xml:space="preserve">NCSL / SEIA community solar, ORNL EAGLE-I (Figshare), FEMA disaster</w:t>
      </w:r>
      <w:r>
        <w:t xml:space="preserve"> </w:t>
      </w:r>
      <w:r>
        <w:t xml:space="preserve">declarations, and California SGIP.</w:t>
      </w:r>
    </w:p>
    <w:bookmarkEnd w:id="57"/>
    <w:bookmarkStart w:id="58" w:name="references"/>
    <w:p>
      <w:pPr>
        <w:pStyle w:val="Heading1"/>
      </w:pPr>
      <w:r>
        <w:t xml:space="preserve">References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outages cause homicides in the United States, and distributed storage protects the most vulnerable populations</dc:title>
  <dc:creator/>
  <cp:keywords/>
  <dcterms:created xsi:type="dcterms:W3CDTF">2026-08-29T20:24:35Z</dcterms:created>
  <dcterms:modified xsi:type="dcterms:W3CDTF">2026-08-29T20:24:35Z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outage_homicide.bib</vt:lpwstr>
  </property>
  <property fmtid="{D5CDD505-2E9C-101B-9397-08002B2CF9AE}" pid="3" name="date">
    <vt:lpwstr>August 29, 2026</vt:lpwstr>
  </property>
  <property fmtid="{D5CDD505-2E9C-101B-9397-08002B2CF9AE}" pid="4" name="link-citations">
    <vt:lpwstr>True</vt:lpwstr>
  </property>
  <property fmtid="{D5CDD505-2E9C-101B-9397-08002B2CF9AE}" pid="5" name="output">
    <vt:lpwstr/>
  </property>
</Properties>
</file>