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实践详情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这是擂台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1天构建一个多合同交叉校验的智能合同法审系统Demo</w:t>
              </w:r>
            </w:hyperlink>
            <w:r>
              <w:rPr>
                <w:rFonts w:eastAsia="等线" w:ascii="Arial" w:cs="Arial" w:hAnsi="Arial"/>
                <w:sz w:val="22"/>
              </w:rPr>
              <w:t>（编号Case260109X01）的实践详情。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方案介绍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35"/>
        <w:gridCol w:w="1005"/>
        <w:gridCol w:w="5340"/>
      </w:tblGrid>
      <w:tr>
        <w:tc>
          <w:tcPr>
            <w:tcW w:w="19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PHASE 1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需求识别与价值确认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咨询顾问 1 名：梳理合同类型与审核点体系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Agent工程师 1 名：设计整体 Agent 与工作流结构</w:t>
            </w:r>
          </w:p>
        </w:tc>
      </w:tr>
      <w:tr>
        <w:tc>
          <w:tcPr>
            <w:tcW w:w="19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梳理行业项目级合同审核完整流程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归纳数十类合同与数百条专业审核点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明确跨合同关联与人工干预节点</w:t>
            </w:r>
          </w:p>
        </w:tc>
      </w:tr>
      <w:tr>
        <w:tc>
          <w:tcPr>
            <w:tcW w:w="19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本站相关模板，仅供参考：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初步验证需求文档模板</w:t>
              </w:r>
            </w:hyperlink>
          </w:p>
        </w:tc>
      </w:tr>
      <w:tr>
        <w:tc>
          <w:tcPr>
            <w:tcW w:w="19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业务侧需求说明文档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行业属性、目标用户、建设周期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项目级合同审核的完整业务流程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主要痛点与价值预期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技术侧初步设计说明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要素抽取与合同审核的拆分思路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人机协作关键节点定义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对规则库与工作流的整体设想</w:t>
            </w:r>
          </w:p>
        </w:tc>
      </w:tr>
      <w:tr>
        <w:tc>
          <w:tcPr>
            <w:tcW w:w="19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日</w:t>
            </w:r>
          </w:p>
        </w:tc>
      </w:tr>
      <w:tr>
        <w:tc>
          <w:tcPr>
            <w:tcW w:w="19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PHASE 2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初步验证与立项（PoC）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咨询顾问 1 名：梳理合同类型与审核点体系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工程师 1 名：设计整体 Agent 与工作流结构</w:t>
            </w:r>
          </w:p>
        </w:tc>
      </w:tr>
      <w:tr>
        <w:tc>
          <w:tcPr>
            <w:tcW w:w="19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拆分为“要素提取”和“合同审核”两条独立工作流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构建可配置的审核规则体系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规则分类驱动不同工作流分支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引入人机协作机制以规避模型幻觉</w:t>
            </w:r>
          </w:p>
        </w:tc>
      </w:tr>
      <w:tr>
        <w:tc>
          <w:tcPr>
            <w:tcW w:w="19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本站相关模板，仅供参考：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初步验证报告模板</w:t>
              </w:r>
            </w:hyperlink>
            <w:r>
              <w:rPr>
                <w:rFonts w:eastAsia="等线" w:ascii="Arial" w:cs="Arial" w:hAnsi="Arial"/>
                <w:sz w:val="22"/>
              </w:rPr>
              <w:t>，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立项报告模板</w:t>
              </w:r>
            </w:hyperlink>
          </w:p>
        </w:tc>
      </w:tr>
      <w:tr>
        <w:tc>
          <w:tcPr>
            <w:tcW w:w="19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可完整跑通的合同法审 Demo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PoC 验证报告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审核流程可行性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效率与准确性初步评估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项目立项所需的技术与业务材料</w:t>
            </w:r>
          </w:p>
        </w:tc>
      </w:tr>
      <w:tr>
        <w:tc>
          <w:tcPr>
            <w:tcW w:w="19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5-7日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PHASE 3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正式上线与优化迭代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阶段概述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项目进入正式开发与落地阶段，重点不再是“是否可行”，而是围绕稳定性、可扩展性与业务适配能力进行持续优化。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实施内容如下：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合同类型与审核规则的持续扩展</w:t>
              <w:br/>
            </w:r>
            <w:r>
              <w:rPr>
                <w:rFonts w:eastAsia="等线" w:ascii="Arial" w:cs="Arial" w:hAnsi="Arial"/>
                <w:sz w:val="22"/>
              </w:rPr>
              <w:t>随着业务推进，不断补充新的合同类型，并在原有规则体系下扩展新的审核点，确保不破坏既有逻辑的前提下实现平滑扩展。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强化跨合同与跨材料关联分析</w:t>
              <w:br/>
            </w:r>
            <w:r>
              <w:rPr>
                <w:rFonts w:eastAsia="等线" w:ascii="Arial" w:cs="Arial" w:hAnsi="Arial"/>
                <w:sz w:val="22"/>
              </w:rPr>
              <w:t>支持上传辅助证明文件，并将其与合同正文内容进行自动关联分析与交叉印证，进一步提升复杂场景下的审核完整性。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优化审核结果呈现与可追溯性</w:t>
              <w:br/>
            </w:r>
            <w:r>
              <w:rPr>
                <w:rFonts w:eastAsia="等线" w:ascii="Arial" w:cs="Arial" w:hAnsi="Arial"/>
                <w:sz w:val="22"/>
              </w:rPr>
              <w:t>在前端界面中提供原文与风险点对照展示、高亮标注、风险等级区分及带批注结果下载，提升审核人员的使用体验与结果可信度。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持续优化人机协作路径</w:t>
              <w:br/>
            </w:r>
            <w:r>
              <w:rPr>
                <w:rFonts w:eastAsia="等线" w:ascii="Arial" w:cs="Arial" w:hAnsi="Arial"/>
                <w:sz w:val="22"/>
              </w:rPr>
              <w:t>根据实际使用反馈，细化人工确认与干预节点的交互方式，确保既不增加额外负担，又能有效控制审核风险。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技术步骤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本节仅聚焦 Demo 阶段，介绍如何在较短时间内，从零搭建一个可运行、可演示、可复现的合同审核工作流。该工作流用于验证在复杂金融法审场景下，规则驱动的大模型 Agent 是否能够稳定执行多审核点判断。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步骤一：明确审核输入与上下文结构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Demo 阶段，合同审核工作流的输入被简化并标准化为三类核心信息：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合同文本：单份或多份合同正文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已确认的合同要素：如主体名称、金额、编号等（假定已由上游要素提取或人工确认完成）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审核规则配置：包含审核点、审核类型、风险等级及适用合同类型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通过明确输入边界，确保该工作流专注于“审核判断”本身，而不承担前置解析职责。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步骤二：配置审核点与合同类型映射关系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在工作流启动前，先完成规则侧的基础配置：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定义多个审核点，每个审核点包含：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审核目标描述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审核类型（如一致性比对、语义合规等）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风险等级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定义合同类型（如贷款合同、保证合同等）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建立“审核点—合同类型”映射关系，决定：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某一审核点是否适用于当前合同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审核时是否需要跨合同信息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该配置直接影响后续规则遍历与判断路径，是实现规则复用的关键。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步骤三：搭建审核点遍历与循环执行逻辑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在工作流中，通过 代码节点 + 循环结构 实现以下逻辑：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对当前合同所适用的所有审核点进行逐条遍历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确保每一个审核点都会被显式执行一次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审核结果按审核点维度逐条输出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这种显式遍历方式避免了“整体判断”“合并判断”等不可控模式，从结构上杜绝漏审。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步骤四：按审核类型设置条件分支判断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针对不同类型的审核点，在工作流中设置条件分支节点：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一致性比对类审核点：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对比当前合同要素与项目内其他合同要素是否一致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语义合规类审核点：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基于合同条款语义进行合规性判断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材料完备性类审核点：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判断合同是否缺失必要条款或附件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不同审核类型进入不同判断分支，避免复杂逻辑混杂在单一模型调用中，提升判断准确性与可解释性。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步骤五：生成结构化审核结果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在每个审核点执行完成后，统一输出结构化结果，包括：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审核点名称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审核结论（通过 / 存在风险）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风险说明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关联的合同原文位置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所有审核点结果汇总后，作为合同审核工作流的最终输出，供前端展示与人工复核使用。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Demo 阶段说明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该工作流可在约 1天内完成搭建，主要用于验证：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规则驱动 Agent 是否可控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审核点是否可逐条覆盖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复杂审核逻辑是否具备可解释性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方案体验与宣传</w:t>
      </w:r>
      <w:bookmarkEnd w:id="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本方案以“项目级合同审核”为核心使用路径，通过定制化前端界面 + 后端合同审核工作流的协同，向用户提供一套完整、连贯且贴合真实法审工作的使用体验。整体流程既覆盖自动化审核能力，也为人工判断预留充分干预空间，确保结果的可控性与可信度。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整体使用流程概述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用户在前端系统中以“项目”为操作起点，围绕同一项目下的多份合同完成从管理、审核到结果输出的完整流程。具体使用步骤包括：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创建项目并集中管理项目相关合同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为不同合同指定合同类型并配置适用的审核规则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触发合同审核工作流，自动执行规则化审查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在前端查看审核结果并进行人工复核与批注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输出带风险标注的审核结果文件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该流程与金融法审人员的实际工作方式高度一致，无需改变既有审查习惯即可上手使用。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988">
    <w:lvl>
      <w:numFmt w:val="bullet"/>
      <w:suff w:val="tab"/>
      <w:lvlText w:val="•"/>
      <w:rPr>
        <w:color w:val="3370ff"/>
      </w:rPr>
    </w:lvl>
  </w:abstractNum>
  <w:abstractNum w:abstractNumId="69989">
    <w:lvl>
      <w:numFmt w:val="bullet"/>
      <w:suff w:val="tab"/>
      <w:lvlText w:val="•"/>
      <w:rPr>
        <w:color w:val="3370ff"/>
      </w:rPr>
    </w:lvl>
  </w:abstractNum>
  <w:abstractNum w:abstractNumId="69990">
    <w:lvl>
      <w:numFmt w:val="bullet"/>
      <w:suff w:val="tab"/>
      <w:lvlText w:val="•"/>
      <w:rPr>
        <w:color w:val="3370ff"/>
      </w:rPr>
    </w:lvl>
  </w:abstractNum>
  <w:abstractNum w:abstractNumId="69991">
    <w:lvl>
      <w:numFmt w:val="bullet"/>
      <w:suff w:val="tab"/>
      <w:lvlText w:val="•"/>
      <w:rPr>
        <w:color w:val="3370ff"/>
      </w:rPr>
    </w:lvl>
  </w:abstractNum>
  <w:abstractNum w:abstractNumId="69992">
    <w:lvl>
      <w:numFmt w:val="bullet"/>
      <w:suff w:val="tab"/>
      <w:lvlText w:val="•"/>
      <w:rPr>
        <w:color w:val="3370ff"/>
      </w:rPr>
    </w:lvl>
  </w:abstractNum>
  <w:abstractNum w:abstractNumId="69993">
    <w:lvl>
      <w:numFmt w:val="bullet"/>
      <w:suff w:val="tab"/>
      <w:lvlText w:val="•"/>
      <w:rPr>
        <w:color w:val="3370ff"/>
      </w:rPr>
    </w:lvl>
  </w:abstractNum>
  <w:abstractNum w:abstractNumId="69994">
    <w:lvl>
      <w:numFmt w:val="bullet"/>
      <w:suff w:val="tab"/>
      <w:lvlText w:val="•"/>
      <w:rPr>
        <w:color w:val="3370ff"/>
      </w:rPr>
    </w:lvl>
  </w:abstractNum>
  <w:abstractNum w:abstractNumId="69995">
    <w:lvl>
      <w:numFmt w:val="bullet"/>
      <w:suff w:val="tab"/>
      <w:lvlText w:val="￮"/>
      <w:rPr>
        <w:color w:val="3370ff"/>
      </w:rPr>
    </w:lvl>
  </w:abstractNum>
  <w:abstractNum w:abstractNumId="69996">
    <w:lvl>
      <w:numFmt w:val="bullet"/>
      <w:suff w:val="tab"/>
      <w:lvlText w:val="￮"/>
      <w:rPr>
        <w:color w:val="3370ff"/>
      </w:rPr>
    </w:lvl>
  </w:abstractNum>
  <w:abstractNum w:abstractNumId="69997">
    <w:lvl>
      <w:numFmt w:val="bullet"/>
      <w:suff w:val="tab"/>
      <w:lvlText w:val="￮"/>
      <w:rPr>
        <w:color w:val="3370ff"/>
      </w:rPr>
    </w:lvl>
  </w:abstractNum>
  <w:abstractNum w:abstractNumId="69998">
    <w:lvl>
      <w:numFmt w:val="bullet"/>
      <w:suff w:val="tab"/>
      <w:lvlText w:val="•"/>
      <w:rPr>
        <w:color w:val="3370ff"/>
      </w:rPr>
    </w:lvl>
  </w:abstractNum>
  <w:abstractNum w:abstractNumId="69999">
    <w:lvl>
      <w:numFmt w:val="bullet"/>
      <w:suff w:val="tab"/>
      <w:lvlText w:val="￮"/>
      <w:rPr>
        <w:color w:val="3370ff"/>
      </w:rPr>
    </w:lvl>
  </w:abstractNum>
  <w:abstractNum w:abstractNumId="70000">
    <w:lvl>
      <w:numFmt w:val="bullet"/>
      <w:suff w:val="tab"/>
      <w:lvlText w:val="￮"/>
      <w:rPr>
        <w:color w:val="3370ff"/>
      </w:rPr>
    </w:lvl>
  </w:abstractNum>
  <w:abstractNum w:abstractNumId="70001">
    <w:lvl>
      <w:numFmt w:val="bullet"/>
      <w:suff w:val="tab"/>
      <w:lvlText w:val="•"/>
      <w:rPr>
        <w:color w:val="3370ff"/>
      </w:rPr>
    </w:lvl>
  </w:abstractNum>
  <w:abstractNum w:abstractNumId="70002">
    <w:lvl>
      <w:numFmt w:val="bullet"/>
      <w:suff w:val="tab"/>
      <w:lvlText w:val="•"/>
      <w:rPr>
        <w:color w:val="3370ff"/>
      </w:rPr>
    </w:lvl>
  </w:abstractNum>
  <w:abstractNum w:abstractNumId="70003">
    <w:lvl>
      <w:numFmt w:val="bullet"/>
      <w:suff w:val="tab"/>
      <w:lvlText w:val="•"/>
      <w:rPr>
        <w:color w:val="3370ff"/>
      </w:rPr>
    </w:lvl>
  </w:abstractNum>
  <w:abstractNum w:abstractNumId="70004">
    <w:lvl>
      <w:numFmt w:val="bullet"/>
      <w:suff w:val="tab"/>
      <w:lvlText w:val="•"/>
      <w:rPr>
        <w:color w:val="3370ff"/>
      </w:rPr>
    </w:lvl>
  </w:abstractNum>
  <w:abstractNum w:abstractNumId="70005">
    <w:lvl>
      <w:numFmt w:val="bullet"/>
      <w:suff w:val="tab"/>
      <w:lvlText w:val="•"/>
      <w:rPr>
        <w:color w:val="3370ff"/>
      </w:rPr>
    </w:lvl>
  </w:abstractNum>
  <w:abstractNum w:abstractNumId="70006">
    <w:lvl>
      <w:numFmt w:val="bullet"/>
      <w:suff w:val="tab"/>
      <w:lvlText w:val="•"/>
      <w:rPr>
        <w:color w:val="3370ff"/>
      </w:rPr>
    </w:lvl>
  </w:abstractNum>
  <w:abstractNum w:abstractNumId="70007">
    <w:lvl>
      <w:numFmt w:val="bullet"/>
      <w:suff w:val="tab"/>
      <w:lvlText w:val="•"/>
      <w:rPr>
        <w:color w:val="3370ff"/>
      </w:rPr>
    </w:lvl>
  </w:abstractNum>
  <w:abstractNum w:abstractNumId="70008">
    <w:lvl>
      <w:numFmt w:val="bullet"/>
      <w:suff w:val="tab"/>
      <w:lvlText w:val="•"/>
      <w:rPr>
        <w:color w:val="3370ff"/>
      </w:rPr>
    </w:lvl>
  </w:abstractNum>
  <w:abstractNum w:abstractNumId="70009">
    <w:lvl>
      <w:numFmt w:val="bullet"/>
      <w:suff w:val="tab"/>
      <w:lvlText w:val="•"/>
      <w:rPr>
        <w:color w:val="3370ff"/>
      </w:rPr>
    </w:lvl>
  </w:abstractNum>
  <w:abstractNum w:abstractNumId="70010">
    <w:lvl>
      <w:numFmt w:val="bullet"/>
      <w:suff w:val="tab"/>
      <w:lvlText w:val="•"/>
      <w:rPr>
        <w:color w:val="3370ff"/>
      </w:rPr>
    </w:lvl>
  </w:abstractNum>
  <w:abstractNum w:abstractNumId="70011">
    <w:lvl>
      <w:numFmt w:val="bullet"/>
      <w:suff w:val="tab"/>
      <w:lvlText w:val="￮"/>
      <w:rPr>
        <w:color w:val="3370ff"/>
      </w:rPr>
    </w:lvl>
  </w:abstractNum>
  <w:abstractNum w:abstractNumId="70012">
    <w:lvl>
      <w:numFmt w:val="bullet"/>
      <w:suff w:val="tab"/>
      <w:lvlText w:val="￮"/>
      <w:rPr>
        <w:color w:val="3370ff"/>
      </w:rPr>
    </w:lvl>
  </w:abstractNum>
  <w:abstractNum w:abstractNumId="70013">
    <w:lvl>
      <w:numFmt w:val="bullet"/>
      <w:suff w:val="tab"/>
      <w:lvlText w:val="•"/>
      <w:rPr>
        <w:color w:val="3370ff"/>
      </w:rPr>
    </w:lvl>
  </w:abstractNum>
  <w:abstractNum w:abstractNumId="70014">
    <w:lvl>
      <w:start w:val="1"/>
      <w:numFmt w:val="decimal"/>
      <w:suff w:val="tab"/>
      <w:lvlText w:val="%1."/>
      <w:rPr>
        <w:color w:val="3370ff"/>
      </w:rPr>
    </w:lvl>
  </w:abstractNum>
  <w:abstractNum w:abstractNumId="70015">
    <w:lvl>
      <w:start w:val="2"/>
      <w:numFmt w:val="decimal"/>
      <w:suff w:val="tab"/>
      <w:lvlText w:val="%1."/>
      <w:rPr>
        <w:color w:val="3370ff"/>
      </w:rPr>
    </w:lvl>
  </w:abstractNum>
  <w:abstractNum w:abstractNumId="70016">
    <w:lvl>
      <w:start w:val="3"/>
      <w:numFmt w:val="decimal"/>
      <w:suff w:val="tab"/>
      <w:lvlText w:val="%1."/>
      <w:rPr>
        <w:color w:val="3370ff"/>
      </w:rPr>
    </w:lvl>
  </w:abstractNum>
  <w:abstractNum w:abstractNumId="70017">
    <w:lvl>
      <w:start w:val="4"/>
      <w:numFmt w:val="decimal"/>
      <w:suff w:val="tab"/>
      <w:lvlText w:val="%1."/>
      <w:rPr>
        <w:color w:val="3370ff"/>
      </w:rPr>
    </w:lvl>
  </w:abstractNum>
  <w:abstractNum w:abstractNumId="70018">
    <w:lvl>
      <w:numFmt w:val="bullet"/>
      <w:suff w:val="tab"/>
      <w:lvlText w:val="•"/>
      <w:rPr>
        <w:color w:val="3370ff"/>
      </w:rPr>
    </w:lvl>
  </w:abstractNum>
  <w:abstractNum w:abstractNumId="70019">
    <w:lvl>
      <w:numFmt w:val="bullet"/>
      <w:suff w:val="tab"/>
      <w:lvlText w:val="•"/>
      <w:rPr>
        <w:color w:val="3370ff"/>
      </w:rPr>
    </w:lvl>
  </w:abstractNum>
  <w:abstractNum w:abstractNumId="70020">
    <w:lvl>
      <w:numFmt w:val="bullet"/>
      <w:suff w:val="tab"/>
      <w:lvlText w:val="•"/>
      <w:rPr>
        <w:color w:val="3370ff"/>
      </w:rPr>
    </w:lvl>
  </w:abstractNum>
  <w:abstractNum w:abstractNumId="70021">
    <w:lvl>
      <w:numFmt w:val="bullet"/>
      <w:suff w:val="tab"/>
      <w:lvlText w:val="•"/>
      <w:rPr>
        <w:color w:val="3370ff"/>
      </w:rPr>
    </w:lvl>
  </w:abstractNum>
  <w:abstractNum w:abstractNumId="70022">
    <w:lvl>
      <w:numFmt w:val="bullet"/>
      <w:suff w:val="tab"/>
      <w:lvlText w:val="￮"/>
      <w:rPr>
        <w:color w:val="3370ff"/>
      </w:rPr>
    </w:lvl>
  </w:abstractNum>
  <w:abstractNum w:abstractNumId="70023">
    <w:lvl>
      <w:numFmt w:val="bullet"/>
      <w:suff w:val="tab"/>
      <w:lvlText w:val="￮"/>
      <w:rPr>
        <w:color w:val="3370ff"/>
      </w:rPr>
    </w:lvl>
  </w:abstractNum>
  <w:abstractNum w:abstractNumId="70024">
    <w:lvl>
      <w:numFmt w:val="bullet"/>
      <w:suff w:val="tab"/>
      <w:lvlText w:val="￮"/>
      <w:rPr>
        <w:color w:val="3370ff"/>
      </w:rPr>
    </w:lvl>
  </w:abstractNum>
  <w:abstractNum w:abstractNumId="70025">
    <w:lvl>
      <w:numFmt w:val="bullet"/>
      <w:suff w:val="tab"/>
      <w:lvlText w:val="•"/>
      <w:rPr>
        <w:color w:val="3370ff"/>
      </w:rPr>
    </w:lvl>
  </w:abstractNum>
  <w:abstractNum w:abstractNumId="70026">
    <w:lvl>
      <w:numFmt w:val="bullet"/>
      <w:suff w:val="tab"/>
      <w:lvlText w:val="•"/>
      <w:rPr>
        <w:color w:val="3370ff"/>
      </w:rPr>
    </w:lvl>
  </w:abstractNum>
  <w:abstractNum w:abstractNumId="70027">
    <w:lvl>
      <w:numFmt w:val="bullet"/>
      <w:suff w:val="tab"/>
      <w:lvlText w:val="￮"/>
      <w:rPr>
        <w:color w:val="3370ff"/>
      </w:rPr>
    </w:lvl>
  </w:abstractNum>
  <w:abstractNum w:abstractNumId="70028">
    <w:lvl>
      <w:numFmt w:val="bullet"/>
      <w:suff w:val="tab"/>
      <w:lvlText w:val="￮"/>
      <w:rPr>
        <w:color w:val="3370ff"/>
      </w:rPr>
    </w:lvl>
  </w:abstractNum>
  <w:abstractNum w:abstractNumId="70029">
    <w:lvl>
      <w:numFmt w:val="bullet"/>
      <w:suff w:val="tab"/>
      <w:lvlText w:val="•"/>
      <w:rPr>
        <w:color w:val="3370ff"/>
      </w:rPr>
    </w:lvl>
  </w:abstractNum>
  <w:abstractNum w:abstractNumId="70030">
    <w:lvl>
      <w:numFmt w:val="bullet"/>
      <w:suff w:val="tab"/>
      <w:lvlText w:val="•"/>
      <w:rPr>
        <w:color w:val="3370ff"/>
      </w:rPr>
    </w:lvl>
  </w:abstractNum>
  <w:abstractNum w:abstractNumId="70031">
    <w:lvl>
      <w:numFmt w:val="bullet"/>
      <w:suff w:val="tab"/>
      <w:lvlText w:val="•"/>
      <w:rPr>
        <w:color w:val="3370ff"/>
      </w:rPr>
    </w:lvl>
  </w:abstractNum>
  <w:abstractNum w:abstractNumId="70032">
    <w:lvl>
      <w:numFmt w:val="bullet"/>
      <w:suff w:val="tab"/>
      <w:lvlText w:val="•"/>
      <w:rPr>
        <w:color w:val="3370ff"/>
      </w:rPr>
    </w:lvl>
  </w:abstractNum>
  <w:abstractNum w:abstractNumId="70033">
    <w:lvl>
      <w:numFmt w:val="bullet"/>
      <w:suff w:val="tab"/>
      <w:lvlText w:val="￮"/>
      <w:rPr>
        <w:color w:val="3370ff"/>
      </w:rPr>
    </w:lvl>
  </w:abstractNum>
  <w:abstractNum w:abstractNumId="70034">
    <w:lvl>
      <w:numFmt w:val="bullet"/>
      <w:suff w:val="tab"/>
      <w:lvlText w:val="•"/>
      <w:rPr>
        <w:color w:val="3370ff"/>
      </w:rPr>
    </w:lvl>
  </w:abstractNum>
  <w:abstractNum w:abstractNumId="70035">
    <w:lvl>
      <w:numFmt w:val="bullet"/>
      <w:suff w:val="tab"/>
      <w:lvlText w:val="￮"/>
      <w:rPr>
        <w:color w:val="3370ff"/>
      </w:rPr>
    </w:lvl>
  </w:abstractNum>
  <w:abstractNum w:abstractNumId="70036">
    <w:lvl>
      <w:numFmt w:val="bullet"/>
      <w:suff w:val="tab"/>
      <w:lvlText w:val="•"/>
      <w:rPr>
        <w:color w:val="3370ff"/>
      </w:rPr>
    </w:lvl>
  </w:abstractNum>
  <w:abstractNum w:abstractNumId="70037">
    <w:lvl>
      <w:numFmt w:val="bullet"/>
      <w:suff w:val="tab"/>
      <w:lvlText w:val="￮"/>
      <w:rPr>
        <w:color w:val="3370ff"/>
      </w:rPr>
    </w:lvl>
  </w:abstractNum>
  <w:abstractNum w:abstractNumId="70038">
    <w:lvl>
      <w:numFmt w:val="bullet"/>
      <w:suff w:val="tab"/>
      <w:lvlText w:val="•"/>
      <w:rPr>
        <w:color w:val="3370ff"/>
      </w:rPr>
    </w:lvl>
  </w:abstractNum>
  <w:abstractNum w:abstractNumId="70039">
    <w:lvl>
      <w:numFmt w:val="bullet"/>
      <w:suff w:val="tab"/>
      <w:lvlText w:val="•"/>
      <w:rPr>
        <w:color w:val="3370ff"/>
      </w:rPr>
    </w:lvl>
  </w:abstractNum>
  <w:abstractNum w:abstractNumId="70040">
    <w:lvl>
      <w:numFmt w:val="bullet"/>
      <w:suff w:val="tab"/>
      <w:lvlText w:val="•"/>
      <w:rPr>
        <w:color w:val="3370ff"/>
      </w:rPr>
    </w:lvl>
  </w:abstractNum>
  <w:abstractNum w:abstractNumId="70041">
    <w:lvl>
      <w:numFmt w:val="bullet"/>
      <w:suff w:val="tab"/>
      <w:lvlText w:val="•"/>
      <w:rPr>
        <w:color w:val="3370ff"/>
      </w:rPr>
    </w:lvl>
  </w:abstractNum>
  <w:abstractNum w:abstractNumId="70042">
    <w:lvl>
      <w:numFmt w:val="bullet"/>
      <w:suff w:val="tab"/>
      <w:lvlText w:val="•"/>
      <w:rPr>
        <w:color w:val="3370ff"/>
      </w:rPr>
    </w:lvl>
  </w:abstractNum>
  <w:abstractNum w:abstractNumId="70043">
    <w:lvl>
      <w:numFmt w:val="bullet"/>
      <w:suff w:val="tab"/>
      <w:lvlText w:val="•"/>
      <w:rPr>
        <w:color w:val="3370ff"/>
      </w:rPr>
    </w:lvl>
  </w:abstractNum>
  <w:abstractNum w:abstractNumId="70044">
    <w:lvl>
      <w:numFmt w:val="bullet"/>
      <w:suff w:val="tab"/>
      <w:lvlText w:val="•"/>
      <w:rPr>
        <w:color w:val="3370ff"/>
      </w:rPr>
    </w:lvl>
  </w:abstractNum>
  <w:abstractNum w:abstractNumId="70045">
    <w:lvl>
      <w:start w:val="1"/>
      <w:numFmt w:val="decimal"/>
      <w:suff w:val="tab"/>
      <w:lvlText w:val="%1."/>
      <w:rPr>
        <w:color w:val="3370ff"/>
      </w:rPr>
    </w:lvl>
  </w:abstractNum>
  <w:abstractNum w:abstractNumId="70046">
    <w:lvl>
      <w:start w:val="2"/>
      <w:numFmt w:val="decimal"/>
      <w:suff w:val="tab"/>
      <w:lvlText w:val="%1."/>
      <w:rPr>
        <w:color w:val="3370ff"/>
      </w:rPr>
    </w:lvl>
  </w:abstractNum>
  <w:abstractNum w:abstractNumId="70047">
    <w:lvl>
      <w:start w:val="3"/>
      <w:numFmt w:val="decimal"/>
      <w:suff w:val="tab"/>
      <w:lvlText w:val="%1."/>
      <w:rPr>
        <w:color w:val="3370ff"/>
      </w:rPr>
    </w:lvl>
  </w:abstractNum>
  <w:abstractNum w:abstractNumId="70048">
    <w:lvl>
      <w:start w:val="4"/>
      <w:numFmt w:val="decimal"/>
      <w:suff w:val="tab"/>
      <w:lvlText w:val="%1."/>
      <w:rPr>
        <w:color w:val="3370ff"/>
      </w:rPr>
    </w:lvl>
  </w:abstractNum>
  <w:abstractNum w:abstractNumId="70049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69988"/>
  </w:num>
  <w:num w:numId="2">
    <w:abstractNumId w:val="69989"/>
  </w:num>
  <w:num w:numId="3">
    <w:abstractNumId w:val="69990"/>
  </w:num>
  <w:num w:numId="4">
    <w:abstractNumId w:val="69991"/>
  </w:num>
  <w:num w:numId="5">
    <w:abstractNumId w:val="69992"/>
  </w:num>
  <w:num w:numId="6">
    <w:abstractNumId w:val="69993"/>
  </w:num>
  <w:num w:numId="7">
    <w:abstractNumId w:val="69994"/>
  </w:num>
  <w:num w:numId="8">
    <w:abstractNumId w:val="69995"/>
  </w:num>
  <w:num w:numId="9">
    <w:abstractNumId w:val="69996"/>
  </w:num>
  <w:num w:numId="10">
    <w:abstractNumId w:val="69997"/>
  </w:num>
  <w:num w:numId="11">
    <w:abstractNumId w:val="69998"/>
  </w:num>
  <w:num w:numId="12">
    <w:abstractNumId w:val="69999"/>
  </w:num>
  <w:num w:numId="13">
    <w:abstractNumId w:val="70000"/>
  </w:num>
  <w:num w:numId="14">
    <w:abstractNumId w:val="70001"/>
  </w:num>
  <w:num w:numId="15">
    <w:abstractNumId w:val="70002"/>
  </w:num>
  <w:num w:numId="16">
    <w:abstractNumId w:val="70003"/>
  </w:num>
  <w:num w:numId="17">
    <w:abstractNumId w:val="70004"/>
  </w:num>
  <w:num w:numId="18">
    <w:abstractNumId w:val="70005"/>
  </w:num>
  <w:num w:numId="19">
    <w:abstractNumId w:val="70006"/>
  </w:num>
  <w:num w:numId="20">
    <w:abstractNumId w:val="70007"/>
  </w:num>
  <w:num w:numId="21">
    <w:abstractNumId w:val="70008"/>
  </w:num>
  <w:num w:numId="22">
    <w:abstractNumId w:val="70009"/>
  </w:num>
  <w:num w:numId="23">
    <w:abstractNumId w:val="70010"/>
  </w:num>
  <w:num w:numId="24">
    <w:abstractNumId w:val="70011"/>
  </w:num>
  <w:num w:numId="25">
    <w:abstractNumId w:val="70012"/>
  </w:num>
  <w:num w:numId="26">
    <w:abstractNumId w:val="70013"/>
  </w:num>
  <w:num w:numId="27">
    <w:abstractNumId w:val="70014"/>
  </w:num>
  <w:num w:numId="28">
    <w:abstractNumId w:val="70015"/>
  </w:num>
  <w:num w:numId="29">
    <w:abstractNumId w:val="70016"/>
  </w:num>
  <w:num w:numId="30">
    <w:abstractNumId w:val="70017"/>
  </w:num>
  <w:num w:numId="31">
    <w:abstractNumId w:val="70018"/>
  </w:num>
  <w:num w:numId="32">
    <w:abstractNumId w:val="70019"/>
  </w:num>
  <w:num w:numId="33">
    <w:abstractNumId w:val="70020"/>
  </w:num>
  <w:num w:numId="34">
    <w:abstractNumId w:val="70021"/>
  </w:num>
  <w:num w:numId="35">
    <w:abstractNumId w:val="70022"/>
  </w:num>
  <w:num w:numId="36">
    <w:abstractNumId w:val="70023"/>
  </w:num>
  <w:num w:numId="37">
    <w:abstractNumId w:val="70024"/>
  </w:num>
  <w:num w:numId="38">
    <w:abstractNumId w:val="70025"/>
  </w:num>
  <w:num w:numId="39">
    <w:abstractNumId w:val="70026"/>
  </w:num>
  <w:num w:numId="40">
    <w:abstractNumId w:val="70027"/>
  </w:num>
  <w:num w:numId="41">
    <w:abstractNumId w:val="70028"/>
  </w:num>
  <w:num w:numId="42">
    <w:abstractNumId w:val="70029"/>
  </w:num>
  <w:num w:numId="43">
    <w:abstractNumId w:val="70030"/>
  </w:num>
  <w:num w:numId="44">
    <w:abstractNumId w:val="70031"/>
  </w:num>
  <w:num w:numId="45">
    <w:abstractNumId w:val="70032"/>
  </w:num>
  <w:num w:numId="46">
    <w:abstractNumId w:val="70033"/>
  </w:num>
  <w:num w:numId="47">
    <w:abstractNumId w:val="70034"/>
  </w:num>
  <w:num w:numId="48">
    <w:abstractNumId w:val="70035"/>
  </w:num>
  <w:num w:numId="49">
    <w:abstractNumId w:val="70036"/>
  </w:num>
  <w:num w:numId="50">
    <w:abstractNumId w:val="70037"/>
  </w:num>
  <w:num w:numId="51">
    <w:abstractNumId w:val="70038"/>
  </w:num>
  <w:num w:numId="52">
    <w:abstractNumId w:val="70039"/>
  </w:num>
  <w:num w:numId="53">
    <w:abstractNumId w:val="70040"/>
  </w:num>
  <w:num w:numId="54">
    <w:abstractNumId w:val="70041"/>
  </w:num>
  <w:num w:numId="55">
    <w:abstractNumId w:val="70042"/>
  </w:num>
  <w:num w:numId="56">
    <w:abstractNumId w:val="70043"/>
  </w:num>
  <w:num w:numId="57">
    <w:abstractNumId w:val="70044"/>
  </w:num>
  <w:num w:numId="58">
    <w:abstractNumId w:val="70045"/>
  </w:num>
  <w:num w:numId="59">
    <w:abstractNumId w:val="70046"/>
  </w:num>
  <w:num w:numId="60">
    <w:abstractNumId w:val="70047"/>
  </w:num>
  <w:num w:numId="61">
    <w:abstractNumId w:val="70048"/>
  </w:num>
  <w:num w:numId="62">
    <w:abstractNumId w:val="700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gvxnc4ekbvn.feishu.cn/wiki/NfpfwmK16iXEDtkznIscn549nEb?from=from_copylink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gvxnc4ekbvn.feishu.cn/wiki/PC8FwObgwiMwVPkM0i4cYkr2nYf?from=from_copylink" TargetMode="External" Type="http://schemas.openxmlformats.org/officeDocument/2006/relationships/hyperlink"/><Relationship Id="rId7" Target="https://gvxnc4ekbvn.feishu.cn/wiki/HKZGwXetBije9HklRQmcAe94nZE?from=from_copylink" TargetMode="External" Type="http://schemas.openxmlformats.org/officeDocument/2006/relationships/hyperlink"/><Relationship Id="rId8" Target="https://gvxnc4ekbvn.feishu.cn/wiki/R0jrwxeDfiBpsEkqZdYcZtgJncd?from=from_copylink" TargetMode="External" Type="http://schemas.openxmlformats.org/officeDocument/2006/relationships/hyperlink"/><Relationship Id="rId9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2026-02-28T08:14:06Z</dcterms:created>
  <dc:creator>Apache POI</dc:creator>
</cp:coreProperties>
</file>