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一周搭建长时间序列预测系统Demo（能源领域）</w:t>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业务亮点</w:t>
      </w:r>
      <w:bookmarkEnd w:id="0"/>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一周用低代码快速构建并验证一个面向能源领域的长时间序列预测（LTSF）系统Demo，用于实现能源指标的监测、预警等功能</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编号：Case251125X01</w:t>
            </w:r>
          </w:p>
        </w:tc>
      </w:tr>
    </w:tbl>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r>
        <w:rPr>
          <w:rFonts w:eastAsia="等线" w:ascii="Arial" w:cs="Arial" w:hAnsi="Arial"/>
          <w:b w:val="true"/>
          <w:sz w:val="32"/>
        </w:rPr>
        <w:t>基本信息</w:t>
      </w:r>
      <w:bookmarkEnd w:id="1"/>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概况</w:t>
            </w:r>
          </w:p>
          <w:p>
            <w:pPr>
              <w:spacing w:before="120" w:after="120" w:line="288" w:lineRule="auto"/>
              <w:ind w:left="0"/>
              <w:jc w:val="left"/>
            </w:pPr>
            <w:r>
              <w:rPr>
                <w:rFonts w:eastAsia="等线" w:ascii="Arial" w:cs="Arial" w:hAnsi="Arial"/>
                <w:sz w:val="22"/>
              </w:rPr>
              <w:t>长时序预测任务广泛用于能源等领域的各类特征指标的监测与预警场景，方便人们根据预测趋势及时察觉风险与异常、进而作出调整。</w:t>
            </w:r>
          </w:p>
          <w:p>
            <w:pPr>
              <w:spacing w:before="120" w:after="120" w:line="288" w:lineRule="auto"/>
              <w:ind w:left="0"/>
              <w:jc w:val="left"/>
            </w:pPr>
            <w:r>
              <w:rPr>
                <w:rFonts w:eastAsia="等线" w:ascii="Arial" w:cs="Arial" w:hAnsi="Arial"/>
                <w:sz w:val="22"/>
              </w:rPr>
              <w:t>本例面向智慧能源（如电、水、天然气等）场景，输入该场景中指定特征的历史序列数据，输出未来长时间段内多个时间节点的预测值，通过引入2025年最新时序模型，捕捉长周期异常状态，为能源调度与管控提供可信决策依据。</w:t>
            </w:r>
          </w:p>
          <w:p>
            <w:pPr>
              <w:spacing w:before="120" w:after="120" w:line="288" w:lineRule="auto"/>
              <w:ind w:left="0"/>
              <w:jc w:val="left"/>
            </w:pPr>
          </w:p>
          <w:p>
            <w:pPr>
              <w:pStyle w:val="5"/>
              <w:spacing w:before="240" w:after="120" w:line="288" w:lineRule="auto"/>
              <w:ind w:left="0"/>
              <w:jc w:val="left"/>
              <w:outlineLvl w:val="4"/>
            </w:pPr>
            <w:bookmarkStart w:name="heading_2" w:id="2"/>
            <w:r>
              <w:rPr>
                <w:rFonts w:eastAsia="等线" w:ascii="Arial" w:cs="Arial" w:hAnsi="Arial"/>
                <w:b w:val="true"/>
                <w:sz w:val="24"/>
              </w:rPr>
              <w:t>分类标签</w:t>
            </w:r>
            <w:bookmarkEnd w:id="2"/>
          </w:p>
          <w:p>
            <w:pPr>
              <w:spacing w:before="120" w:after="120" w:line="288" w:lineRule="auto"/>
              <w:ind w:left="0"/>
              <w:jc w:val="left"/>
            </w:pPr>
            <w:r>
              <w:rPr>
                <w:rFonts w:eastAsia="等线" w:ascii="Arial" w:cs="Arial" w:hAnsi="Arial"/>
                <w:b w:val="true"/>
                <w:sz w:val="22"/>
              </w:rPr>
              <w:t>行业类别：</w:t>
            </w:r>
            <w:r>
              <w:rPr>
                <w:rFonts w:eastAsia="等线" w:ascii="Arial" w:cs="Arial" w:hAnsi="Arial"/>
                <w:sz w:val="22"/>
              </w:rPr>
              <w:t xml:space="preserve"> 能源制造</w:t>
            </w:r>
          </w:p>
          <w:p>
            <w:pPr>
              <w:spacing w:before="120" w:after="120" w:line="288" w:lineRule="auto"/>
              <w:ind w:left="0"/>
              <w:jc w:val="left"/>
            </w:pPr>
            <w:r>
              <w:rPr>
                <w:rFonts w:eastAsia="等线" w:ascii="Arial" w:cs="Arial" w:hAnsi="Arial"/>
                <w:b w:val="true"/>
                <w:sz w:val="22"/>
              </w:rPr>
              <w:t>应用类别：</w:t>
            </w:r>
            <w:r>
              <w:rPr>
                <w:rFonts w:eastAsia="等线" w:ascii="Arial" w:cs="Arial" w:hAnsi="Arial"/>
                <w:sz w:val="22"/>
              </w:rPr>
              <w:t xml:space="preserve"> 运营，风控 </w:t>
            </w:r>
          </w:p>
          <w:p>
            <w:pPr>
              <w:spacing w:before="120" w:after="120" w:line="288" w:lineRule="auto"/>
              <w:ind w:left="0"/>
              <w:jc w:val="left"/>
            </w:pPr>
            <w:r>
              <w:rPr>
                <w:rFonts w:eastAsia="等线" w:ascii="Arial" w:cs="Arial" w:hAnsi="Arial"/>
                <w:b w:val="true"/>
                <w:sz w:val="22"/>
              </w:rPr>
              <w:t>技术类别：</w:t>
            </w:r>
            <w:r>
              <w:rPr>
                <w:rFonts w:eastAsia="等线" w:ascii="Arial" w:cs="Arial" w:hAnsi="Arial"/>
                <w:sz w:val="22"/>
              </w:rPr>
              <w:t xml:space="preserve"> 统计机器学习，大语言模型（LLM），运维（测试&amp;监控），时序预测</w:t>
            </w:r>
          </w:p>
          <w:p>
            <w:pPr>
              <w:spacing w:before="120" w:after="120" w:line="288" w:lineRule="auto"/>
              <w:ind w:left="0"/>
              <w:jc w:val="left"/>
            </w:pPr>
          </w:p>
          <w:p>
            <w:pPr>
              <w:pStyle w:val="5"/>
              <w:spacing w:before="240" w:after="120" w:line="288" w:lineRule="auto"/>
              <w:ind w:left="0"/>
              <w:jc w:val="left"/>
              <w:outlineLvl w:val="4"/>
            </w:pPr>
            <w:bookmarkStart w:name="heading_3" w:id="3"/>
            <w:r>
              <w:rPr>
                <w:rFonts w:eastAsia="等线" w:ascii="Arial" w:cs="Arial" w:hAnsi="Arial"/>
                <w:b w:val="true"/>
                <w:sz w:val="24"/>
              </w:rPr>
              <w:t>实施周期</w:t>
            </w:r>
            <w:bookmarkEnd w:id="3"/>
          </w:p>
          <w:p>
            <w:pPr>
              <w:spacing w:before="120" w:after="120" w:line="288" w:lineRule="auto"/>
              <w:ind w:left="0"/>
              <w:jc w:val="left"/>
            </w:pPr>
            <w:r>
              <w:rPr>
                <w:rFonts w:eastAsia="等线" w:ascii="Arial" w:cs="Arial" w:hAnsi="Arial"/>
                <w:sz w:val="22"/>
              </w:rPr>
              <w:t>Demo研发：3-5日</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团队构成</w:t>
            </w:r>
          </w:p>
          <w:p>
            <w:pPr>
              <w:spacing w:before="120" w:after="120" w:line="288" w:lineRule="auto"/>
              <w:ind w:left="0"/>
              <w:jc w:val="left"/>
            </w:pPr>
            <w:r>
              <w:rPr>
                <w:rFonts w:eastAsia="等线" w:ascii="Arial" w:cs="Arial" w:hAnsi="Arial"/>
                <w:sz w:val="22"/>
              </w:rPr>
              <w:t>Demo阶段：业务专家1名、算法工程师1名</w:t>
            </w:r>
          </w:p>
        </w:tc>
        <w:tc>
          <w:tcPr>
            <w:tcW w:w="2760" w:type="dxa"/>
            <w:tcMar>
              <w:top w:type="dxa" w:w="60"/>
              <w:left w:type="dxa" w:w="120"/>
              <w:bottom w:type="dxa" w:w="30"/>
              <w:right w:type="dxa" w:w="120"/>
            </w:tcMar>
          </w:tcPr>
          <w:p>
            <w:pPr>
              <w:pStyle w:val="5"/>
              <w:spacing w:before="240" w:after="120" w:line="288" w:lineRule="auto"/>
              <w:ind w:left="0"/>
              <w:jc w:val="left"/>
              <w:outlineLvl w:val="4"/>
            </w:pPr>
            <w:bookmarkStart w:name="heading_4" w:id="4"/>
            <w:r>
              <w:rPr>
                <w:rFonts w:eastAsia="等线" w:ascii="Arial" w:cs="Arial" w:hAnsi="Arial"/>
                <w:b w:val="true"/>
                <w:sz w:val="24"/>
              </w:rPr>
              <w:t>业务痛点</w:t>
            </w:r>
            <w:bookmarkEnd w:id="4"/>
          </w:p>
          <w:p>
            <w:pPr>
              <w:numPr>
                <w:numId w:val="1"/>
              </w:numPr>
              <w:spacing w:before="120" w:after="120" w:line="288" w:lineRule="auto"/>
              <w:ind w:left="0"/>
              <w:jc w:val="left"/>
            </w:pPr>
            <w:r>
              <w:rPr>
                <w:rFonts w:eastAsia="等线" w:ascii="Arial" w:cs="Arial" w:hAnsi="Arial"/>
                <w:sz w:val="22"/>
              </w:rPr>
              <w:t>人工预测成本高误差大：人工预测需依赖从业人员经验，资深专家成本高，且无法同时持续对多类指标进行跟踪预测；普通人员判断能力有限，误差大</w:t>
            </w:r>
          </w:p>
          <w:p>
            <w:pPr>
              <w:numPr>
                <w:numId w:val="2"/>
              </w:numPr>
              <w:spacing w:before="120" w:after="120" w:line="288" w:lineRule="auto"/>
              <w:ind w:left="0"/>
              <w:jc w:val="left"/>
            </w:pPr>
            <w:r>
              <w:rPr>
                <w:rFonts w:eastAsia="等线" w:ascii="Arial" w:cs="Arial" w:hAnsi="Arial"/>
                <w:sz w:val="22"/>
              </w:rPr>
              <w:t>长周期预测稳定性差： 现有模型在预测未来720+时间点时，随着预测步长增加，误差显著放大，难以捕捉关键的周期性和突发异常，导致预警失效</w:t>
            </w:r>
          </w:p>
          <w:p>
            <w:pPr>
              <w:numPr>
                <w:numId w:val="3"/>
              </w:numPr>
              <w:spacing w:before="120" w:after="120" w:line="288" w:lineRule="auto"/>
              <w:ind w:left="0"/>
              <w:jc w:val="left"/>
            </w:pPr>
            <w:r>
              <w:rPr>
                <w:rFonts w:eastAsia="等线" w:ascii="Arial" w:cs="Arial" w:hAnsi="Arial"/>
                <w:sz w:val="22"/>
              </w:rPr>
              <w:t>交付可信度低： 现有各技术方案缺乏统一自动化基准测试流程，各机构组织的对比报告指标与结果各异，为技术选型与最佳实践带来困扰</w:t>
            </w:r>
          </w:p>
          <w:p>
            <w:pPr>
              <w:spacing w:before="120" w:after="120" w:line="288" w:lineRule="auto"/>
              <w:ind w:left="0"/>
              <w:jc w:val="left"/>
            </w:pPr>
          </w:p>
          <w:p>
            <w:pPr>
              <w:pStyle w:val="5"/>
              <w:spacing w:before="240" w:after="120" w:line="288" w:lineRule="auto"/>
              <w:ind w:left="0"/>
              <w:jc w:val="left"/>
              <w:outlineLvl w:val="4"/>
            </w:pPr>
            <w:bookmarkStart w:name="heading_5" w:id="5"/>
            <w:r>
              <w:rPr>
                <w:rFonts w:eastAsia="等线" w:ascii="Arial" w:cs="Arial" w:hAnsi="Arial"/>
                <w:b w:val="true"/>
                <w:sz w:val="24"/>
              </w:rPr>
              <w:t>核心功能</w:t>
            </w:r>
            <w:bookmarkEnd w:id="5"/>
          </w:p>
          <w:p>
            <w:pPr>
              <w:numPr>
                <w:numId w:val="4"/>
              </w:numPr>
              <w:spacing w:before="120" w:after="120" w:line="288" w:lineRule="auto"/>
              <w:ind w:left="0"/>
              <w:jc w:val="left"/>
            </w:pPr>
            <w:r>
              <w:rPr>
                <w:rFonts w:eastAsia="等线" w:ascii="Arial" w:cs="Arial" w:hAnsi="Arial"/>
                <w:sz w:val="22"/>
              </w:rPr>
              <w:t>零样本长程预测： 在未见过的新业务数据上稳定输出未来720+时间点的预测值</w:t>
            </w:r>
          </w:p>
          <w:p>
            <w:pPr>
              <w:numPr>
                <w:numId w:val="5"/>
              </w:numPr>
              <w:spacing w:before="120" w:after="120" w:line="288" w:lineRule="auto"/>
              <w:ind w:left="0"/>
              <w:jc w:val="left"/>
            </w:pPr>
            <w:r>
              <w:rPr>
                <w:rFonts w:eastAsia="等线" w:ascii="Arial" w:cs="Arial" w:hAnsi="Arial"/>
                <w:sz w:val="22"/>
              </w:rPr>
              <w:t>智能排序选型： 自动对比指定的各时序预测主流模型，生成排名结果，提供选型依据</w:t>
            </w:r>
          </w:p>
        </w:tc>
        <w:tc>
          <w:tcPr>
            <w:tcW w:w="2760" w:type="dxa"/>
            <w:tcMar>
              <w:top w:type="dxa" w:w="60"/>
              <w:left w:type="dxa" w:w="120"/>
              <w:bottom w:type="dxa" w:w="30"/>
              <w:right w:type="dxa" w:w="120"/>
            </w:tcMar>
          </w:tcPr>
          <w:p>
            <w:pPr>
              <w:pStyle w:val="5"/>
              <w:spacing w:before="240" w:after="120" w:line="288" w:lineRule="auto"/>
              <w:ind w:left="0"/>
              <w:jc w:val="left"/>
              <w:outlineLvl w:val="4"/>
            </w:pPr>
            <w:bookmarkStart w:name="heading_6" w:id="6"/>
            <w:r>
              <w:rPr>
                <w:rFonts w:eastAsia="等线" w:ascii="Arial" w:cs="Arial" w:hAnsi="Arial"/>
                <w:b w:val="true"/>
                <w:sz w:val="24"/>
              </w:rPr>
              <w:t>核心业务指标</w:t>
            </w:r>
            <w:bookmarkEnd w:id="6"/>
          </w:p>
          <w:p>
            <w:pPr>
              <w:numPr>
                <w:numId w:val="6"/>
              </w:numPr>
              <w:spacing w:before="120" w:after="120" w:line="288" w:lineRule="auto"/>
              <w:ind w:left="0"/>
              <w:jc w:val="left"/>
            </w:pPr>
            <w:r>
              <w:rPr>
                <w:rFonts w:eastAsia="等线" w:ascii="Arial" w:cs="Arial" w:hAnsi="Arial"/>
                <w:sz w:val="22"/>
              </w:rPr>
              <w:t>方案选型可信度提升10%（对比算法研究员）至70%（对比非算法从业人员），让业务人员也能快速、准确做出选择</w:t>
            </w:r>
          </w:p>
          <w:p>
            <w:pPr>
              <w:numPr>
                <w:numId w:val="7"/>
              </w:numPr>
              <w:spacing w:before="120" w:after="120" w:line="288" w:lineRule="auto"/>
              <w:ind w:left="0"/>
              <w:jc w:val="left"/>
            </w:pPr>
            <w:r>
              <w:rPr>
                <w:rFonts w:eastAsia="等线" w:ascii="Arial" w:cs="Arial" w:hAnsi="Arial"/>
                <w:sz w:val="22"/>
              </w:rPr>
              <w:t>方案选型、迁移成本降低50%</w:t>
            </w:r>
          </w:p>
          <w:p>
            <w:pPr>
              <w:numPr>
                <w:numId w:val="8"/>
              </w:numPr>
              <w:spacing w:before="120" w:after="120" w:line="288" w:lineRule="auto"/>
              <w:ind w:left="0"/>
              <w:jc w:val="left"/>
            </w:pPr>
            <w:r>
              <w:rPr>
                <w:rFonts w:eastAsia="等线" w:ascii="Arial" w:cs="Arial" w:hAnsi="Arial"/>
                <w:sz w:val="22"/>
              </w:rPr>
              <w:t>平均绝对误差（MAE）&lt; 0.39  ，降低能源领域因长时预测误差带来的损失约5%</w:t>
            </w:r>
          </w:p>
          <w:p>
            <w:pPr>
              <w:spacing w:before="120" w:after="120" w:line="288" w:lineRule="auto"/>
              <w:ind w:left="0"/>
              <w:jc w:val="left"/>
            </w:pPr>
          </w:p>
          <w:p>
            <w:pPr>
              <w:pStyle w:val="5"/>
              <w:spacing w:before="240" w:after="120" w:line="288" w:lineRule="auto"/>
              <w:ind w:left="0"/>
              <w:jc w:val="left"/>
              <w:outlineLvl w:val="4"/>
            </w:pPr>
            <w:bookmarkStart w:name="heading_7" w:id="7"/>
            <w:r>
              <w:rPr>
                <w:rFonts w:eastAsia="等线" w:ascii="Arial" w:cs="Arial" w:hAnsi="Arial"/>
                <w:b w:val="true"/>
                <w:sz w:val="24"/>
              </w:rPr>
              <w:t>核心技术指标</w:t>
            </w:r>
            <w:bookmarkEnd w:id="7"/>
          </w:p>
          <w:p>
            <w:pPr>
              <w:numPr>
                <w:numId w:val="9"/>
              </w:numPr>
              <w:spacing w:before="120" w:after="120" w:line="288" w:lineRule="auto"/>
              <w:ind w:left="0"/>
              <w:jc w:val="left"/>
            </w:pPr>
            <w:r>
              <w:rPr>
                <w:rFonts w:eastAsia="等线" w:ascii="Arial" w:cs="Arial" w:hAnsi="Arial"/>
                <w:sz w:val="22"/>
              </w:rPr>
              <w:t>平均绝对误差（MAE）&lt; 0.39 ：同核心业务指标</w:t>
            </w:r>
          </w:p>
          <w:p>
            <w:pPr>
              <w:spacing w:before="120" w:after="120" w:line="288" w:lineRule="auto"/>
              <w:ind w:left="0"/>
              <w:jc w:val="left"/>
            </w:pPr>
          </w:p>
        </w:tc>
      </w:tr>
    </w:tbl>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3. </w:t>
      </w:r>
      <w:r>
        <w:rPr>
          <w:rFonts w:eastAsia="等线" w:ascii="Arial" w:cs="Arial" w:hAnsi="Arial"/>
          <w:b w:val="true"/>
          <w:sz w:val="32"/>
        </w:rPr>
        <w:t>最佳实践版本</w:t>
      </w:r>
      <w:bookmarkEnd w:id="8"/>
    </w:p>
    <w:p>
      <w:pPr>
        <w:pStyle w:val="4"/>
        <w:spacing w:before="260" w:after="120" w:line="288" w:lineRule="auto"/>
        <w:ind w:left="0"/>
        <w:jc w:val="left"/>
        <w:outlineLvl w:val="3"/>
      </w:pPr>
      <w:bookmarkStart w:name="heading_9" w:id="9"/>
      <w:r>
        <w:rPr>
          <w:rFonts w:eastAsia="等线" w:ascii="Arial" w:cs="Arial" w:hAnsi="Arial"/>
          <w:color w:val="3370ff"/>
          <w:sz w:val="28"/>
        </w:rPr>
        <w:t xml:space="preserve">3.1 </w:t>
      </w:r>
      <w:r>
        <w:rPr>
          <w:rFonts w:eastAsia="等线" w:ascii="Arial" w:cs="Arial" w:hAnsi="Arial"/>
          <w:b w:val="true"/>
          <w:sz w:val="28"/>
        </w:rPr>
        <w:t>私部署-服务器部署版</w:t>
      </w:r>
      <w:bookmarkEnd w:id="9"/>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pStyle w:val="5"/>
              <w:spacing w:before="240" w:after="120" w:line="288" w:lineRule="auto"/>
              <w:ind w:left="0"/>
              <w:jc w:val="left"/>
              <w:outlineLvl w:val="4"/>
            </w:pPr>
            <w:bookmarkStart w:name="heading_10" w:id="10"/>
            <w:r>
              <w:rPr>
                <w:rFonts w:eastAsia="等线" w:ascii="Arial" w:cs="Arial" w:hAnsi="Arial"/>
                <w:b w:val="true"/>
                <w:sz w:val="24"/>
              </w:rPr>
              <w:t>入选最佳实践理由</w:t>
            </w:r>
            <w:bookmarkEnd w:id="10"/>
          </w:p>
          <w:p>
            <w:pPr>
              <w:spacing w:before="120" w:after="120" w:line="288" w:lineRule="auto"/>
              <w:ind w:left="0"/>
              <w:jc w:val="left"/>
            </w:pPr>
          </w:p>
          <w:p>
            <w:pPr>
              <w:numPr>
                <w:numId w:val="10"/>
              </w:numPr>
              <w:spacing w:before="120" w:after="120" w:line="288" w:lineRule="auto"/>
              <w:ind w:left="0"/>
              <w:jc w:val="left"/>
            </w:pPr>
            <w:r>
              <w:rPr>
                <w:rFonts w:eastAsia="等线" w:ascii="Arial" w:cs="Arial" w:hAnsi="Arial"/>
                <w:sz w:val="22"/>
              </w:rPr>
              <w:t>指标提升：</w:t>
            </w:r>
          </w:p>
          <w:p>
            <w:pPr>
              <w:numPr>
                <w:numId w:val="11"/>
              </w:numPr>
              <w:spacing w:before="120" w:after="120" w:line="288" w:lineRule="auto"/>
              <w:ind w:left="453"/>
              <w:jc w:val="left"/>
            </w:pPr>
            <w:r>
              <w:rPr>
                <w:rFonts w:eastAsia="等线" w:ascii="Arial" w:cs="Arial" w:hAnsi="Arial"/>
                <w:sz w:val="22"/>
              </w:rPr>
              <w:t>在所选能源场景的行业核心基准跑测中，该方案的平均绝对误差（MAE）指标为38.4% ，相比2024年此评测的SOTA方法iTransformer和PatchTST方法分别降低了5.2%与3.6% 。</w:t>
            </w:r>
          </w:p>
          <w:p>
            <w:pPr>
              <w:numPr>
                <w:numId w:val="12"/>
              </w:numPr>
              <w:spacing w:before="120" w:after="120" w:line="288" w:lineRule="auto"/>
              <w:ind w:left="453"/>
              <w:jc w:val="left"/>
            </w:pPr>
            <w:r>
              <w:rPr>
                <w:rFonts w:eastAsia="等线" w:ascii="Arial" w:cs="Arial" w:hAnsi="Arial"/>
                <w:sz w:val="22"/>
              </w:rPr>
              <w:t>基于上述精度提升，预估可降低约 5% 因长时预测误差带来的业务损失（注：此数值基于平均绝对误差（MAE）最大降低比例推算），有效支撑了业务从“模糊趋势预测”向“精准量化风控”的价值转型。</w:t>
            </w:r>
          </w:p>
          <w:p>
            <w:pPr>
              <w:numPr>
                <w:numId w:val="13"/>
              </w:numPr>
              <w:spacing w:before="120" w:after="120" w:line="288" w:lineRule="auto"/>
              <w:ind w:left="453"/>
              <w:jc w:val="left"/>
            </w:pPr>
            <w:r>
              <w:rPr>
                <w:rFonts w:eastAsia="等线" w:ascii="Arial" w:cs="Arial" w:hAnsi="Arial"/>
                <w:sz w:val="22"/>
              </w:rPr>
              <w:t>在零样本学习（Zero-Shot）中，该方案性能与需要全量训练的PatchTST方案相当，使得业务侧迁移成本降低50%，可快速覆盖各类数据稀缺场景。</w:t>
            </w:r>
          </w:p>
          <w:p>
            <w:pPr>
              <w:spacing w:before="120" w:after="120" w:line="288" w:lineRule="auto"/>
              <w:ind w:left="0"/>
              <w:jc w:val="left"/>
            </w:pPr>
          </w:p>
          <w:p>
            <w:pPr>
              <w:numPr>
                <w:numId w:val="14"/>
              </w:numPr>
              <w:spacing w:before="120" w:after="120" w:line="288" w:lineRule="auto"/>
              <w:ind w:left="0"/>
              <w:jc w:val="left"/>
            </w:pPr>
            <w:r>
              <w:rPr>
                <w:rFonts w:eastAsia="等线" w:ascii="Arial" w:cs="Arial" w:hAnsi="Arial"/>
                <w:sz w:val="22"/>
              </w:rPr>
              <w:t>成本优化：</w:t>
            </w:r>
          </w:p>
          <w:p>
            <w:pPr>
              <w:numPr>
                <w:numId w:val="15"/>
              </w:numPr>
              <w:spacing w:before="120" w:after="120" w:line="288" w:lineRule="auto"/>
              <w:ind w:left="453"/>
              <w:jc w:val="left"/>
            </w:pPr>
            <w:r>
              <w:rPr>
                <w:rFonts w:eastAsia="等线" w:ascii="Arial" w:cs="Arial" w:hAnsi="Arial"/>
                <w:sz w:val="22"/>
              </w:rPr>
              <w:t>选型与决策成本：方案选型与迁移成本降低 50%。通过内置的自动化基准测试，方案选型可信度提升了 10%（对比算法研究员）至 70%（对比非算法从业人员），使得非技术背景的业务人员也能快速、准确地做出最佳技术决策。</w:t>
            </w:r>
          </w:p>
          <w:p>
            <w:pPr>
              <w:numPr>
                <w:numId w:val="16"/>
              </w:numPr>
              <w:spacing w:before="120" w:after="120" w:line="288" w:lineRule="auto"/>
              <w:ind w:left="453"/>
              <w:jc w:val="left"/>
            </w:pPr>
            <w:r>
              <w:rPr>
                <w:rFonts w:eastAsia="等线" w:ascii="Arial" w:cs="Arial" w:hAnsi="Arial"/>
                <w:sz w:val="22"/>
              </w:rPr>
              <w:t>该方案的零样本学习能力，预估可降低50%的模型冷启动微调成本与数据标注成本。</w:t>
            </w:r>
          </w:p>
          <w:p>
            <w:pPr>
              <w:numPr>
                <w:numId w:val="17"/>
              </w:numPr>
              <w:spacing w:before="120" w:after="120" w:line="288" w:lineRule="auto"/>
              <w:ind w:left="453"/>
              <w:jc w:val="left"/>
            </w:pPr>
            <w:r>
              <w:rPr>
                <w:rFonts w:eastAsia="等线" w:ascii="Arial" w:cs="Arial" w:hAnsi="Arial"/>
                <w:sz w:val="22"/>
              </w:rPr>
              <w:t>该方案由于开源框架低代码特性，仅需3-5日即可完成Demo研发，将验证周期由2~3周缩短至1周之内。</w:t>
            </w:r>
          </w:p>
          <w:p>
            <w:pPr>
              <w:spacing w:before="120" w:after="120" w:line="288" w:lineRule="auto"/>
              <w:ind w:left="453"/>
              <w:jc w:val="left"/>
            </w:pPr>
          </w:p>
          <w:p>
            <w:pPr>
              <w:numPr>
                <w:numId w:val="18"/>
              </w:numPr>
              <w:spacing w:before="120" w:after="120" w:line="288" w:lineRule="auto"/>
              <w:ind w:left="0"/>
              <w:jc w:val="left"/>
            </w:pPr>
            <w:r>
              <w:rPr>
                <w:rFonts w:eastAsia="等线" w:ascii="Arial" w:cs="Arial" w:hAnsi="Arial"/>
                <w:sz w:val="22"/>
              </w:rPr>
              <w:t>补充信息：</w:t>
            </w:r>
          </w:p>
          <w:p>
            <w:pPr>
              <w:numPr>
                <w:numId w:val="19"/>
              </w:numPr>
              <w:spacing w:before="120" w:after="120" w:line="288" w:lineRule="auto"/>
              <w:ind w:left="453"/>
              <w:jc w:val="left"/>
            </w:pPr>
            <w:r>
              <w:rPr>
                <w:rFonts w:eastAsia="等线" w:ascii="Arial" w:cs="Arial" w:hAnsi="Arial"/>
                <w:sz w:val="22"/>
              </w:rPr>
              <w:t>该方案的核心模型EMTSF (MoE) 在 ETTh1等权威公测基准上表现优异，平均绝对误差（MAE）指标全面优于往年模型，被评定为 2025 年长时序预测（LTSF）领域的双路 SOTA 架构。</w:t>
            </w:r>
          </w:p>
          <w:p>
            <w:pPr>
              <w:spacing w:before="120" w:after="120" w:line="288" w:lineRule="auto"/>
              <w:ind w:left="0"/>
              <w:jc w:val="left"/>
            </w:pPr>
          </w:p>
          <w:p>
            <w:pPr>
              <w:spacing w:before="120" w:after="120" w:line="288" w:lineRule="auto"/>
              <w:ind w:left="0"/>
              <w:jc w:val="right"/>
            </w:pPr>
            <w:r>
              <w:rPr>
                <w:rFonts w:eastAsia="等线" w:ascii="Arial" w:cs="Arial" w:hAnsi="Arial"/>
                <w:sz w:val="22"/>
              </w:rPr>
              <w:t>——实践者</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pStyle w:val="5"/>
              <w:spacing w:before="240" w:after="120" w:line="288" w:lineRule="auto"/>
              <w:ind w:left="0"/>
              <w:jc w:val="left"/>
              <w:outlineLvl w:val="4"/>
            </w:pPr>
            <w:bookmarkStart w:name="heading_11" w:id="11"/>
            <w:r>
              <w:rPr>
                <w:rFonts w:eastAsia="等线" w:ascii="Arial" w:cs="Arial" w:hAnsi="Arial"/>
                <w:b w:val="true"/>
                <w:sz w:val="24"/>
              </w:rPr>
              <w:t>版本基本信息</w:t>
            </w:r>
            <w:bookmarkEnd w:id="11"/>
          </w:p>
          <w:p>
            <w:pPr>
              <w:numPr>
                <w:numId w:val="20"/>
              </w:numPr>
              <w:spacing w:before="120" w:after="120" w:line="288" w:lineRule="auto"/>
              <w:ind w:left="0"/>
              <w:jc w:val="left"/>
            </w:pPr>
            <w:r>
              <w:rPr>
                <w:rFonts w:eastAsia="等线" w:ascii="Arial" w:cs="Arial" w:hAnsi="Arial"/>
                <w:sz w:val="22"/>
              </w:rPr>
              <w:t>实践者信息</w:t>
            </w:r>
          </w:p>
          <w:p>
            <w:pPr>
              <w:numPr>
                <w:numId w:val="21"/>
              </w:numPr>
              <w:spacing w:before="120" w:after="120" w:line="288" w:lineRule="auto"/>
              <w:ind w:left="453"/>
              <w:jc w:val="left"/>
            </w:pPr>
            <w:r>
              <w:rPr>
                <w:rFonts w:eastAsia="等线" w:ascii="Arial" w:cs="Arial" w:hAnsi="Arial"/>
                <w:sz w:val="22"/>
              </w:rPr>
              <w:t>称呼：Real-World AI自研及验证</w:t>
            </w:r>
          </w:p>
          <w:p>
            <w:pPr>
              <w:numPr>
                <w:numId w:val="22"/>
              </w:numPr>
              <w:spacing w:before="120" w:after="120" w:line="288" w:lineRule="auto"/>
              <w:ind w:left="0"/>
              <w:jc w:val="left"/>
            </w:pPr>
            <w:r>
              <w:rPr>
                <w:rFonts w:eastAsia="等线" w:ascii="Arial" w:cs="Arial" w:hAnsi="Arial"/>
                <w:sz w:val="22"/>
              </w:rPr>
              <w:t>原作者信息</w:t>
            </w:r>
          </w:p>
          <w:p>
            <w:pPr>
              <w:numPr>
                <w:numId w:val="23"/>
              </w:numPr>
              <w:spacing w:before="120" w:after="120" w:line="288" w:lineRule="auto"/>
              <w:ind w:left="453"/>
              <w:jc w:val="left"/>
            </w:pPr>
            <w:r>
              <w:rPr>
                <w:rFonts w:eastAsia="等线" w:ascii="Arial" w:cs="Arial" w:hAnsi="Arial"/>
                <w:sz w:val="22"/>
              </w:rPr>
              <w:t>中文名称：/</w:t>
            </w:r>
          </w:p>
          <w:p>
            <w:pPr>
              <w:numPr>
                <w:numId w:val="24"/>
              </w:numPr>
              <w:spacing w:before="120" w:after="120" w:line="288" w:lineRule="auto"/>
              <w:ind w:left="453"/>
              <w:jc w:val="left"/>
            </w:pPr>
            <w:r>
              <w:rPr>
                <w:rFonts w:eastAsia="等线" w:ascii="Arial" w:cs="Arial" w:hAnsi="Arial"/>
                <w:sz w:val="22"/>
              </w:rPr>
              <w:t>英文名称：Real-World AI</w:t>
            </w:r>
          </w:p>
          <w:p>
            <w:pPr>
              <w:numPr>
                <w:numId w:val="25"/>
              </w:numPr>
              <w:spacing w:before="120" w:after="120" w:line="288" w:lineRule="auto"/>
              <w:ind w:left="453"/>
              <w:jc w:val="left"/>
            </w:pPr>
            <w:r>
              <w:rPr>
                <w:rFonts w:eastAsia="等线" w:ascii="Arial" w:cs="Arial" w:hAnsi="Arial"/>
                <w:sz w:val="22"/>
              </w:rPr>
              <w:t>作者网站：本站</w:t>
            </w:r>
          </w:p>
          <w:p>
            <w:pPr>
              <w:numPr>
                <w:numId w:val="26"/>
              </w:numPr>
              <w:spacing w:before="120" w:after="120" w:line="288" w:lineRule="auto"/>
              <w:ind w:left="0"/>
              <w:jc w:val="left"/>
            </w:pPr>
            <w:r>
              <w:rPr>
                <w:rFonts w:eastAsia="等线" w:ascii="Arial" w:cs="Arial" w:hAnsi="Arial"/>
                <w:sz w:val="22"/>
              </w:rPr>
              <w:t>关联引用</w:t>
            </w:r>
          </w:p>
          <w:p>
            <w:pPr>
              <w:numPr>
                <w:numId w:val="27"/>
              </w:numPr>
              <w:spacing w:before="120" w:after="120" w:line="288" w:lineRule="auto"/>
              <w:ind w:left="453"/>
              <w:jc w:val="left"/>
            </w:pPr>
            <w:r>
              <w:rPr>
                <w:rFonts w:eastAsia="等线" w:ascii="Arial" w:cs="Arial" w:hAnsi="Arial"/>
                <w:sz w:val="22"/>
              </w:rPr>
              <w:t xml:space="preserve">Autogluon （by AWS AI） GitHub: </w:t>
            </w:r>
            <w:hyperlink r:id="rId5">
              <w:r>
                <w:rPr>
                  <w:rFonts w:eastAsia="等线" w:ascii="Arial" w:cs="Arial" w:hAnsi="Arial"/>
                  <w:color w:val="3370ff"/>
                  <w:sz w:val="22"/>
                </w:rPr>
                <w:t>https://github.com/autogluon/autogluon</w:t>
              </w:r>
            </w:hyperlink>
          </w:p>
          <w:p>
            <w:pPr>
              <w:numPr>
                <w:numId w:val="28"/>
              </w:numPr>
              <w:spacing w:before="120" w:after="120" w:line="288" w:lineRule="auto"/>
              <w:ind w:left="453"/>
              <w:jc w:val="left"/>
            </w:pPr>
            <w:r>
              <w:rPr>
                <w:rFonts w:eastAsia="等线" w:ascii="Arial" w:cs="Arial" w:hAnsi="Arial"/>
                <w:sz w:val="22"/>
              </w:rPr>
              <w:t xml:space="preserve">Neuralforecast （by Nixtla） GitHub: </w:t>
            </w:r>
            <w:hyperlink r:id="rId6">
              <w:r>
                <w:rPr>
                  <w:rFonts w:eastAsia="等线" w:ascii="Arial" w:cs="Arial" w:hAnsi="Arial"/>
                  <w:color w:val="3370ff"/>
                  <w:sz w:val="22"/>
                </w:rPr>
                <w:t>https://github.com/Nixtla/neuralforecast</w:t>
              </w:r>
            </w:hyperlink>
          </w:p>
          <w:p>
            <w:pPr>
              <w:numPr>
                <w:numId w:val="29"/>
              </w:numPr>
              <w:spacing w:before="120" w:after="120" w:line="288" w:lineRule="auto"/>
              <w:ind w:left="453"/>
              <w:jc w:val="left"/>
            </w:pPr>
            <w:r>
              <w:rPr>
                <w:rFonts w:eastAsia="等线" w:ascii="Arial" w:cs="Arial" w:hAnsi="Arial"/>
                <w:sz w:val="22"/>
              </w:rPr>
              <w:t>ETT数据集SOTA 模型：</w:t>
            </w:r>
            <w:r>
              <w:rPr>
                <w:rFonts w:eastAsia="等线" w:ascii="Arial" w:cs="Arial" w:hAnsi="Arial"/>
                <w:sz w:val="22"/>
              </w:rPr>
              <w:t>https://arxiv.org/pdf/2510.23396</w:t>
            </w:r>
          </w:p>
          <w:p>
            <w:pPr>
              <w:numPr>
                <w:numId w:val="30"/>
              </w:numPr>
              <w:spacing w:before="120" w:after="120" w:line="288" w:lineRule="auto"/>
              <w:ind w:left="0"/>
              <w:jc w:val="left"/>
            </w:pPr>
            <w:r>
              <w:rPr>
                <w:rFonts w:eastAsia="等线" w:ascii="Arial" w:cs="Arial" w:hAnsi="Arial"/>
                <w:sz w:val="22"/>
              </w:rPr>
              <w:t>版本状态</w:t>
            </w:r>
          </w:p>
          <w:p>
            <w:pPr>
              <w:numPr>
                <w:numId w:val="31"/>
              </w:numPr>
              <w:spacing w:before="120" w:after="120" w:line="288" w:lineRule="auto"/>
              <w:ind w:left="453"/>
              <w:jc w:val="left"/>
            </w:pPr>
            <w:r>
              <w:rPr>
                <w:rFonts w:eastAsia="等线" w:ascii="Arial" w:cs="Arial" w:hAnsi="Arial"/>
                <w:sz w:val="22"/>
              </w:rPr>
              <w:t>首发日期：2025-11-25</w:t>
            </w:r>
          </w:p>
          <w:p>
            <w:pPr>
              <w:numPr>
                <w:numId w:val="32"/>
              </w:numPr>
              <w:spacing w:before="120" w:after="120" w:line="288" w:lineRule="auto"/>
              <w:ind w:left="453"/>
              <w:jc w:val="left"/>
            </w:pPr>
            <w:r>
              <w:rPr>
                <w:rFonts w:eastAsia="等线" w:ascii="Arial" w:cs="Arial" w:hAnsi="Arial"/>
                <w:sz w:val="22"/>
              </w:rPr>
              <w:t xml:space="preserve">最近更新：2025-11-25 </w:t>
            </w:r>
          </w:p>
          <w:p>
            <w:pPr>
              <w:numPr>
                <w:numId w:val="33"/>
              </w:numPr>
              <w:spacing w:before="120" w:after="120" w:line="288" w:lineRule="auto"/>
              <w:ind w:left="453"/>
              <w:jc w:val="left"/>
            </w:pPr>
            <w:r>
              <w:rPr>
                <w:rFonts w:eastAsia="等线" w:ascii="Arial" w:cs="Arial" w:hAnsi="Arial"/>
                <w:sz w:val="22"/>
              </w:rPr>
              <w:t>最近审阅：2025-11-26</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pStyle w:val="5"/>
              <w:spacing w:before="240" w:after="120" w:line="288" w:lineRule="auto"/>
              <w:ind w:left="0"/>
              <w:jc w:val="left"/>
              <w:outlineLvl w:val="4"/>
            </w:pPr>
            <w:bookmarkStart w:name="heading_12" w:id="12"/>
            <w:r>
              <w:rPr>
                <w:rFonts w:eastAsia="等线" w:ascii="Arial" w:cs="Arial" w:hAnsi="Arial"/>
                <w:b w:val="true"/>
                <w:sz w:val="24"/>
              </w:rPr>
              <w:t>实施详情</w:t>
            </w:r>
            <w:bookmarkEnd w:id="12"/>
          </w:p>
          <w:p>
            <w:pPr>
              <w:spacing w:before="120" w:after="120" w:line="288" w:lineRule="auto"/>
              <w:ind w:left="0"/>
              <w:jc w:val="left"/>
            </w:pPr>
            <w:r>
              <w:rPr>
                <w:rFonts w:eastAsia="等线" w:ascii="Arial" w:cs="Arial" w:hAnsi="Arial"/>
                <w:sz w:val="22"/>
              </w:rPr>
              <w:t>待发布</w:t>
            </w:r>
          </w:p>
        </w:tc>
      </w:tr>
    </w:tbl>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6685">
    <w:lvl>
      <w:numFmt w:val="bullet"/>
      <w:suff w:val="tab"/>
      <w:lvlText w:val="•"/>
      <w:rPr>
        <w:color w:val="3370ff"/>
      </w:rPr>
    </w:lvl>
  </w:abstractNum>
  <w:abstractNum w:abstractNumId="96686">
    <w:lvl>
      <w:numFmt w:val="bullet"/>
      <w:suff w:val="tab"/>
      <w:lvlText w:val="•"/>
      <w:rPr>
        <w:color w:val="3370ff"/>
      </w:rPr>
    </w:lvl>
  </w:abstractNum>
  <w:abstractNum w:abstractNumId="96687">
    <w:lvl>
      <w:numFmt w:val="bullet"/>
      <w:suff w:val="tab"/>
      <w:lvlText w:val="•"/>
      <w:rPr>
        <w:color w:val="3370ff"/>
      </w:rPr>
    </w:lvl>
  </w:abstractNum>
  <w:abstractNum w:abstractNumId="96688">
    <w:lvl>
      <w:numFmt w:val="bullet"/>
      <w:suff w:val="tab"/>
      <w:lvlText w:val="•"/>
      <w:rPr>
        <w:color w:val="3370ff"/>
      </w:rPr>
    </w:lvl>
  </w:abstractNum>
  <w:abstractNum w:abstractNumId="96689">
    <w:lvl>
      <w:numFmt w:val="bullet"/>
      <w:suff w:val="tab"/>
      <w:lvlText w:val="•"/>
      <w:rPr>
        <w:color w:val="3370ff"/>
      </w:rPr>
    </w:lvl>
  </w:abstractNum>
  <w:abstractNum w:abstractNumId="96690">
    <w:lvl>
      <w:numFmt w:val="bullet"/>
      <w:suff w:val="tab"/>
      <w:lvlText w:val="•"/>
      <w:rPr>
        <w:color w:val="3370ff"/>
      </w:rPr>
    </w:lvl>
  </w:abstractNum>
  <w:abstractNum w:abstractNumId="96691">
    <w:lvl>
      <w:numFmt w:val="bullet"/>
      <w:suff w:val="tab"/>
      <w:lvlText w:val="•"/>
      <w:rPr>
        <w:color w:val="3370ff"/>
      </w:rPr>
    </w:lvl>
  </w:abstractNum>
  <w:abstractNum w:abstractNumId="96692">
    <w:lvl>
      <w:numFmt w:val="bullet"/>
      <w:suff w:val="tab"/>
      <w:lvlText w:val="•"/>
      <w:rPr>
        <w:color w:val="3370ff"/>
      </w:rPr>
    </w:lvl>
  </w:abstractNum>
  <w:abstractNum w:abstractNumId="96693">
    <w:lvl>
      <w:numFmt w:val="bullet"/>
      <w:suff w:val="tab"/>
      <w:lvlText w:val="•"/>
      <w:rPr>
        <w:color w:val="3370ff"/>
      </w:rPr>
    </w:lvl>
  </w:abstractNum>
  <w:abstractNum w:abstractNumId="96694">
    <w:lvl>
      <w:numFmt w:val="bullet"/>
      <w:suff w:val="tab"/>
      <w:lvlText w:val="•"/>
      <w:rPr>
        <w:color w:val="3370ff"/>
      </w:rPr>
    </w:lvl>
  </w:abstractNum>
  <w:abstractNum w:abstractNumId="96695">
    <w:lvl>
      <w:numFmt w:val="bullet"/>
      <w:suff w:val="tab"/>
      <w:lvlText w:val="￮"/>
      <w:rPr>
        <w:color w:val="3370ff"/>
      </w:rPr>
    </w:lvl>
  </w:abstractNum>
  <w:abstractNum w:abstractNumId="96696">
    <w:lvl>
      <w:numFmt w:val="bullet"/>
      <w:suff w:val="tab"/>
      <w:lvlText w:val="￮"/>
      <w:rPr>
        <w:color w:val="3370ff"/>
      </w:rPr>
    </w:lvl>
  </w:abstractNum>
  <w:abstractNum w:abstractNumId="96697">
    <w:lvl>
      <w:numFmt w:val="bullet"/>
      <w:suff w:val="tab"/>
      <w:lvlText w:val="￮"/>
      <w:rPr>
        <w:color w:val="3370ff"/>
      </w:rPr>
    </w:lvl>
  </w:abstractNum>
  <w:abstractNum w:abstractNumId="96698">
    <w:lvl>
      <w:numFmt w:val="bullet"/>
      <w:suff w:val="tab"/>
      <w:lvlText w:val="•"/>
      <w:rPr>
        <w:color w:val="3370ff"/>
      </w:rPr>
    </w:lvl>
  </w:abstractNum>
  <w:abstractNum w:abstractNumId="96699">
    <w:lvl>
      <w:numFmt w:val="bullet"/>
      <w:suff w:val="tab"/>
      <w:lvlText w:val="￮"/>
      <w:rPr>
        <w:color w:val="3370ff"/>
      </w:rPr>
    </w:lvl>
  </w:abstractNum>
  <w:abstractNum w:abstractNumId="96700">
    <w:lvl>
      <w:numFmt w:val="bullet"/>
      <w:suff w:val="tab"/>
      <w:lvlText w:val="￮"/>
      <w:rPr>
        <w:color w:val="3370ff"/>
      </w:rPr>
    </w:lvl>
  </w:abstractNum>
  <w:abstractNum w:abstractNumId="96701">
    <w:lvl>
      <w:numFmt w:val="bullet"/>
      <w:suff w:val="tab"/>
      <w:lvlText w:val="￮"/>
      <w:rPr>
        <w:color w:val="3370ff"/>
      </w:rPr>
    </w:lvl>
  </w:abstractNum>
  <w:abstractNum w:abstractNumId="96702">
    <w:lvl>
      <w:numFmt w:val="bullet"/>
      <w:suff w:val="tab"/>
      <w:lvlText w:val="•"/>
      <w:rPr>
        <w:color w:val="3370ff"/>
      </w:rPr>
    </w:lvl>
  </w:abstractNum>
  <w:abstractNum w:abstractNumId="96703">
    <w:lvl>
      <w:numFmt w:val="bullet"/>
      <w:suff w:val="tab"/>
      <w:lvlText w:val="￮"/>
      <w:rPr>
        <w:color w:val="3370ff"/>
      </w:rPr>
    </w:lvl>
  </w:abstractNum>
  <w:abstractNum w:abstractNumId="96704">
    <w:lvl>
      <w:numFmt w:val="bullet"/>
      <w:suff w:val="tab"/>
      <w:lvlText w:val="•"/>
      <w:rPr>
        <w:color w:val="3370ff"/>
      </w:rPr>
    </w:lvl>
  </w:abstractNum>
  <w:abstractNum w:abstractNumId="96705">
    <w:lvl>
      <w:numFmt w:val="bullet"/>
      <w:suff w:val="tab"/>
      <w:lvlText w:val="￮"/>
      <w:rPr>
        <w:color w:val="3370ff"/>
      </w:rPr>
    </w:lvl>
  </w:abstractNum>
  <w:abstractNum w:abstractNumId="96706">
    <w:lvl>
      <w:numFmt w:val="bullet"/>
      <w:suff w:val="tab"/>
      <w:lvlText w:val="•"/>
      <w:rPr>
        <w:color w:val="3370ff"/>
      </w:rPr>
    </w:lvl>
  </w:abstractNum>
  <w:abstractNum w:abstractNumId="96707">
    <w:lvl>
      <w:numFmt w:val="bullet"/>
      <w:suff w:val="tab"/>
      <w:lvlText w:val="￮"/>
      <w:rPr>
        <w:color w:val="3370ff"/>
      </w:rPr>
    </w:lvl>
  </w:abstractNum>
  <w:abstractNum w:abstractNumId="96708">
    <w:lvl>
      <w:numFmt w:val="bullet"/>
      <w:suff w:val="tab"/>
      <w:lvlText w:val="￮"/>
      <w:rPr>
        <w:color w:val="3370ff"/>
      </w:rPr>
    </w:lvl>
  </w:abstractNum>
  <w:abstractNum w:abstractNumId="96709">
    <w:lvl>
      <w:numFmt w:val="bullet"/>
      <w:suff w:val="tab"/>
      <w:lvlText w:val="￮"/>
      <w:rPr>
        <w:color w:val="3370ff"/>
      </w:rPr>
    </w:lvl>
  </w:abstractNum>
  <w:abstractNum w:abstractNumId="96710">
    <w:lvl>
      <w:numFmt w:val="bullet"/>
      <w:suff w:val="tab"/>
      <w:lvlText w:val="•"/>
      <w:rPr>
        <w:color w:val="3370ff"/>
      </w:rPr>
    </w:lvl>
  </w:abstractNum>
  <w:abstractNum w:abstractNumId="96711">
    <w:lvl>
      <w:numFmt w:val="bullet"/>
      <w:suff w:val="tab"/>
      <w:lvlText w:val="￮"/>
      <w:rPr>
        <w:color w:val="3370ff"/>
      </w:rPr>
    </w:lvl>
  </w:abstractNum>
  <w:abstractNum w:abstractNumId="96712">
    <w:lvl>
      <w:numFmt w:val="bullet"/>
      <w:suff w:val="tab"/>
      <w:lvlText w:val="￮"/>
      <w:rPr>
        <w:color w:val="3370ff"/>
      </w:rPr>
    </w:lvl>
  </w:abstractNum>
  <w:abstractNum w:abstractNumId="96713">
    <w:lvl>
      <w:numFmt w:val="bullet"/>
      <w:suff w:val="tab"/>
      <w:lvlText w:val="￮"/>
      <w:rPr>
        <w:color w:val="3370ff"/>
      </w:rPr>
    </w:lvl>
  </w:abstractNum>
  <w:abstractNum w:abstractNumId="96714">
    <w:lvl>
      <w:numFmt w:val="bullet"/>
      <w:suff w:val="tab"/>
      <w:lvlText w:val="•"/>
      <w:rPr>
        <w:color w:val="3370ff"/>
      </w:rPr>
    </w:lvl>
  </w:abstractNum>
  <w:abstractNum w:abstractNumId="96715">
    <w:lvl>
      <w:numFmt w:val="bullet"/>
      <w:suff w:val="tab"/>
      <w:lvlText w:val="￮"/>
      <w:rPr>
        <w:color w:val="3370ff"/>
      </w:rPr>
    </w:lvl>
  </w:abstractNum>
  <w:abstractNum w:abstractNumId="96716">
    <w:lvl>
      <w:numFmt w:val="bullet"/>
      <w:suff w:val="tab"/>
      <w:lvlText w:val="￮"/>
      <w:rPr>
        <w:color w:val="3370ff"/>
      </w:rPr>
    </w:lvl>
  </w:abstractNum>
  <w:abstractNum w:abstractNumId="96717">
    <w:lvl>
      <w:numFmt w:val="bullet"/>
      <w:suff w:val="tab"/>
      <w:lvlText w:val="￮"/>
      <w:rPr>
        <w:color w:val="3370ff"/>
      </w:rPr>
    </w:lvl>
  </w:abstractNum>
  <w:num w:numId="1">
    <w:abstractNumId w:val="96685"/>
  </w:num>
  <w:num w:numId="2">
    <w:abstractNumId w:val="96686"/>
  </w:num>
  <w:num w:numId="3">
    <w:abstractNumId w:val="96687"/>
  </w:num>
  <w:num w:numId="4">
    <w:abstractNumId w:val="96688"/>
  </w:num>
  <w:num w:numId="5">
    <w:abstractNumId w:val="96689"/>
  </w:num>
  <w:num w:numId="6">
    <w:abstractNumId w:val="96690"/>
  </w:num>
  <w:num w:numId="7">
    <w:abstractNumId w:val="96691"/>
  </w:num>
  <w:num w:numId="8">
    <w:abstractNumId w:val="96692"/>
  </w:num>
  <w:num w:numId="9">
    <w:abstractNumId w:val="96693"/>
  </w:num>
  <w:num w:numId="10">
    <w:abstractNumId w:val="96694"/>
  </w:num>
  <w:num w:numId="11">
    <w:abstractNumId w:val="96695"/>
  </w:num>
  <w:num w:numId="12">
    <w:abstractNumId w:val="96696"/>
  </w:num>
  <w:num w:numId="13">
    <w:abstractNumId w:val="96697"/>
  </w:num>
  <w:num w:numId="14">
    <w:abstractNumId w:val="96698"/>
  </w:num>
  <w:num w:numId="15">
    <w:abstractNumId w:val="96699"/>
  </w:num>
  <w:num w:numId="16">
    <w:abstractNumId w:val="96700"/>
  </w:num>
  <w:num w:numId="17">
    <w:abstractNumId w:val="96701"/>
  </w:num>
  <w:num w:numId="18">
    <w:abstractNumId w:val="96702"/>
  </w:num>
  <w:num w:numId="19">
    <w:abstractNumId w:val="96703"/>
  </w:num>
  <w:num w:numId="20">
    <w:abstractNumId w:val="96704"/>
  </w:num>
  <w:num w:numId="21">
    <w:abstractNumId w:val="96705"/>
  </w:num>
  <w:num w:numId="22">
    <w:abstractNumId w:val="96706"/>
  </w:num>
  <w:num w:numId="23">
    <w:abstractNumId w:val="96707"/>
  </w:num>
  <w:num w:numId="24">
    <w:abstractNumId w:val="96708"/>
  </w:num>
  <w:num w:numId="25">
    <w:abstractNumId w:val="96709"/>
  </w:num>
  <w:num w:numId="26">
    <w:abstractNumId w:val="96710"/>
  </w:num>
  <w:num w:numId="27">
    <w:abstractNumId w:val="96711"/>
  </w:num>
  <w:num w:numId="28">
    <w:abstractNumId w:val="96712"/>
  </w:num>
  <w:num w:numId="29">
    <w:abstractNumId w:val="96713"/>
  </w:num>
  <w:num w:numId="30">
    <w:abstractNumId w:val="96714"/>
  </w:num>
  <w:num w:numId="31">
    <w:abstractNumId w:val="96715"/>
  </w:num>
  <w:num w:numId="32">
    <w:abstractNumId w:val="96716"/>
  </w:num>
  <w:num w:numId="33">
    <w:abstractNumId w:val="9671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github.com/autogluon/autogluon" TargetMode="External" Type="http://schemas.openxmlformats.org/officeDocument/2006/relationships/hyperlink"/><Relationship Id="rId6" Target="https://github.com/Nixtla/neuralforecast" TargetMode="External" Type="http://schemas.openxmlformats.org/officeDocument/2006/relationships/hyperlink"/><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2026-02-28T08:12:11Z</dcterms:created>
  <dc:creator>Apache POI</dc:creator>
</cp:coreProperties>
</file>