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一周搭建高精度通用目标检测系统Demo（能源&amp;农林领域）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color w:val="3370ff"/>
          <w:sz w:val="32"/>
        </w:rPr>
        <w:t xml:space="preserve">1. </w:t>
      </w:r>
      <w:r>
        <w:rPr>
          <w:rFonts w:eastAsia="等线" w:ascii="Arial" w:cs="Arial" w:hAnsi="Arial"/>
          <w:b w:val="true"/>
          <w:sz w:val="32"/>
        </w:rPr>
        <w:t>业务亮点</w:t>
      </w:r>
      <w:bookmarkEnd w:id="0"/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一周构建1个高精度、含数据流闭环、具备自进化能力的通用目标检测系统Demo</w:t>
            </w:r>
          </w:p>
        </w:tc>
      </w:tr>
    </w:tbl>
    <w:p/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编号：Case251125X02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color w:val="3370ff"/>
          <w:sz w:val="32"/>
        </w:rPr>
        <w:t xml:space="preserve">2. </w:t>
      </w:r>
      <w:r>
        <w:rPr>
          <w:rFonts w:eastAsia="等线" w:ascii="Arial" w:cs="Arial" w:hAnsi="Arial"/>
          <w:b w:val="true"/>
          <w:sz w:val="32"/>
        </w:rPr>
        <w:t>基本信息</w:t>
      </w:r>
      <w:bookmarkEnd w:id="1"/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概况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目标检测作为计算机视觉的核心技术，广泛应用于交通导航、安防监控、医疗影像、农林畜牧等领域。其中，“背景复杂、目标微小、干扰物相似度高”是目标检测任务面临的典型难题。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所提方案构建了一套含图像采集、精准识别、数据回流等模块的通用目标检测流程，利用YOLOv11 算法结合主动学习（Active Learning） 机制，自动捕捉低置信度样本并触发模型迭代，解决现有检测模型上线后因环境变化而导致的性能衰减问题。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pStyle w:val="5"/>
              <w:spacing w:before="240" w:after="120" w:line="288" w:lineRule="auto"/>
              <w:ind w:left="0"/>
              <w:jc w:val="left"/>
              <w:outlineLvl w:val="4"/>
            </w:pPr>
            <w:bookmarkStart w:name="heading_2" w:id="2"/>
            <w:r>
              <w:rPr>
                <w:rFonts w:eastAsia="等线" w:ascii="Arial" w:cs="Arial" w:hAnsi="Arial"/>
                <w:b w:val="true"/>
                <w:sz w:val="24"/>
              </w:rPr>
              <w:t>分类标签</w:t>
            </w:r>
            <w:bookmarkEnd w:id="2"/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行业类别： 信息技术，农林牧渔，能源制造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应用类别： 运营，管理，风控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技术类别： 计算机视觉（CV），运维（测试&amp;监控），数据治理，MLOps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pStyle w:val="5"/>
              <w:spacing w:before="240" w:after="120" w:line="288" w:lineRule="auto"/>
              <w:ind w:left="0"/>
              <w:jc w:val="left"/>
              <w:outlineLvl w:val="4"/>
            </w:pPr>
            <w:bookmarkStart w:name="heading_3" w:id="3"/>
            <w:r>
              <w:rPr>
                <w:rFonts w:eastAsia="等线" w:ascii="Arial" w:cs="Arial" w:hAnsi="Arial"/>
                <w:b w:val="true"/>
                <w:sz w:val="24"/>
              </w:rPr>
              <w:t>实施周期</w:t>
            </w:r>
            <w:bookmarkEnd w:id="3"/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Demo研发：≤5日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团队构成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Demo阶段：业务专家1名、算法专家1名、MLOps工程师1名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5"/>
              <w:spacing w:before="240" w:after="120" w:line="288" w:lineRule="auto"/>
              <w:ind w:left="0"/>
              <w:jc w:val="left"/>
              <w:outlineLvl w:val="4"/>
            </w:pPr>
            <w:bookmarkStart w:name="heading_4" w:id="4"/>
            <w:r>
              <w:rPr>
                <w:rFonts w:eastAsia="等线" w:ascii="Arial" w:cs="Arial" w:hAnsi="Arial"/>
                <w:b w:val="true"/>
                <w:sz w:val="24"/>
              </w:rPr>
              <w:t>业务痛点</w:t>
            </w:r>
            <w:bookmarkEnd w:id="4"/>
          </w:p>
          <w:p>
            <w:pPr>
              <w:numPr>
                <w:numId w:val="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全量处理成本高昂： 在目标对象（如缺陷、杂草、特定商品）仅占区域 10%-30% 的情况下，现有方案多采用全区域覆盖式处理，导致70%以上资源出现浪费</w:t>
            </w:r>
          </w:p>
          <w:p>
            <w:pPr>
              <w:numPr>
                <w:numId w:val="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极度相似目标误检：当目标对象与背景或非目标对象（如“拟态”干扰物）特征极度相似时，人工或现有方案易产生误判，导致严重业务损失（如误伤作物、漏检次品）</w:t>
            </w:r>
          </w:p>
          <w:p>
            <w:pPr>
              <w:numPr>
                <w:numId w:val="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沉没数据价值归零： 传统作业过程缺乏数据留存，海量现场作业数据（特别是边缘与异常样例）未能转化为数据资产，严重影响模型学习与判断能力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pStyle w:val="5"/>
              <w:spacing w:before="240" w:after="120" w:line="288" w:lineRule="auto"/>
              <w:ind w:left="0"/>
              <w:jc w:val="left"/>
              <w:outlineLvl w:val="4"/>
            </w:pPr>
            <w:bookmarkStart w:name="heading_5" w:id="5"/>
            <w:r>
              <w:rPr>
                <w:rFonts w:eastAsia="等线" w:ascii="Arial" w:cs="Arial" w:hAnsi="Arial"/>
                <w:b w:val="true"/>
                <w:sz w:val="24"/>
              </w:rPr>
              <w:t>核心功能</w:t>
            </w:r>
            <w:bookmarkEnd w:id="5"/>
          </w:p>
          <w:p>
            <w:pPr>
              <w:numPr>
                <w:numId w:val="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精准目标过滤： 能够从大面积复杂背景中毫秒级定位指定目标，替代全覆盖模式，降低成本</w:t>
            </w:r>
          </w:p>
          <w:p>
            <w:pPr>
              <w:numPr>
                <w:numId w:val="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精细化层级分类：建有多层级分类体系，提升对形态极度近似的干扰项的识别准确率，降低使用风险</w:t>
            </w:r>
          </w:p>
          <w:p>
            <w:pPr>
              <w:numPr>
                <w:numId w:val="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自动数据采集：在作业过程中自动捕获高价值长尾数据备份，无需人工干预，积累数据资产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5"/>
              <w:spacing w:before="240" w:after="120" w:line="288" w:lineRule="auto"/>
              <w:ind w:left="0"/>
              <w:jc w:val="left"/>
              <w:outlineLvl w:val="4"/>
            </w:pPr>
            <w:bookmarkStart w:name="heading_6" w:id="6"/>
            <w:r>
              <w:rPr>
                <w:rFonts w:eastAsia="等线" w:ascii="Arial" w:cs="Arial" w:hAnsi="Arial"/>
                <w:b w:val="true"/>
                <w:sz w:val="24"/>
              </w:rPr>
              <w:t>核心业务指标</w:t>
            </w:r>
            <w:bookmarkEnd w:id="6"/>
          </w:p>
          <w:p>
            <w:pPr>
              <w:numPr>
                <w:numId w:val="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节省50%-80%资源投入：仅面向被精准定位缩小后的目标范围投入资源（如针对虫害区域的农药投入量），大幅降低耗材与运营成本</w:t>
            </w:r>
          </w:p>
          <w:p>
            <w:pPr>
              <w:numPr>
                <w:numId w:val="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长尾样本数据资产转化率98%：自动筛选并留存“低置信度”与“结果冲突”等长尾高难样本用于系统后续训练升级，减少无效数据堆积占用存储空间、降低运维成本</w:t>
            </w:r>
          </w:p>
          <w:p>
            <w:pPr>
              <w:numPr>
                <w:numId w:val="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关键目标误伤/误报率≤5%： 高混淆场景下，确保对非目标对象（如正常农作物）进行保护，预估挽救10~15%总财产损失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pStyle w:val="5"/>
              <w:spacing w:before="240" w:after="120" w:line="288" w:lineRule="auto"/>
              <w:ind w:left="0"/>
              <w:jc w:val="left"/>
              <w:outlineLvl w:val="4"/>
            </w:pPr>
            <w:bookmarkStart w:name="heading_7" w:id="7"/>
            <w:r>
              <w:rPr>
                <w:rFonts w:eastAsia="等线" w:ascii="Arial" w:cs="Arial" w:hAnsi="Arial"/>
                <w:b w:val="true"/>
                <w:sz w:val="24"/>
              </w:rPr>
              <w:t>核心技术指标</w:t>
            </w:r>
            <w:bookmarkEnd w:id="7"/>
          </w:p>
          <w:p>
            <w:pPr>
              <w:numPr>
                <w:numId w:val="1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平均检测精度 (mAP@0.5) &gt; 92%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color w:val="3370ff"/>
          <w:sz w:val="32"/>
        </w:rPr>
        <w:t xml:space="preserve">3. </w:t>
      </w:r>
      <w:r>
        <w:rPr>
          <w:rFonts w:eastAsia="等线" w:ascii="Arial" w:cs="Arial" w:hAnsi="Arial"/>
          <w:b w:val="true"/>
          <w:sz w:val="32"/>
        </w:rPr>
        <w:t>最佳实践版本</w:t>
      </w:r>
      <w:bookmarkEnd w:id="8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" w:id="9"/>
      <w:r>
        <w:rPr>
          <w:rFonts w:eastAsia="等线" w:ascii="Arial" w:cs="Arial" w:hAnsi="Arial"/>
          <w:color w:val="3370ff"/>
          <w:sz w:val="28"/>
        </w:rPr>
        <w:t xml:space="preserve">3.1 </w:t>
      </w:r>
      <w:r>
        <w:rPr>
          <w:rFonts w:eastAsia="等线" w:ascii="Arial" w:cs="Arial" w:hAnsi="Arial"/>
          <w:b w:val="true"/>
          <w:sz w:val="28"/>
        </w:rPr>
        <w:t>私部署-服务器部署版</w:t>
      </w:r>
      <w:bookmarkEnd w:id="9"/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5"/>
              <w:spacing w:before="240" w:after="120" w:line="288" w:lineRule="auto"/>
              <w:ind w:left="0"/>
              <w:jc w:val="left"/>
              <w:outlineLvl w:val="4"/>
            </w:pPr>
            <w:bookmarkStart w:name="heading_10" w:id="10"/>
            <w:r>
              <w:rPr>
                <w:rFonts w:eastAsia="等线" w:ascii="Arial" w:cs="Arial" w:hAnsi="Arial"/>
                <w:b w:val="true"/>
                <w:sz w:val="24"/>
              </w:rPr>
              <w:t>入选最佳实践理由</w:t>
            </w:r>
            <w:bookmarkEnd w:id="10"/>
          </w:p>
          <w:p>
            <w:pPr>
              <w:numPr>
                <w:numId w:val="1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指标提升</w:t>
            </w:r>
          </w:p>
          <w:p>
            <w:pPr>
              <w:numPr>
                <w:numId w:val="12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该方案的平均检测精度 (mAP@0.5)  &gt; 92%，解决了微小目标与复杂背景下的检测瓶颈，能聚焦更小操作范围从而降低投入成本。</w:t>
            </w:r>
          </w:p>
          <w:p>
            <w:pPr>
              <w:numPr>
                <w:numId w:val="13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该方案的关键目标误伤/误报率指标 ≤ 5%，在高混淆场景下显著优于传统全覆盖模式（约为25%），该指标的提升确保了对非目标对象（如正常作物、良品）的保护，从而挽救约10~15%的总财产损失。</w:t>
            </w:r>
          </w:p>
          <w:p>
            <w:pPr>
              <w:numPr>
                <w:numId w:val="14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在推理延迟指标上将99百分位响应延迟（P99） 控制在30ms以内，相比上一代业界通用目标检测模型（YOLOv8）速度提升约15%，确保在高速作业场景下的实时响应。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numPr>
                <w:numId w:val="1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成本优化</w:t>
            </w:r>
          </w:p>
          <w:p>
            <w:pPr>
              <w:numPr>
                <w:numId w:val="16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该方案采用的精准定位策略，相比现行常见的全区域覆盖策略，可节省约50~80%的资源（如农药、试剂等）投入。</w:t>
            </w:r>
          </w:p>
          <w:p>
            <w:pPr>
              <w:numPr>
                <w:numId w:val="17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该方案通过自动筛选机制，将长尾有效样本的数据资产转化率提升至 98%，减少存储空间中约80%的无效数据堆积，降低约50%的人工清洗、筛选、运维的成本 。</w:t>
            </w:r>
          </w:p>
          <w:p>
            <w:pPr>
              <w:numPr>
                <w:numId w:val="18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该方案基于YOLOv11轻量化架构，低参数量模型显著降低算力采购成本（显存不超过16GB）。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——实践者</w:t>
            </w:r>
          </w:p>
        </w:tc>
      </w:tr>
    </w:tbl>
    <w:p/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5"/>
              <w:spacing w:before="240" w:after="120" w:line="288" w:lineRule="auto"/>
              <w:ind w:left="0"/>
              <w:jc w:val="left"/>
              <w:outlineLvl w:val="4"/>
            </w:pPr>
            <w:bookmarkStart w:name="heading_11" w:id="11"/>
            <w:r>
              <w:rPr>
                <w:rFonts w:eastAsia="等线" w:ascii="Arial" w:cs="Arial" w:hAnsi="Arial"/>
                <w:b w:val="true"/>
                <w:sz w:val="24"/>
              </w:rPr>
              <w:t>版本基本信息</w:t>
            </w:r>
            <w:bookmarkEnd w:id="11"/>
          </w:p>
          <w:p>
            <w:pPr>
              <w:numPr>
                <w:numId w:val="1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实践者信息</w:t>
            </w:r>
          </w:p>
          <w:p>
            <w:pPr>
              <w:numPr>
                <w:numId w:val="20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称呼：Real-World AI自研及验证</w:t>
            </w:r>
          </w:p>
          <w:p>
            <w:pPr>
              <w:numPr>
                <w:numId w:val="2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原作者信息</w:t>
            </w:r>
          </w:p>
          <w:p>
            <w:pPr>
              <w:numPr>
                <w:numId w:val="22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中文名称：/</w:t>
            </w:r>
          </w:p>
          <w:p>
            <w:pPr>
              <w:numPr>
                <w:numId w:val="23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英文名称：Real-World AI</w:t>
            </w:r>
          </w:p>
          <w:p>
            <w:pPr>
              <w:numPr>
                <w:numId w:val="24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作者网站：本站</w:t>
            </w:r>
          </w:p>
          <w:p>
            <w:pPr>
              <w:numPr>
                <w:numId w:val="2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关联引用</w:t>
            </w:r>
          </w:p>
          <w:p>
            <w:pPr>
              <w:numPr>
                <w:numId w:val="26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Ultralytics YOLO  （by Ultralytics） : </w:t>
            </w:r>
            <w:r>
              <w:rPr>
                <w:rFonts w:eastAsia="等线" w:ascii="Arial" w:cs="Arial" w:hAnsi="Arial"/>
                <w:sz w:val="22"/>
              </w:rPr>
              <w:t>https://docs.ultralytics.com/models/yolo11/</w:t>
            </w:r>
          </w:p>
          <w:p>
            <w:pPr>
              <w:numPr>
                <w:numId w:val="27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Triton （by NVIDIA）  GitHub : </w:t>
            </w:r>
            <w:r>
              <w:rPr>
                <w:rFonts w:eastAsia="等线" w:ascii="Arial" w:cs="Arial" w:hAnsi="Arial"/>
                <w:sz w:val="22"/>
              </w:rPr>
              <w:t>https://github.com/triton-inference-server/server/blob/main/docs/user_guide/model_configuration.md</w:t>
            </w:r>
          </w:p>
          <w:p>
            <w:pPr>
              <w:numPr>
                <w:numId w:val="28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Perf Analyzer （by NVIDIA） GitHub: </w:t>
            </w:r>
            <w:r>
              <w:rPr>
                <w:rFonts w:eastAsia="等线" w:ascii="Arial" w:cs="Arial" w:hAnsi="Arial"/>
                <w:sz w:val="22"/>
              </w:rPr>
              <w:t>https://github.com/triton-inference-server/perf_analyzer</w:t>
            </w:r>
          </w:p>
          <w:p>
            <w:pPr>
              <w:numPr>
                <w:numId w:val="2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版本状态</w:t>
            </w:r>
          </w:p>
          <w:p>
            <w:pPr>
              <w:numPr>
                <w:numId w:val="30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首发日期：2025-11-25</w:t>
            </w:r>
          </w:p>
          <w:p>
            <w:pPr>
              <w:numPr>
                <w:numId w:val="31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最近更新：2025-11-25 </w:t>
            </w:r>
          </w:p>
          <w:p>
            <w:pPr>
              <w:numPr>
                <w:numId w:val="32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最近审阅：2025-11-26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5"/>
              <w:spacing w:before="240" w:after="120" w:line="288" w:lineRule="auto"/>
              <w:ind w:left="0"/>
              <w:jc w:val="left"/>
              <w:outlineLvl w:val="4"/>
            </w:pPr>
            <w:bookmarkStart w:name="heading_12" w:id="12"/>
            <w:r>
              <w:rPr>
                <w:rFonts w:eastAsia="等线" w:ascii="Arial" w:cs="Arial" w:hAnsi="Arial"/>
                <w:b w:val="true"/>
                <w:sz w:val="24"/>
              </w:rPr>
              <w:t>实施详情</w:t>
            </w:r>
            <w:bookmarkEnd w:id="12"/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待发布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13903">
    <w:lvl>
      <w:numFmt w:val="bullet"/>
      <w:suff w:val="tab"/>
      <w:lvlText w:val="•"/>
      <w:rPr>
        <w:color w:val="3370ff"/>
      </w:rPr>
    </w:lvl>
  </w:abstractNum>
  <w:abstractNum w:abstractNumId="113904">
    <w:lvl>
      <w:numFmt w:val="bullet"/>
      <w:suff w:val="tab"/>
      <w:lvlText w:val="•"/>
      <w:rPr>
        <w:color w:val="3370ff"/>
      </w:rPr>
    </w:lvl>
  </w:abstractNum>
  <w:abstractNum w:abstractNumId="113905">
    <w:lvl>
      <w:numFmt w:val="bullet"/>
      <w:suff w:val="tab"/>
      <w:lvlText w:val="•"/>
      <w:rPr>
        <w:color w:val="3370ff"/>
      </w:rPr>
    </w:lvl>
  </w:abstractNum>
  <w:abstractNum w:abstractNumId="113906">
    <w:lvl>
      <w:numFmt w:val="bullet"/>
      <w:suff w:val="tab"/>
      <w:lvlText w:val="•"/>
      <w:rPr>
        <w:color w:val="3370ff"/>
      </w:rPr>
    </w:lvl>
  </w:abstractNum>
  <w:abstractNum w:abstractNumId="113907">
    <w:lvl>
      <w:numFmt w:val="bullet"/>
      <w:suff w:val="tab"/>
      <w:lvlText w:val="•"/>
      <w:rPr>
        <w:color w:val="3370ff"/>
      </w:rPr>
    </w:lvl>
  </w:abstractNum>
  <w:abstractNum w:abstractNumId="113908">
    <w:lvl>
      <w:numFmt w:val="bullet"/>
      <w:suff w:val="tab"/>
      <w:lvlText w:val="•"/>
      <w:rPr>
        <w:color w:val="3370ff"/>
      </w:rPr>
    </w:lvl>
  </w:abstractNum>
  <w:abstractNum w:abstractNumId="113909">
    <w:lvl>
      <w:numFmt w:val="bullet"/>
      <w:suff w:val="tab"/>
      <w:lvlText w:val="•"/>
      <w:rPr>
        <w:color w:val="3370ff"/>
      </w:rPr>
    </w:lvl>
  </w:abstractNum>
  <w:abstractNum w:abstractNumId="113910">
    <w:lvl>
      <w:numFmt w:val="bullet"/>
      <w:suff w:val="tab"/>
      <w:lvlText w:val="•"/>
      <w:rPr>
        <w:color w:val="3370ff"/>
      </w:rPr>
    </w:lvl>
  </w:abstractNum>
  <w:abstractNum w:abstractNumId="113911">
    <w:lvl>
      <w:numFmt w:val="bullet"/>
      <w:suff w:val="tab"/>
      <w:lvlText w:val="•"/>
      <w:rPr>
        <w:color w:val="3370ff"/>
      </w:rPr>
    </w:lvl>
  </w:abstractNum>
  <w:abstractNum w:abstractNumId="113912">
    <w:lvl>
      <w:numFmt w:val="bullet"/>
      <w:suff w:val="tab"/>
      <w:lvlText w:val="•"/>
      <w:rPr>
        <w:color w:val="3370ff"/>
      </w:rPr>
    </w:lvl>
  </w:abstractNum>
  <w:abstractNum w:abstractNumId="113913">
    <w:lvl>
      <w:numFmt w:val="bullet"/>
      <w:suff w:val="tab"/>
      <w:lvlText w:val="•"/>
      <w:rPr>
        <w:color w:val="3370ff"/>
      </w:rPr>
    </w:lvl>
  </w:abstractNum>
  <w:abstractNum w:abstractNumId="113914">
    <w:lvl>
      <w:numFmt w:val="bullet"/>
      <w:suff w:val="tab"/>
      <w:lvlText w:val="￮"/>
      <w:rPr>
        <w:color w:val="3370ff"/>
      </w:rPr>
    </w:lvl>
  </w:abstractNum>
  <w:abstractNum w:abstractNumId="113915">
    <w:lvl>
      <w:numFmt w:val="bullet"/>
      <w:suff w:val="tab"/>
      <w:lvlText w:val="￮"/>
      <w:rPr>
        <w:color w:val="3370ff"/>
      </w:rPr>
    </w:lvl>
  </w:abstractNum>
  <w:abstractNum w:abstractNumId="113916">
    <w:lvl>
      <w:numFmt w:val="bullet"/>
      <w:suff w:val="tab"/>
      <w:lvlText w:val="￮"/>
      <w:rPr>
        <w:color w:val="3370ff"/>
      </w:rPr>
    </w:lvl>
  </w:abstractNum>
  <w:abstractNum w:abstractNumId="113917">
    <w:lvl>
      <w:numFmt w:val="bullet"/>
      <w:suff w:val="tab"/>
      <w:lvlText w:val="•"/>
      <w:rPr>
        <w:color w:val="3370ff"/>
      </w:rPr>
    </w:lvl>
  </w:abstractNum>
  <w:abstractNum w:abstractNumId="113918">
    <w:lvl>
      <w:numFmt w:val="bullet"/>
      <w:suff w:val="tab"/>
      <w:lvlText w:val="￮"/>
      <w:rPr>
        <w:color w:val="3370ff"/>
      </w:rPr>
    </w:lvl>
  </w:abstractNum>
  <w:abstractNum w:abstractNumId="113919">
    <w:lvl>
      <w:numFmt w:val="bullet"/>
      <w:suff w:val="tab"/>
      <w:lvlText w:val="￮"/>
      <w:rPr>
        <w:color w:val="3370ff"/>
      </w:rPr>
    </w:lvl>
  </w:abstractNum>
  <w:abstractNum w:abstractNumId="113920">
    <w:lvl>
      <w:numFmt w:val="bullet"/>
      <w:suff w:val="tab"/>
      <w:lvlText w:val="￮"/>
      <w:rPr>
        <w:color w:val="3370ff"/>
      </w:rPr>
    </w:lvl>
  </w:abstractNum>
  <w:abstractNum w:abstractNumId="113921">
    <w:lvl>
      <w:numFmt w:val="bullet"/>
      <w:suff w:val="tab"/>
      <w:lvlText w:val="•"/>
      <w:rPr>
        <w:color w:val="3370ff"/>
      </w:rPr>
    </w:lvl>
  </w:abstractNum>
  <w:abstractNum w:abstractNumId="113922">
    <w:lvl>
      <w:numFmt w:val="bullet"/>
      <w:suff w:val="tab"/>
      <w:lvlText w:val="￮"/>
      <w:rPr>
        <w:color w:val="3370ff"/>
      </w:rPr>
    </w:lvl>
  </w:abstractNum>
  <w:abstractNum w:abstractNumId="113923">
    <w:lvl>
      <w:numFmt w:val="bullet"/>
      <w:suff w:val="tab"/>
      <w:lvlText w:val="•"/>
      <w:rPr>
        <w:color w:val="3370ff"/>
      </w:rPr>
    </w:lvl>
  </w:abstractNum>
  <w:abstractNum w:abstractNumId="113924">
    <w:lvl>
      <w:numFmt w:val="bullet"/>
      <w:suff w:val="tab"/>
      <w:lvlText w:val="￮"/>
      <w:rPr>
        <w:color w:val="3370ff"/>
      </w:rPr>
    </w:lvl>
  </w:abstractNum>
  <w:abstractNum w:abstractNumId="113925">
    <w:lvl>
      <w:numFmt w:val="bullet"/>
      <w:suff w:val="tab"/>
      <w:lvlText w:val="￮"/>
      <w:rPr>
        <w:color w:val="3370ff"/>
      </w:rPr>
    </w:lvl>
  </w:abstractNum>
  <w:abstractNum w:abstractNumId="113926">
    <w:lvl>
      <w:numFmt w:val="bullet"/>
      <w:suff w:val="tab"/>
      <w:lvlText w:val="￮"/>
      <w:rPr>
        <w:color w:val="3370ff"/>
      </w:rPr>
    </w:lvl>
  </w:abstractNum>
  <w:abstractNum w:abstractNumId="113927">
    <w:lvl>
      <w:numFmt w:val="bullet"/>
      <w:suff w:val="tab"/>
      <w:lvlText w:val="•"/>
      <w:rPr>
        <w:color w:val="3370ff"/>
      </w:rPr>
    </w:lvl>
  </w:abstractNum>
  <w:abstractNum w:abstractNumId="113928">
    <w:lvl>
      <w:numFmt w:val="bullet"/>
      <w:suff w:val="tab"/>
      <w:lvlText w:val="￮"/>
      <w:rPr>
        <w:color w:val="3370ff"/>
      </w:rPr>
    </w:lvl>
  </w:abstractNum>
  <w:abstractNum w:abstractNumId="113929">
    <w:lvl>
      <w:numFmt w:val="bullet"/>
      <w:suff w:val="tab"/>
      <w:lvlText w:val="￮"/>
      <w:rPr>
        <w:color w:val="3370ff"/>
      </w:rPr>
    </w:lvl>
  </w:abstractNum>
  <w:abstractNum w:abstractNumId="113930">
    <w:lvl>
      <w:numFmt w:val="bullet"/>
      <w:suff w:val="tab"/>
      <w:lvlText w:val="￮"/>
      <w:rPr>
        <w:color w:val="3370ff"/>
      </w:rPr>
    </w:lvl>
  </w:abstractNum>
  <w:abstractNum w:abstractNumId="113931">
    <w:lvl>
      <w:numFmt w:val="bullet"/>
      <w:suff w:val="tab"/>
      <w:lvlText w:val="•"/>
      <w:rPr>
        <w:color w:val="3370ff"/>
      </w:rPr>
    </w:lvl>
  </w:abstractNum>
  <w:abstractNum w:abstractNumId="113932">
    <w:lvl>
      <w:numFmt w:val="bullet"/>
      <w:suff w:val="tab"/>
      <w:lvlText w:val="￮"/>
      <w:rPr>
        <w:color w:val="3370ff"/>
      </w:rPr>
    </w:lvl>
  </w:abstractNum>
  <w:abstractNum w:abstractNumId="113933">
    <w:lvl>
      <w:numFmt w:val="bullet"/>
      <w:suff w:val="tab"/>
      <w:lvlText w:val="￮"/>
      <w:rPr>
        <w:color w:val="3370ff"/>
      </w:rPr>
    </w:lvl>
  </w:abstractNum>
  <w:abstractNum w:abstractNumId="113934">
    <w:lvl>
      <w:numFmt w:val="bullet"/>
      <w:suff w:val="tab"/>
      <w:lvlText w:val="￮"/>
      <w:rPr>
        <w:color w:val="3370ff"/>
      </w:rPr>
    </w:lvl>
  </w:abstractNum>
  <w:num w:numId="1">
    <w:abstractNumId w:val="113903"/>
  </w:num>
  <w:num w:numId="2">
    <w:abstractNumId w:val="113904"/>
  </w:num>
  <w:num w:numId="3">
    <w:abstractNumId w:val="113905"/>
  </w:num>
  <w:num w:numId="4">
    <w:abstractNumId w:val="113906"/>
  </w:num>
  <w:num w:numId="5">
    <w:abstractNumId w:val="113907"/>
  </w:num>
  <w:num w:numId="6">
    <w:abstractNumId w:val="113908"/>
  </w:num>
  <w:num w:numId="7">
    <w:abstractNumId w:val="113909"/>
  </w:num>
  <w:num w:numId="8">
    <w:abstractNumId w:val="113910"/>
  </w:num>
  <w:num w:numId="9">
    <w:abstractNumId w:val="113911"/>
  </w:num>
  <w:num w:numId="10">
    <w:abstractNumId w:val="113912"/>
  </w:num>
  <w:num w:numId="11">
    <w:abstractNumId w:val="113913"/>
  </w:num>
  <w:num w:numId="12">
    <w:abstractNumId w:val="113914"/>
  </w:num>
  <w:num w:numId="13">
    <w:abstractNumId w:val="113915"/>
  </w:num>
  <w:num w:numId="14">
    <w:abstractNumId w:val="113916"/>
  </w:num>
  <w:num w:numId="15">
    <w:abstractNumId w:val="113917"/>
  </w:num>
  <w:num w:numId="16">
    <w:abstractNumId w:val="113918"/>
  </w:num>
  <w:num w:numId="17">
    <w:abstractNumId w:val="113919"/>
  </w:num>
  <w:num w:numId="18">
    <w:abstractNumId w:val="113920"/>
  </w:num>
  <w:num w:numId="19">
    <w:abstractNumId w:val="113921"/>
  </w:num>
  <w:num w:numId="20">
    <w:abstractNumId w:val="113922"/>
  </w:num>
  <w:num w:numId="21">
    <w:abstractNumId w:val="113923"/>
  </w:num>
  <w:num w:numId="22">
    <w:abstractNumId w:val="113924"/>
  </w:num>
  <w:num w:numId="23">
    <w:abstractNumId w:val="113925"/>
  </w:num>
  <w:num w:numId="24">
    <w:abstractNumId w:val="113926"/>
  </w:num>
  <w:num w:numId="25">
    <w:abstractNumId w:val="113927"/>
  </w:num>
  <w:num w:numId="26">
    <w:abstractNumId w:val="113928"/>
  </w:num>
  <w:num w:numId="27">
    <w:abstractNumId w:val="113929"/>
  </w:num>
  <w:num w:numId="28">
    <w:abstractNumId w:val="113930"/>
  </w:num>
  <w:num w:numId="29">
    <w:abstractNumId w:val="113931"/>
  </w:num>
  <w:num w:numId="30">
    <w:abstractNumId w:val="113932"/>
  </w:num>
  <w:num w:numId="31">
    <w:abstractNumId w:val="113933"/>
  </w:num>
  <w:num w:numId="32">
    <w:abstractNumId w:val="11393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2026-02-28T08:12:20Z</dcterms:created>
  <dc:creator>Apache POI</dc:creator>
</cp:coreProperties>
</file>